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Tax Reform data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Nigerian tax reform policies consolidate and realign its tax system through four new laws signed on June 26, 2025 which takes effect by January 1, 2026. The aim of the reform is to streamline administration, expand tax base, improve compliance through digitization and create a more equitable system.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policy is encapsulated in four new acts, which repeal and consolidate numerous existing tax laws: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Nigeria Tax Act (NTA): Unifies multiple tax statutes into a single, coherent framework.</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Nigeria Tax Administration Act (NTAA): Standardizes tax collection rules across all levels of government (federal, state, and local)</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Nigeria Revenue Service (Establishment) Act (NRSA): Replaces the Federal Inland Revenue Service (FIRS) with a more autonomous Nigeria Revenue Service (NRS) to manage federal revenue collection.</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Joint Revenue Board (Establishment) Act (JRBA): Creates a board to coordinate tax policy across government tiers and establishes an independent Tax Ombud office for dispute resolution.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Major Policy Changes and Impacts</w:t>
      </w:r>
    </w:p>
    <w:p w:rsidR="00000000" w:rsidDel="00000000" w:rsidP="00000000" w:rsidRDefault="00000000" w:rsidRPr="00000000" w14:paraId="00000010">
      <w:pPr>
        <w:rPr/>
      </w:pPr>
      <w:r w:rsidDel="00000000" w:rsidR="00000000" w:rsidRPr="00000000">
        <w:rPr>
          <w:rtl w:val="0"/>
        </w:rPr>
        <w:t xml:space="preserve">The reforms introduce significant changes for individuals and businesses: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Individuals:</w:t>
      </w:r>
    </w:p>
    <w:p w:rsidR="00000000" w:rsidDel="00000000" w:rsidP="00000000" w:rsidRDefault="00000000" w:rsidRPr="00000000" w14:paraId="00000013">
      <w:pPr>
        <w:rPr/>
      </w:pPr>
      <w:r w:rsidDel="00000000" w:rsidR="00000000" w:rsidRPr="00000000">
        <w:rPr>
          <w:rtl w:val="0"/>
        </w:rPr>
        <w:t xml:space="preserve">Income Tax Exemption: Workers earning an annual taxable income of ₦800,000 or less are exempt from personal income tax (PAYE).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Progressive Rates: A more progressive personal income tax structure has been introduced, with the top marginal rate of 25% applying only to high earners (above ₦50 million annually).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Rent Relief: Individuals can now claim a rent deduction of up to 20% of their annual rent, capped at ₦500,000, from their taxable income.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Digital Assets: Gains from transactions involving digital or virtual assets (like cryptocurrencies) are now subject to tax.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Residency Rules: The law clarifies "tax resident" definitions, and residents are now explicitly taxed on their worldwide income.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Businesses: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Small Company Exemptions: Small companies (annual gross turnover of ₦50 million or less and total fixed assets not exceeding ₦250 million) are exempt from Companies Income Tax (CIT), Capital Gains Tax (CGT), and the new Development Levy.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Corporate Tax Cuts: For other companies, the CIT rate will be reduced from 30% to 27.5% in 2025 and 25% from the 2026 assessment year onwards.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Development Levy: A new 4% Development Levy on assessable profits consolidates and replaces several previous levies (Tertiary Education Tax, IT Levy, NASENI Levy, Police Trust Fund Levy), simplifying compliance.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VAT: The VAT rate remains at 7.5%, but businesses can now fully recover input VAT on services and fixed assets, which was previously not possible. The list of zero-rated essential goods (food, medical products, educational materials, electricity) is expanded to protect consumers.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Digital Compliance: Mandatory e-invoicing and real-time VAT reporting systems are introduced for all VAT-registered businesses.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