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Realtors Practice Nigeria Market Monetization Strategy</w:t>
      </w:r>
    </w:p>
    <w:p>
      <w:pPr>
        <w:keepNext w:val="0"/>
        <w:spacing w:after="100" w:line="269" w:lineRule="auto"/>
      </w:pPr>
      <w:r>
        <w:rPr>
          <w:rFonts w:ascii="Times New Roman" w:hAnsi="Times New Roman" w:eastAsia="Times New Roman"/>
          <w:b w:val="0"/>
          <w:i w:val="0"/>
          <w:color w:val="000000"/>
          <w:sz w:val="21"/>
        </w:rPr>
        <w:t>This report sets out how Realtors' Practice can turn its two existing products into a focused Nigerian property intelligence business. The immediate opportunity is to help developers, investors, diaspora buyers, lenders, and licensed professionals make and document high value property decisions in the Lekki Epe corridor. The recommended entry model combines paid research, recurring monitoring, verified project workflows, and licensed partner delivery. It does not depend on mass marketplace traffic or on Realtors' Practice holding transaction funds.</w:t>
      </w:r>
    </w:p>
    <w:p>
      <w:pPr>
        <w:keepNext w:val="0"/>
        <w:spacing w:after="100" w:line="269" w:lineRule="auto"/>
      </w:pPr>
      <w:r>
        <w:rPr>
          <w:rFonts w:ascii="Times New Roman" w:hAnsi="Times New Roman" w:eastAsia="Times New Roman"/>
          <w:b w:val="0"/>
          <w:i w:val="0"/>
          <w:color w:val="000000"/>
          <w:sz w:val="21"/>
        </w:rPr>
        <w:t>The strongest commercial advantage is the company's existing ability to collect, reconcile, classify, search, and monitor fragmented listing and project information. Nigeria's property market has a documented shortage of reliable housing and land data, expensive finance, fragmented land records, and material trust problems. Those conditions make evidence, provenance, and professional coordination valuable. The company should sell those outcomes before investing further in broad consumer marketplace features.</w:t>
      </w:r>
    </w:p>
    <w:p>
      <w:pPr>
        <w:pStyle w:val="Heading1"/>
        <w:keepNext/>
        <w:spacing w:before="240" w:after="100"/>
      </w:pPr>
      <w:r>
        <w:t>Executive recommendations</w:t>
      </w:r>
    </w:p>
    <w:p>
      <w:pPr>
        <w:pStyle w:val="ListNumber"/>
        <w:spacing w:after="60" w:line="259" w:lineRule="auto"/>
      </w:pPr>
      <w:r>
        <w:rPr>
          <w:rFonts w:ascii="Times New Roman" w:hAnsi="Times New Roman" w:eastAsia="Times New Roman"/>
          <w:b w:val="0"/>
          <w:i w:val="0"/>
          <w:color w:val="000000"/>
          <w:sz w:val="20"/>
        </w:rPr>
        <w:t>Operate one business with two layers. Keep `realtors-practice` as the private data and analysis engine. Use `rp web` as the commercial website, project workspace, customer portal, and partner delivery layer.</w:t>
      </w:r>
    </w:p>
    <w:p>
      <w:pPr>
        <w:pStyle w:val="ListNumber"/>
        <w:spacing w:after="60" w:line="259" w:lineRule="auto"/>
      </w:pPr>
      <w:r>
        <w:rPr>
          <w:rFonts w:ascii="Times New Roman" w:hAnsi="Times New Roman" w:eastAsia="Times New Roman"/>
          <w:b w:val="0"/>
          <w:i w:val="0"/>
          <w:color w:val="000000"/>
          <w:sz w:val="20"/>
        </w:rPr>
        <w:t>Target developers first. Sell launch intelligence, competitor monitoring, unit mix evidence, inventory operations, and project compliance tracking. These customers can pay meaningful fees without requiring a large public audience.</w:t>
      </w:r>
    </w:p>
    <w:p>
      <w:pPr>
        <w:pStyle w:val="ListNumber"/>
        <w:spacing w:after="60" w:line="259" w:lineRule="auto"/>
      </w:pPr>
      <w:r>
        <w:rPr>
          <w:rFonts w:ascii="Times New Roman" w:hAnsi="Times New Roman" w:eastAsia="Times New Roman"/>
          <w:b w:val="0"/>
          <w:i w:val="0"/>
          <w:color w:val="000000"/>
          <w:sz w:val="20"/>
        </w:rPr>
        <w:t>Target serious buyers and diaspora investors second. Sell decision packs and off plan monitoring, while licensed lawyers, surveyors, valuers, and other professionals perform regulated work.</w:t>
      </w:r>
    </w:p>
    <w:p>
      <w:pPr>
        <w:pStyle w:val="ListNumber"/>
        <w:spacing w:after="60" w:line="259" w:lineRule="auto"/>
      </w:pPr>
      <w:r>
        <w:rPr>
          <w:rFonts w:ascii="Times New Roman" w:hAnsi="Times New Roman" w:eastAsia="Times New Roman"/>
          <w:b w:val="0"/>
          <w:i w:val="0"/>
          <w:color w:val="000000"/>
          <w:sz w:val="20"/>
        </w:rPr>
        <w:t>Keep ordinary listings free until the platform proves demand. Agents already have established portals for exposure. Charge for verified workflows, qualified requests, intelligence, lead operations, and measurable time savings.</w:t>
      </w:r>
    </w:p>
    <w:p>
      <w:pPr>
        <w:pStyle w:val="ListNumber"/>
        <w:spacing w:after="60" w:line="259" w:lineRule="auto"/>
      </w:pPr>
      <w:r>
        <w:rPr>
          <w:rFonts w:ascii="Times New Roman" w:hAnsi="Times New Roman" w:eastAsia="Times New Roman"/>
          <w:b w:val="0"/>
          <w:i w:val="0"/>
          <w:color w:val="000000"/>
          <w:sz w:val="20"/>
        </w:rPr>
        <w:t>Build every data product around source rights. A public page is not automatically licensed for republication. Prioritize direct developer feeds, agency feeds, licensed professional data, user submitted records, and official data with stated terms.</w:t>
      </w:r>
    </w:p>
    <w:p>
      <w:pPr>
        <w:pStyle w:val="ListNumber"/>
        <w:spacing w:after="60" w:line="259" w:lineRule="auto"/>
      </w:pPr>
      <w:r>
        <w:rPr>
          <w:rFonts w:ascii="Times New Roman" w:hAnsi="Times New Roman" w:eastAsia="Times New Roman"/>
          <w:b w:val="0"/>
          <w:i w:val="0"/>
          <w:color w:val="000000"/>
          <w:sz w:val="20"/>
        </w:rPr>
        <w:t>Remove the current escrow promise until the payment flow, contracts, customer protection, AML controls, and licensed provider responsibilities have been approved in writing. Paystack or Flutterwave integration alone does not establish a lawful escrow service.</w:t>
      </w:r>
    </w:p>
    <w:p>
      <w:pPr>
        <w:pStyle w:val="Heading1"/>
        <w:keepNext/>
        <w:spacing w:before="240" w:after="100"/>
      </w:pPr>
      <w:r>
        <w:t>Nigeria market conditions that create demand</w:t>
      </w:r>
    </w:p>
    <w:p>
      <w:pPr>
        <w:pStyle w:val="Heading2"/>
        <w:keepNext/>
        <w:spacing w:before="160" w:after="100"/>
      </w:pPr>
      <w:r>
        <w:t>Housing need is large but the addressable market is narrower</w:t>
      </w:r>
    </w:p>
    <w:p>
      <w:pPr>
        <w:keepNext w:val="0"/>
        <w:spacing w:after="100" w:line="269" w:lineRule="auto"/>
      </w:pPr>
      <w:r>
        <w:rPr>
          <w:rFonts w:ascii="Times New Roman" w:hAnsi="Times New Roman" w:eastAsia="Times New Roman"/>
          <w:b w:val="0"/>
          <w:i w:val="0"/>
          <w:color w:val="000000"/>
          <w:sz w:val="21"/>
        </w:rPr>
        <w:t>The Federal Ministry of Housing and Urban Development reported a 2025 housing deficit of 14.925 million units based on work by the National Housing Data Technical Committee.</w:t>
      </w:r>
      <w:r>
        <w:rPr>
          <w:rFonts w:ascii="Times New Roman" w:hAnsi="Times New Roman" w:eastAsia="Times New Roman"/>
          <w:b w:val="0"/>
          <w:color w:val="000000"/>
          <w:sz w:val="16"/>
          <w:vertAlign w:val="superscript"/>
        </w:rPr>
        <w:t>[1]</w:t>
      </w:r>
      <w:r>
        <w:rPr>
          <w:rFonts w:ascii="Times New Roman" w:hAnsi="Times New Roman" w:eastAsia="Times New Roman"/>
          <w:b w:val="0"/>
          <w:i w:val="0"/>
          <w:color w:val="000000"/>
          <w:sz w:val="21"/>
        </w:rPr>
        <w:t xml:space="preserve"> This is more credible than older figures that circulated without a consistent method. The same ministry has acknowledged that Nigeria lacked reliable housing data and is developing a National Housing Data Centre.</w:t>
      </w:r>
      <w:r>
        <w:rPr>
          <w:rFonts w:ascii="Times New Roman" w:hAnsi="Times New Roman" w:eastAsia="Times New Roman"/>
          <w:b w:val="0"/>
          <w:color w:val="000000"/>
          <w:sz w:val="16"/>
          <w:vertAlign w:val="superscript"/>
        </w:rPr>
        <w:t>[28]</w:t>
      </w:r>
    </w:p>
    <w:p>
      <w:pPr>
        <w:keepNext w:val="0"/>
        <w:spacing w:after="100" w:line="269" w:lineRule="auto"/>
      </w:pPr>
      <w:r>
        <w:rPr>
          <w:rFonts w:ascii="Times New Roman" w:hAnsi="Times New Roman" w:eastAsia="Times New Roman"/>
          <w:b w:val="0"/>
          <w:i w:val="0"/>
          <w:color w:val="000000"/>
          <w:sz w:val="21"/>
        </w:rPr>
        <w:t>A large national deficit does not mean every household can buy a home. It indicates unmet need, but effective demand depends on income, deposit capacity, mortgage access, infrastructure, and price. Realtors' Practice should therefore avoid marketing built around the headline deficit. It should identify the smaller customer groups already making decisions and losing money because their evidence is poor.</w:t>
      </w:r>
    </w:p>
    <w:p>
      <w:pPr>
        <w:keepNext w:val="0"/>
        <w:spacing w:after="100" w:line="269" w:lineRule="auto"/>
      </w:pPr>
      <w:r>
        <w:rPr>
          <w:rFonts w:ascii="Times New Roman" w:hAnsi="Times New Roman" w:eastAsia="Times New Roman"/>
          <w:b w:val="0"/>
          <w:i w:val="0"/>
          <w:color w:val="000000"/>
          <w:sz w:val="21"/>
        </w:rPr>
        <w:t>The first profitable addressable markets are likely to be active developers, investors with deployable capital, diaspora buyers, professional firms, and lenders. Affordable housing may become a later institutional partnership area, but it is not a suitable first direct to consumer business for a team under five.</w:t>
      </w:r>
    </w:p>
    <w:p>
      <w:pPr>
        <w:pStyle w:val="Heading2"/>
        <w:keepNext/>
        <w:spacing w:before="160" w:after="100"/>
      </w:pPr>
      <w:r>
        <w:t>Land and title information remain fragmented</w:t>
      </w:r>
    </w:p>
    <w:p>
      <w:pPr>
        <w:keepNext w:val="0"/>
        <w:spacing w:after="100" w:line="269" w:lineRule="auto"/>
      </w:pPr>
      <w:r>
        <w:rPr>
          <w:rFonts w:ascii="Times New Roman" w:hAnsi="Times New Roman" w:eastAsia="Times New Roman"/>
          <w:b w:val="0"/>
          <w:i w:val="0"/>
          <w:color w:val="000000"/>
          <w:sz w:val="21"/>
        </w:rPr>
        <w:t>The World Bank's 2025 Nigeria review says state and local governments lack accurate and comprehensive land ownership and use information. It notes that Lagos has made progress, but registries, databases, and cadastral maps remain fragmented. The report also says land can account for 40 to 80 percent of total housing cost in cities such as Lagos, and that informal transactions face fraud and multiple ownership claims.</w:t>
      </w:r>
      <w:r>
        <w:rPr>
          <w:rFonts w:ascii="Times New Roman" w:hAnsi="Times New Roman" w:eastAsia="Times New Roman"/>
          <w:b w:val="0"/>
          <w:color w:val="000000"/>
          <w:sz w:val="16"/>
          <w:vertAlign w:val="superscript"/>
        </w:rPr>
        <w:t>[2]</w:t>
      </w:r>
    </w:p>
    <w:p>
      <w:pPr>
        <w:keepNext w:val="0"/>
        <w:spacing w:after="100" w:line="269" w:lineRule="auto"/>
      </w:pPr>
      <w:r>
        <w:rPr>
          <w:rFonts w:ascii="Times New Roman" w:hAnsi="Times New Roman" w:eastAsia="Times New Roman"/>
          <w:b w:val="0"/>
          <w:i w:val="0"/>
          <w:color w:val="000000"/>
          <w:sz w:val="21"/>
        </w:rPr>
        <w:t>An older World Bank housing finance assessment estimated that more than 70 percent of Nigerian land transactions occurred in the informal market and described incomplete records and the absence of a unique property identifier.</w:t>
      </w:r>
      <w:r>
        <w:rPr>
          <w:rFonts w:ascii="Times New Roman" w:hAnsi="Times New Roman" w:eastAsia="Times New Roman"/>
          <w:b w:val="0"/>
          <w:color w:val="000000"/>
          <w:sz w:val="16"/>
          <w:vertAlign w:val="superscript"/>
        </w:rPr>
        <w:t>[29]</w:t>
      </w:r>
      <w:r>
        <w:rPr>
          <w:rFonts w:ascii="Times New Roman" w:hAnsi="Times New Roman" w:eastAsia="Times New Roman"/>
          <w:b w:val="0"/>
          <w:i w:val="0"/>
          <w:color w:val="000000"/>
          <w:sz w:val="21"/>
        </w:rPr>
        <w:t xml:space="preserve"> The estimate is dated and should not be presented as current. The underlying structural problem remains consistent with newer World Bank findings.</w:t>
      </w:r>
    </w:p>
    <w:p>
      <w:pPr>
        <w:keepNext w:val="0"/>
        <w:spacing w:after="100" w:line="269" w:lineRule="auto"/>
      </w:pPr>
      <w:r>
        <w:rPr>
          <w:rFonts w:ascii="Times New Roman" w:hAnsi="Times New Roman" w:eastAsia="Times New Roman"/>
          <w:b w:val="0"/>
          <w:i w:val="0"/>
          <w:color w:val="000000"/>
          <w:sz w:val="21"/>
        </w:rPr>
        <w:t>This creates an opportunity for a property evidence layer. Realtors' Practice should not claim to replace a government search or legal opinion. It can organize property identifiers, submitted documents, government references, professional reviews, source links, correction history, and outstanding questions into a single private record.</w:t>
      </w:r>
    </w:p>
    <w:p>
      <w:pPr>
        <w:pStyle w:val="Heading2"/>
        <w:keepNext/>
        <w:spacing w:before="160" w:after="100"/>
      </w:pPr>
      <w:r>
        <w:t>Finance is expensive and decisions are less forgiving</w:t>
      </w:r>
    </w:p>
    <w:p>
      <w:pPr>
        <w:keepNext w:val="0"/>
        <w:spacing w:after="100" w:line="269" w:lineRule="auto"/>
      </w:pPr>
      <w:r>
        <w:rPr>
          <w:rFonts w:ascii="Times New Roman" w:hAnsi="Times New Roman" w:eastAsia="Times New Roman"/>
          <w:b w:val="0"/>
          <w:i w:val="0"/>
          <w:color w:val="000000"/>
          <w:sz w:val="21"/>
        </w:rPr>
        <w:t>The Central Bank of Nigeria retained the Monetary Policy Rate at 26.5 percent in July 2026.</w:t>
      </w:r>
      <w:r>
        <w:rPr>
          <w:rFonts w:ascii="Times New Roman" w:hAnsi="Times New Roman" w:eastAsia="Times New Roman"/>
          <w:b w:val="0"/>
          <w:color w:val="000000"/>
          <w:sz w:val="16"/>
          <w:vertAlign w:val="superscript"/>
        </w:rPr>
        <w:t>[5]</w:t>
      </w:r>
      <w:r>
        <w:rPr>
          <w:rFonts w:ascii="Times New Roman" w:hAnsi="Times New Roman" w:eastAsia="Times New Roman"/>
          <w:b w:val="0"/>
          <w:i w:val="0"/>
          <w:color w:val="000000"/>
          <w:sz w:val="21"/>
        </w:rPr>
        <w:t xml:space="preserve"> Policy rates are not the same as a mortgage or developer loan rate, but they describe a high cost of capital environment. Developers have less room for slow sales, unsuitable unit mixes, incorrect pricing, or duplicated lead handling.</w:t>
      </w:r>
    </w:p>
    <w:p>
      <w:pPr>
        <w:keepNext w:val="0"/>
        <w:spacing w:after="100" w:line="269" w:lineRule="auto"/>
      </w:pPr>
      <w:r>
        <w:rPr>
          <w:rFonts w:ascii="Times New Roman" w:hAnsi="Times New Roman" w:eastAsia="Times New Roman"/>
          <w:b w:val="0"/>
          <w:i w:val="0"/>
          <w:color w:val="000000"/>
          <w:sz w:val="21"/>
        </w:rPr>
        <w:t>The National Housing Data Committee presentation reports that residential mortgage balances rose from NGN 18.7 billion in the first quarter of 2023 to NGN 150.3 billion in the first quarter of 2025. In the same data, credit identified for real estate construction and home developers fell from NGN 453.8 billion in the third quarter of 2024 to NGN 366.5 billion in the first quarter of 2025.</w:t>
      </w:r>
      <w:r>
        <w:rPr>
          <w:rFonts w:ascii="Times New Roman" w:hAnsi="Times New Roman" w:eastAsia="Times New Roman"/>
          <w:b w:val="0"/>
          <w:color w:val="000000"/>
          <w:sz w:val="16"/>
          <w:vertAlign w:val="superscript"/>
        </w:rPr>
        <w:t>[6]</w:t>
      </w:r>
      <w:r>
        <w:rPr>
          <w:rFonts w:ascii="Times New Roman" w:hAnsi="Times New Roman" w:eastAsia="Times New Roman"/>
          <w:b w:val="0"/>
          <w:i w:val="0"/>
          <w:color w:val="000000"/>
          <w:sz w:val="21"/>
        </w:rPr>
        <w:t xml:space="preserve"> These balances are not a complete measure of the market, but the direction supports two opportunities: better borrower and project screening for lenders, and tighter launch and absorption intelligence for developers.</w:t>
      </w:r>
    </w:p>
    <w:p>
      <w:pPr>
        <w:keepNext w:val="0"/>
        <w:spacing w:after="100" w:line="269" w:lineRule="auto"/>
      </w:pPr>
      <w:r>
        <w:rPr>
          <w:rFonts w:ascii="Times New Roman" w:hAnsi="Times New Roman" w:eastAsia="Times New Roman"/>
          <w:b w:val="0"/>
          <w:i w:val="0"/>
          <w:color w:val="000000"/>
          <w:sz w:val="21"/>
        </w:rPr>
        <w:t>Realtors' Practice should exploit this by helping developers test unit mix, advertised competition, payment plans, and price position before launch. Later, it can supply lenders and valuation partners with source traceable monitoring. It should not issue formal valuations or credit decisions itself.</w:t>
      </w:r>
    </w:p>
    <w:p>
      <w:pPr>
        <w:pStyle w:val="Heading2"/>
        <w:keepNext/>
        <w:spacing w:before="160" w:after="100"/>
      </w:pPr>
      <w:r>
        <w:t>Diaspora money supports a remote trust product</w:t>
      </w:r>
    </w:p>
    <w:p>
      <w:pPr>
        <w:keepNext w:val="0"/>
        <w:spacing w:after="100" w:line="269" w:lineRule="auto"/>
      </w:pPr>
      <w:r>
        <w:rPr>
          <w:rFonts w:ascii="Times New Roman" w:hAnsi="Times New Roman" w:eastAsia="Times New Roman"/>
          <w:b w:val="0"/>
          <w:i w:val="0"/>
          <w:color w:val="000000"/>
          <w:sz w:val="21"/>
        </w:rPr>
        <w:t>The Central Bank reported personal remittances of US$20.93 billion in 2024, up 8.9 percent, while International Money Transfer Operator inflows rose 43.5 percent to US$4.73 billion.</w:t>
      </w:r>
      <w:r>
        <w:rPr>
          <w:rFonts w:ascii="Times New Roman" w:hAnsi="Times New Roman" w:eastAsia="Times New Roman"/>
          <w:b w:val="0"/>
          <w:color w:val="000000"/>
          <w:sz w:val="16"/>
          <w:vertAlign w:val="superscript"/>
        </w:rPr>
        <w:t>[3]</w:t>
      </w:r>
      <w:r>
        <w:rPr>
          <w:rFonts w:ascii="Times New Roman" w:hAnsi="Times New Roman" w:eastAsia="Times New Roman"/>
          <w:b w:val="0"/>
          <w:i w:val="0"/>
          <w:color w:val="000000"/>
          <w:sz w:val="21"/>
        </w:rPr>
        <w:t xml:space="preserve"> In 2025, the CBN introduced Non Resident Nigerian Ordinary and Investment Accounts and launched remote Bank Verification Number access for non residents.</w:t>
      </w:r>
      <w:r>
        <w:rPr>
          <w:rFonts w:ascii="Times New Roman" w:hAnsi="Times New Roman" w:eastAsia="Times New Roman"/>
          <w:b w:val="0"/>
          <w:color w:val="000000"/>
          <w:sz w:val="16"/>
          <w:vertAlign w:val="superscript"/>
        </w:rPr>
        <w:t>[4]</w:t>
      </w:r>
      <w:r>
        <w:rPr>
          <w:rFonts w:ascii="Times New Roman" w:hAnsi="Times New Roman" w:eastAsia="Times New Roman"/>
          <w:b w:val="0"/>
          <w:i w:val="0"/>
          <w:color w:val="000000"/>
          <w:sz w:val="21"/>
        </w:rPr>
        <w:t xml:space="preserve"> These reforms reduce some payment and identity friction for Nigerians abroad.</w:t>
      </w:r>
    </w:p>
    <w:p>
      <w:pPr>
        <w:keepNext w:val="0"/>
        <w:spacing w:after="100" w:line="269" w:lineRule="auto"/>
      </w:pPr>
      <w:r>
        <w:rPr>
          <w:rFonts w:ascii="Times New Roman" w:hAnsi="Times New Roman" w:eastAsia="Times New Roman"/>
          <w:b w:val="0"/>
          <w:i w:val="0"/>
          <w:color w:val="000000"/>
          <w:sz w:val="21"/>
        </w:rPr>
        <w:t>The commercial gap is not another page of listings. Diaspora buyers need evidence they can inspect remotely, an independent record of claims, reliable site updates, named professional responsibility, and a documented path from shortlist to completion. BuyLetLive already positions itself around secure and transparent diaspora property purchases, while Seso promotes vetted projects and finance partnerships.</w:t>
      </w:r>
      <w:r>
        <w:rPr>
          <w:rFonts w:ascii="Times New Roman" w:hAnsi="Times New Roman" w:eastAsia="Times New Roman"/>
          <w:b w:val="0"/>
          <w:color w:val="000000"/>
          <w:sz w:val="16"/>
          <w:vertAlign w:val="superscript"/>
        </w:rPr>
        <w:t>[26]</w:t>
      </w:r>
      <w:r>
        <w:rPr>
          <w:rFonts w:ascii="Times New Roman" w:hAnsi="Times New Roman" w:eastAsia="Times New Roman"/>
          <w:b w:val="0"/>
          <w:color w:val="000000"/>
          <w:sz w:val="16"/>
          <w:vertAlign w:val="superscript"/>
        </w:rPr>
        <w:t>[25]</w:t>
      </w:r>
      <w:r>
        <w:rPr>
          <w:rFonts w:ascii="Times New Roman" w:hAnsi="Times New Roman" w:eastAsia="Times New Roman"/>
          <w:b w:val="0"/>
          <w:i w:val="0"/>
          <w:color w:val="000000"/>
          <w:sz w:val="21"/>
        </w:rPr>
        <w:t xml:space="preserve"> Realtors' Practice must be more specific than a broad trust promise.</w:t>
      </w:r>
    </w:p>
    <w:p>
      <w:pPr>
        <w:keepNext w:val="0"/>
        <w:spacing w:after="100" w:line="269" w:lineRule="auto"/>
      </w:pPr>
      <w:r>
        <w:rPr>
          <w:rFonts w:ascii="Times New Roman" w:hAnsi="Times New Roman" w:eastAsia="Times New Roman"/>
          <w:b w:val="0"/>
          <w:i w:val="0"/>
          <w:color w:val="000000"/>
          <w:sz w:val="21"/>
        </w:rPr>
        <w:t>The defensible offer is a corridor specific evidence and monitoring service. It should show what was checked, by whom, on what date, against which source, and what remains unverified. The platform should make uncertainty visible rather than hiding it behind one badge.</w:t>
      </w:r>
    </w:p>
    <w:p>
      <w:pPr>
        <w:pStyle w:val="Heading2"/>
        <w:keepNext/>
        <w:spacing w:before="160" w:after="100"/>
      </w:pPr>
      <w:r>
        <w:t>Infrastructure creates opportunity and localized risk</w:t>
      </w:r>
    </w:p>
    <w:p>
      <w:pPr>
        <w:keepNext w:val="0"/>
        <w:spacing w:after="100" w:line="269" w:lineRule="auto"/>
      </w:pPr>
      <w:r>
        <w:rPr>
          <w:rFonts w:ascii="Times New Roman" w:hAnsi="Times New Roman" w:eastAsia="Times New Roman"/>
          <w:b w:val="0"/>
          <w:i w:val="0"/>
          <w:color w:val="000000"/>
          <w:sz w:val="21"/>
        </w:rPr>
        <w:t>Lagos State's 2025 budget implementation report records approximately NGN 126.83 billion of spending against the rehabilitation and reconstruction of parts of the Eti Osa Lekki Epe Expressway, as well as an Ibeju Lekki electrification item.</w:t>
      </w:r>
      <w:r>
        <w:rPr>
          <w:rFonts w:ascii="Times New Roman" w:hAnsi="Times New Roman" w:eastAsia="Times New Roman"/>
          <w:b w:val="0"/>
          <w:color w:val="000000"/>
          <w:sz w:val="16"/>
          <w:vertAlign w:val="superscript"/>
        </w:rPr>
        <w:t>[7]</w:t>
      </w:r>
      <w:r>
        <w:rPr>
          <w:rFonts w:ascii="Times New Roman" w:hAnsi="Times New Roman" w:eastAsia="Times New Roman"/>
          <w:b w:val="0"/>
          <w:i w:val="0"/>
          <w:color w:val="000000"/>
          <w:sz w:val="21"/>
        </w:rPr>
        <w:t xml:space="preserve"> The Lekki Free Zone website reports 152 enterprises and 3,000 hectares of investment space.</w:t>
      </w:r>
      <w:r>
        <w:rPr>
          <w:rFonts w:ascii="Times New Roman" w:hAnsi="Times New Roman" w:eastAsia="Times New Roman"/>
          <w:b w:val="0"/>
          <w:color w:val="000000"/>
          <w:sz w:val="16"/>
          <w:vertAlign w:val="superscript"/>
        </w:rPr>
        <w:t>[8]</w:t>
      </w:r>
      <w:r>
        <w:rPr>
          <w:rFonts w:ascii="Times New Roman" w:hAnsi="Times New Roman" w:eastAsia="Times New Roman"/>
          <w:b w:val="0"/>
          <w:i w:val="0"/>
          <w:color w:val="000000"/>
          <w:sz w:val="21"/>
        </w:rPr>
        <w:t xml:space="preserve"> Lagos also introduced a truck call up system for the Free Zone and refinery area to manage corridor congestion.</w:t>
      </w:r>
      <w:r>
        <w:rPr>
          <w:rFonts w:ascii="Times New Roman" w:hAnsi="Times New Roman" w:eastAsia="Times New Roman"/>
          <w:b w:val="0"/>
          <w:color w:val="000000"/>
          <w:sz w:val="16"/>
          <w:vertAlign w:val="superscript"/>
        </w:rPr>
        <w:t>[9]</w:t>
      </w:r>
    </w:p>
    <w:p>
      <w:pPr>
        <w:keepNext w:val="0"/>
        <w:spacing w:after="100" w:line="269" w:lineRule="auto"/>
      </w:pPr>
      <w:r>
        <w:rPr>
          <w:rFonts w:ascii="Times New Roman" w:hAnsi="Times New Roman" w:eastAsia="Times New Roman"/>
          <w:b w:val="0"/>
          <w:i w:val="0"/>
          <w:color w:val="000000"/>
          <w:sz w:val="21"/>
        </w:rPr>
        <w:t>These facts support demand for geospatial monitoring, but they do not prove that every nearby property will appreciate. A useful product must distinguish announced, budgeted, under construction, operational, delayed, and completed infrastructure. It should also record negative effects such as congestion, access disruption, industrial land use, drainage, and utility constraints.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trPr>
        <w:tc>
          <w:tcPr>
            <w:tcW w:type="dxa" w:w="2232"/>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7"/>
              </w:rPr>
              <w:t>Market condition</w:t>
            </w:r>
          </w:p>
        </w:tc>
        <w:tc>
          <w:tcPr>
            <w:tcW w:type="dxa" w:w="2664"/>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7"/>
              </w:rPr>
              <w:t>Customer problem</w:t>
            </w:r>
          </w:p>
        </w:tc>
        <w:tc>
          <w:tcPr>
            <w:tcW w:type="dxa" w:w="2952"/>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7"/>
              </w:rPr>
              <w:t>Product opportunity</w:t>
            </w:r>
          </w:p>
        </w:tc>
        <w:tc>
          <w:tcPr>
            <w:tcW w:type="dxa" w:w="2088"/>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7"/>
              </w:rPr>
              <w:t>Commercial buyer</w:t>
            </w:r>
          </w:p>
        </w:tc>
      </w:tr>
      <w:tr>
        <w:tc>
          <w:tcPr>
            <w:tcW w:type="dxa" w:w="2232"/>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Fragmented land and project records</w:t>
            </w:r>
          </w:p>
        </w:tc>
        <w:tc>
          <w:tcPr>
            <w:tcW w:type="dxa" w:w="2664"/>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Evidence is scattered and difficult to verify</w:t>
            </w:r>
          </w:p>
        </w:tc>
        <w:tc>
          <w:tcPr>
            <w:tcW w:type="dxa" w:w="2952"/>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Private property and project evidence file</w:t>
            </w:r>
          </w:p>
        </w:tc>
        <w:tc>
          <w:tcPr>
            <w:tcW w:type="dxa" w:w="2088"/>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Buyer, developer, lender</w:t>
            </w:r>
          </w:p>
        </w:tc>
      </w:tr>
      <w:tr>
        <w:tc>
          <w:tcPr>
            <w:tcW w:type="dxa" w:w="2232"/>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High cost of capital</w:t>
            </w:r>
          </w:p>
        </w:tc>
        <w:tc>
          <w:tcPr>
            <w:tcW w:type="dxa" w:w="2664"/>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Slow absorption and pricing mistakes are expensive</w:t>
            </w:r>
          </w:p>
        </w:tc>
        <w:tc>
          <w:tcPr>
            <w:tcW w:type="dxa" w:w="2952"/>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Launch study and monthly competitor monitor</w:t>
            </w:r>
          </w:p>
        </w:tc>
        <w:tc>
          <w:tcPr>
            <w:tcW w:type="dxa" w:w="2088"/>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Developer, capital partner</w:t>
            </w:r>
          </w:p>
        </w:tc>
      </w:tr>
      <w:tr>
        <w:tc>
          <w:tcPr>
            <w:tcW w:type="dxa" w:w="2232"/>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Growing formal remittance channels</w:t>
            </w:r>
          </w:p>
        </w:tc>
        <w:tc>
          <w:tcPr>
            <w:tcW w:type="dxa" w:w="2664"/>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Remote buyers lack trusted local visibility</w:t>
            </w:r>
          </w:p>
        </w:tc>
        <w:tc>
          <w:tcPr>
            <w:tcW w:type="dxa" w:w="2952"/>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Diaspora decision pack and construction monitor</w:t>
            </w:r>
          </w:p>
        </w:tc>
        <w:tc>
          <w:tcPr>
            <w:tcW w:type="dxa" w:w="2088"/>
            <w:vAlign w:val="center"/>
            <w:tcMar>
              <w:top w:w="110" w:type="dxa"/>
              <w:start w:w="110" w:type="dxa"/>
              <w:bottom w:w="110" w:type="dxa"/>
              <w:end w:w="110" w:type="dxa"/>
            </w:tcMar>
          </w:tcPr>
          <w:p>
            <w:pPr>
              <w:spacing w:after="0" w:line="245" w:lineRule="auto"/>
              <w:jc w:val="center"/>
            </w:pPr>
            <w:r>
              <w:rPr>
                <w:rFonts w:ascii="Times New Roman" w:hAnsi="Times New Roman" w:eastAsia="Times New Roman"/>
                <w:b w:val="0"/>
                <w:i w:val="0"/>
                <w:color w:val="000000"/>
                <w:sz w:val="17"/>
              </w:rPr>
              <w:t>Diaspora buyer</w:t>
            </w:r>
          </w:p>
        </w:tc>
      </w:tr>
      <w:tr>
        <w:tc>
          <w:tcPr>
            <w:tcW w:type="dxa" w:w="2232"/>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Infrastructure investment</w:t>
            </w:r>
          </w:p>
        </w:tc>
        <w:tc>
          <w:tcPr>
            <w:tcW w:type="dxa" w:w="2664"/>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Announcements are confused with delivered impact</w:t>
            </w:r>
          </w:p>
        </w:tc>
        <w:tc>
          <w:tcPr>
            <w:tcW w:type="dxa" w:w="2952"/>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Infrastructure exposure monitor by zone</w:t>
            </w:r>
          </w:p>
        </w:tc>
        <w:tc>
          <w:tcPr>
            <w:tcW w:type="dxa" w:w="2088"/>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Developer, investor, lender</w:t>
            </w:r>
          </w:p>
        </w:tc>
      </w:tr>
      <w:tr>
        <w:tc>
          <w:tcPr>
            <w:tcW w:type="dxa" w:w="2232"/>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Weak standardized housing data</w:t>
            </w:r>
          </w:p>
        </w:tc>
        <w:tc>
          <w:tcPr>
            <w:tcW w:type="dxa" w:w="2664"/>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Firms repeat manual research</w:t>
            </w:r>
          </w:p>
        </w:tc>
        <w:tc>
          <w:tcPr>
            <w:tcW w:type="dxa" w:w="2952"/>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Licensed feeds, benchmarks, and data cleaning</w:t>
            </w:r>
          </w:p>
        </w:tc>
        <w:tc>
          <w:tcPr>
            <w:tcW w:type="dxa" w:w="2088"/>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Institution, professional firm</w:t>
            </w:r>
          </w:p>
        </w:tc>
      </w:tr>
      <w:tr>
        <w:tc>
          <w:tcPr>
            <w:tcW w:type="dxa" w:w="2232"/>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Complex building compliance</w:t>
            </w:r>
          </w:p>
        </w:tc>
        <w:tc>
          <w:tcPr>
            <w:tcW w:type="dxa" w:w="2664"/>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Documents and stage obligations are missed</w:t>
            </w:r>
          </w:p>
        </w:tc>
        <w:tc>
          <w:tcPr>
            <w:tcW w:type="dxa" w:w="2952"/>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Project compliance workflow with licensed partners</w:t>
            </w:r>
          </w:p>
        </w:tc>
        <w:tc>
          <w:tcPr>
            <w:tcW w:type="dxa" w:w="2088"/>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Developer, lender, buyer</w:t>
            </w:r>
          </w:p>
        </w:tc>
      </w:tr>
    </w:tbl>
    <w:p>
      <w:pPr>
        <w:spacing w:after="0"/>
      </w:pPr>
    </w:p>
    <w:p>
      <w:pPr>
        <w:pStyle w:val="Heading1"/>
        <w:keepNext/>
        <w:spacing w:before="240" w:after="100"/>
      </w:pPr>
      <w:r>
        <w:t>Competitive market and exploitable gaps</w:t>
      </w:r>
    </w:p>
    <w:p>
      <w:pPr>
        <w:keepNext w:val="0"/>
        <w:spacing w:after="100" w:line="269" w:lineRule="auto"/>
      </w:pPr>
      <w:r>
        <w:rPr>
          <w:rFonts w:ascii="Times New Roman" w:hAnsi="Times New Roman" w:eastAsia="Times New Roman"/>
          <w:b w:val="0"/>
          <w:i w:val="0"/>
          <w:color w:val="000000"/>
          <w:sz w:val="21"/>
        </w:rPr>
        <w:t>Nigeria already has strong listing portals. PropertyPro's published monthly agent plans range from NGN 15,900 to NGN 169,900 and focus on listing capacity, premium placement, social promotion, and access to demand information.</w:t>
      </w:r>
      <w:r>
        <w:rPr>
          <w:rFonts w:ascii="Times New Roman" w:hAnsi="Times New Roman" w:eastAsia="Times New Roman"/>
          <w:b w:val="0"/>
          <w:color w:val="000000"/>
          <w:sz w:val="16"/>
          <w:vertAlign w:val="superscript"/>
        </w:rPr>
        <w:t>[21]</w:t>
      </w:r>
      <w:r>
        <w:rPr>
          <w:rFonts w:ascii="Times New Roman" w:hAnsi="Times New Roman" w:eastAsia="Times New Roman"/>
          <w:b w:val="0"/>
          <w:i w:val="0"/>
          <w:color w:val="000000"/>
          <w:sz w:val="21"/>
        </w:rPr>
        <w:t xml:space="preserve"> Nigeria Property Centre offers one free listing and charges NGN 6,000 per month for buyer and renter requests, with higher plans built around premium listings and boosts.</w:t>
      </w:r>
      <w:r>
        <w:rPr>
          <w:rFonts w:ascii="Times New Roman" w:hAnsi="Times New Roman" w:eastAsia="Times New Roman"/>
          <w:b w:val="0"/>
          <w:color w:val="000000"/>
          <w:sz w:val="16"/>
          <w:vertAlign w:val="superscript"/>
        </w:rPr>
        <w:t>[22]</w:t>
      </w:r>
    </w:p>
    <w:p>
      <w:pPr>
        <w:keepNext w:val="0"/>
        <w:spacing w:after="100" w:line="269" w:lineRule="auto"/>
      </w:pPr>
      <w:r>
        <w:rPr>
          <w:rFonts w:ascii="Times New Roman" w:hAnsi="Times New Roman" w:eastAsia="Times New Roman"/>
          <w:b w:val="0"/>
          <w:i w:val="0"/>
          <w:color w:val="000000"/>
          <w:sz w:val="21"/>
        </w:rPr>
        <w:t>Those models are supported by existing search traffic and inventory. Realtors' Practice has little current traction, so copying the same subscription proposition would ask agents to pay for reach before the company can supply it. Lower pricing would not solve the network problem and could attract low quality inventory that increases verification cost.</w:t>
      </w:r>
    </w:p>
    <w:p>
      <w:pPr>
        <w:keepNext w:val="0"/>
        <w:spacing w:after="100" w:line="269" w:lineRule="auto"/>
      </w:pPr>
      <w:r>
        <w:rPr>
          <w:rFonts w:ascii="Times New Roman" w:hAnsi="Times New Roman" w:eastAsia="Times New Roman"/>
          <w:b w:val="0"/>
          <w:i w:val="0"/>
          <w:color w:val="000000"/>
          <w:sz w:val="21"/>
        </w:rPr>
        <w:t>Estate Intel validates a different category. It sells market data, projects, comparables, pipeline intelligence, reports, bespoke research, and datasets.</w:t>
      </w:r>
      <w:r>
        <w:rPr>
          <w:rFonts w:ascii="Times New Roman" w:hAnsi="Times New Roman" w:eastAsia="Times New Roman"/>
          <w:b w:val="0"/>
          <w:color w:val="000000"/>
          <w:sz w:val="16"/>
          <w:vertAlign w:val="superscript"/>
        </w:rPr>
        <w:t>[23]</w:t>
      </w:r>
      <w:r>
        <w:rPr>
          <w:rFonts w:ascii="Times New Roman" w:hAnsi="Times New Roman" w:eastAsia="Times New Roman"/>
          <w:b w:val="0"/>
          <w:color w:val="000000"/>
          <w:sz w:val="16"/>
          <w:vertAlign w:val="superscript"/>
        </w:rPr>
        <w:t>[24]</w:t>
      </w:r>
      <w:r>
        <w:rPr>
          <w:rFonts w:ascii="Times New Roman" w:hAnsi="Times New Roman" w:eastAsia="Times New Roman"/>
          <w:b w:val="0"/>
          <w:i w:val="0"/>
          <w:color w:val="000000"/>
          <w:sz w:val="21"/>
        </w:rPr>
        <w:t xml:space="preserve"> Seso and BuyLetLive show that verified inventory and diaspora support are visible competitive themes.</w:t>
      </w:r>
      <w:r>
        <w:rPr>
          <w:rFonts w:ascii="Times New Roman" w:hAnsi="Times New Roman" w:eastAsia="Times New Roman"/>
          <w:b w:val="0"/>
          <w:color w:val="000000"/>
          <w:sz w:val="16"/>
          <w:vertAlign w:val="superscript"/>
        </w:rPr>
        <w:t>[25]</w:t>
      </w:r>
      <w:r>
        <w:rPr>
          <w:rFonts w:ascii="Times New Roman" w:hAnsi="Times New Roman" w:eastAsia="Times New Roman"/>
          <w:b w:val="0"/>
          <w:color w:val="000000"/>
          <w:sz w:val="16"/>
          <w:vertAlign w:val="superscript"/>
        </w:rPr>
        <w:t>[26]</w:t>
      </w:r>
      <w:r>
        <w:rPr>
          <w:rFonts w:ascii="Times New Roman" w:hAnsi="Times New Roman" w:eastAsia="Times New Roman"/>
          <w:b w:val="0"/>
          <w:i w:val="0"/>
          <w:color w:val="000000"/>
          <w:sz w:val="21"/>
        </w:rPr>
        <w:t xml:space="preserve"> The remaining gap is a narrow combination of local market intelligence, project operations, evidence provenance, and licensed professional coordination for one corridor.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trPr>
        <w:tc>
          <w:tcPr>
            <w:tcW w:type="dxa" w:w="2088"/>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7"/>
              </w:rPr>
              <w:t>Competitor type</w:t>
            </w:r>
          </w:p>
        </w:tc>
        <w:tc>
          <w:tcPr>
            <w:tcW w:type="dxa" w:w="2520"/>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7"/>
              </w:rPr>
              <w:t>What customers buy</w:t>
            </w:r>
          </w:p>
        </w:tc>
        <w:tc>
          <w:tcPr>
            <w:tcW w:type="dxa" w:w="2592"/>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7"/>
              </w:rPr>
              <w:t>Their advantage</w:t>
            </w:r>
          </w:p>
        </w:tc>
        <w:tc>
          <w:tcPr>
            <w:tcW w:type="dxa" w:w="2880"/>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7"/>
              </w:rPr>
              <w:t>RP response</w:t>
            </w:r>
          </w:p>
        </w:tc>
      </w:tr>
      <w:tr>
        <w:tc>
          <w:tcPr>
            <w:tcW w:type="dxa" w:w="2088"/>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Large listing portals</w:t>
            </w:r>
          </w:p>
        </w:tc>
        <w:tc>
          <w:tcPr>
            <w:tcW w:type="dxa" w:w="2520"/>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Exposure, listings, boosts, buyer requests</w:t>
            </w:r>
          </w:p>
        </w:tc>
        <w:tc>
          <w:tcPr>
            <w:tcW w:type="dxa" w:w="2592"/>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Traffic and broad inventory</w:t>
            </w:r>
          </w:p>
        </w:tc>
        <w:tc>
          <w:tcPr>
            <w:tcW w:type="dxa" w:w="2880"/>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Keep listings free and avoid a traffic price war</w:t>
            </w:r>
          </w:p>
        </w:tc>
      </w:tr>
      <w:tr>
        <w:tc>
          <w:tcPr>
            <w:tcW w:type="dxa" w:w="2088"/>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Property data firms</w:t>
            </w:r>
          </w:p>
        </w:tc>
        <w:tc>
          <w:tcPr>
            <w:tcW w:type="dxa" w:w="2520"/>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Research, comps, projects, datasets</w:t>
            </w:r>
          </w:p>
        </w:tc>
        <w:tc>
          <w:tcPr>
            <w:tcW w:type="dxa" w:w="2592"/>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Established institutional data brand</w:t>
            </w:r>
          </w:p>
        </w:tc>
        <w:tc>
          <w:tcPr>
            <w:tcW w:type="dxa" w:w="2880"/>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Own the Lekki Epe operational niche and provide deeper project workflows</w:t>
            </w:r>
          </w:p>
        </w:tc>
      </w:tr>
      <w:tr>
        <w:tc>
          <w:tcPr>
            <w:tcW w:type="dxa" w:w="2088"/>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Verified transaction platforms</w:t>
            </w:r>
          </w:p>
        </w:tc>
        <w:tc>
          <w:tcPr>
            <w:tcW w:type="dxa" w:w="2520"/>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Curated properties and remote buyer support</w:t>
            </w:r>
          </w:p>
        </w:tc>
        <w:tc>
          <w:tcPr>
            <w:tcW w:type="dxa" w:w="2592"/>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Trust positioning and developer inventory</w:t>
            </w:r>
          </w:p>
        </w:tc>
        <w:tc>
          <w:tcPr>
            <w:tcW w:type="dxa" w:w="2880"/>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Provide evidence states, source history, and independent monitoring</w:t>
            </w:r>
          </w:p>
        </w:tc>
      </w:tr>
      <w:tr>
        <w:tc>
          <w:tcPr>
            <w:tcW w:type="dxa" w:w="2088"/>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Traditional professionals</w:t>
            </w:r>
          </w:p>
        </w:tc>
        <w:tc>
          <w:tcPr>
            <w:tcW w:type="dxa" w:w="2520"/>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Valuation, legal work, surveys, agency</w:t>
            </w:r>
          </w:p>
        </w:tc>
        <w:tc>
          <w:tcPr>
            <w:tcW w:type="dxa" w:w="2592"/>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Licences and professional liability</w:t>
            </w:r>
          </w:p>
        </w:tc>
        <w:tc>
          <w:tcPr>
            <w:tcW w:type="dxa" w:w="2880"/>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Become their workflow and data partner, not their replacement</w:t>
            </w:r>
          </w:p>
        </w:tc>
      </w:tr>
      <w:tr>
        <w:tc>
          <w:tcPr>
            <w:tcW w:type="dxa" w:w="2088"/>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Developer spreadsheets and CRMs</w:t>
            </w:r>
          </w:p>
        </w:tc>
        <w:tc>
          <w:tcPr>
            <w:tcW w:type="dxa" w:w="2520"/>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Inventory and lead administration</w:t>
            </w:r>
          </w:p>
        </w:tc>
        <w:tc>
          <w:tcPr>
            <w:tcW w:type="dxa" w:w="2592"/>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Familiar and inexpensive</w:t>
            </w:r>
          </w:p>
        </w:tc>
        <w:tc>
          <w:tcPr>
            <w:tcW w:type="dxa" w:w="2880"/>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Import existing sheets and prove one measurable workflow benefit</w:t>
            </w:r>
          </w:p>
        </w:tc>
      </w:tr>
    </w:tbl>
    <w:p>
      <w:pPr>
        <w:spacing w:after="0"/>
      </w:pPr>
    </w:p>
    <w:p>
      <w:pPr>
        <w:pStyle w:val="Heading1"/>
        <w:keepNext/>
        <w:spacing w:before="240" w:after="100"/>
      </w:pPr>
      <w:r>
        <w:t>Priority opportunities</w:t>
      </w:r>
    </w:p>
    <w:p>
      <w:pPr>
        <w:keepNext w:val="0"/>
        <w:spacing w:after="100" w:line="269" w:lineRule="auto"/>
      </w:pPr>
      <w:r>
        <w:rPr>
          <w:rFonts w:ascii="Times New Roman" w:hAnsi="Times New Roman" w:eastAsia="Times New Roman"/>
          <w:b w:val="0"/>
          <w:i w:val="0"/>
          <w:color w:val="000000"/>
          <w:sz w:val="21"/>
        </w:rPr>
        <w:t>The following ranking weighs speed to cash, customer urgency, use of existing capabilities, defensibility, delivery load, and legal exposure. Scores are strategic judgments, not measured market shares.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99"/>
        <w:gridCol w:w="1999"/>
        <w:gridCol w:w="1999"/>
        <w:gridCol w:w="1999"/>
        <w:gridCol w:w="1999"/>
      </w:tblGrid>
      <w:tr>
        <w:trPr>
          <w:tblHeader w:val="true"/>
        </w:trPr>
        <w:tc>
          <w:tcPr>
            <w:tcW w:type="dxa" w:w="605"/>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6"/>
              </w:rPr>
              <w:t>Rank</w:t>
            </w:r>
          </w:p>
        </w:tc>
        <w:tc>
          <w:tcPr>
            <w:tcW w:type="dxa" w:w="2520"/>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6"/>
              </w:rPr>
              <w:t>Opportunity</w:t>
            </w:r>
          </w:p>
        </w:tc>
        <w:tc>
          <w:tcPr>
            <w:tcW w:type="dxa" w:w="2232"/>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6"/>
              </w:rPr>
              <w:t>First buyer</w:t>
            </w:r>
          </w:p>
        </w:tc>
        <w:tc>
          <w:tcPr>
            <w:tcW w:type="dxa" w:w="2376"/>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6"/>
              </w:rPr>
              <w:t>Test price</w:t>
            </w:r>
          </w:p>
        </w:tc>
        <w:tc>
          <w:tcPr>
            <w:tcW w:type="dxa" w:w="2232"/>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6"/>
              </w:rPr>
              <w:t>Decision</w:t>
            </w:r>
          </w:p>
        </w:tc>
      </w:tr>
      <w:tr>
        <w:tc>
          <w:tcPr>
            <w:tcW w:type="dxa" w:w="605"/>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1</w:t>
            </w:r>
          </w:p>
        </w:tc>
        <w:tc>
          <w:tcPr>
            <w:tcW w:type="dxa" w:w="2520"/>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Developer launch intelligence</w:t>
            </w:r>
          </w:p>
        </w:tc>
        <w:tc>
          <w:tcPr>
            <w:tcW w:type="dxa" w:w="2232"/>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Active corridor developer</w:t>
            </w:r>
          </w:p>
        </w:tc>
        <w:tc>
          <w:tcPr>
            <w:tcW w:type="dxa" w:w="2376"/>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NGN 500,000 founding pilot</w:t>
            </w:r>
          </w:p>
        </w:tc>
        <w:tc>
          <w:tcPr>
            <w:tcW w:type="dxa" w:w="2232"/>
            <w:vAlign w:val="center"/>
            <w:tcMar>
              <w:top w:w="110" w:type="dxa"/>
              <w:start w:w="110" w:type="dxa"/>
              <w:bottom w:w="110" w:type="dxa"/>
              <w:end w:w="110" w:type="dxa"/>
            </w:tcMar>
          </w:tcPr>
          <w:p>
            <w:pPr>
              <w:spacing w:after="0" w:line="245" w:lineRule="auto"/>
              <w:jc w:val="center"/>
            </w:pPr>
            <w:r>
              <w:rPr>
                <w:rFonts w:ascii="Times New Roman" w:hAnsi="Times New Roman" w:eastAsia="Times New Roman"/>
                <w:b w:val="0"/>
                <w:i w:val="0"/>
                <w:color w:val="000000"/>
                <w:sz w:val="16"/>
              </w:rPr>
              <w:t>Sell now</w:t>
            </w:r>
          </w:p>
        </w:tc>
      </w:tr>
      <w:tr>
        <w:tc>
          <w:tcPr>
            <w:tcW w:type="dxa" w:w="605"/>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2</w:t>
            </w:r>
          </w:p>
        </w:tc>
        <w:tc>
          <w:tcPr>
            <w:tcW w:type="dxa" w:w="2520"/>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Diaspora property decision pack</w:t>
            </w:r>
          </w:p>
        </w:tc>
        <w:tc>
          <w:tcPr>
            <w:tcW w:type="dxa" w:w="2232"/>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Buyer with a shortlist</w:t>
            </w:r>
          </w:p>
        </w:tc>
        <w:tc>
          <w:tcPr>
            <w:tcW w:type="dxa" w:w="2376"/>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NGN 150,000 to 350,000</w:t>
            </w:r>
          </w:p>
        </w:tc>
        <w:tc>
          <w:tcPr>
            <w:tcW w:type="dxa" w:w="2232"/>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Sell with partners</w:t>
            </w:r>
          </w:p>
        </w:tc>
      </w:tr>
      <w:tr>
        <w:tc>
          <w:tcPr>
            <w:tcW w:type="dxa" w:w="605"/>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3</w:t>
            </w:r>
          </w:p>
        </w:tc>
        <w:tc>
          <w:tcPr>
            <w:tcW w:type="dxa" w:w="2520"/>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Project and corridor monitoring</w:t>
            </w:r>
          </w:p>
        </w:tc>
        <w:tc>
          <w:tcPr>
            <w:tcW w:type="dxa" w:w="2232"/>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Developer or capital partner</w:t>
            </w:r>
          </w:p>
        </w:tc>
        <w:tc>
          <w:tcPr>
            <w:tcW w:type="dxa" w:w="2376"/>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NGN 250,000 monthly</w:t>
            </w:r>
          </w:p>
        </w:tc>
        <w:tc>
          <w:tcPr>
            <w:tcW w:type="dxa" w:w="2232"/>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Upsell from studies</w:t>
            </w:r>
          </w:p>
        </w:tc>
      </w:tr>
      <w:tr>
        <w:tc>
          <w:tcPr>
            <w:tcW w:type="dxa" w:w="605"/>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4</w:t>
            </w:r>
          </w:p>
        </w:tc>
        <w:tc>
          <w:tcPr>
            <w:tcW w:type="dxa" w:w="2520"/>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Verified project passport</w:t>
            </w:r>
          </w:p>
        </w:tc>
        <w:tc>
          <w:tcPr>
            <w:tcW w:type="dxa" w:w="2232"/>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Developer with active sales</w:t>
            </w:r>
          </w:p>
        </w:tc>
        <w:tc>
          <w:tcPr>
            <w:tcW w:type="dxa" w:w="2376"/>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NGN 300,000 setup plus monthly fee</w:t>
            </w:r>
          </w:p>
        </w:tc>
        <w:tc>
          <w:tcPr>
            <w:tcW w:type="dxa" w:w="2232"/>
            <w:shd w:fill="F7F7F7"/>
            <w:vAlign w:val="center"/>
            <w:tcMar>
              <w:top w:w="110" w:type="dxa"/>
              <w:start w:w="110" w:type="dxa"/>
              <w:bottom w:w="110" w:type="dxa"/>
              <w:end w:w="110" w:type="dxa"/>
            </w:tcMar>
          </w:tcPr>
          <w:p>
            <w:pPr>
              <w:spacing w:after="0" w:line="245" w:lineRule="auto"/>
              <w:jc w:val="center"/>
            </w:pPr>
            <w:r>
              <w:rPr>
                <w:rFonts w:ascii="Times New Roman" w:hAnsi="Times New Roman" w:eastAsia="Times New Roman"/>
                <w:b w:val="0"/>
                <w:i w:val="0"/>
                <w:color w:val="000000"/>
                <w:sz w:val="16"/>
              </w:rPr>
              <w:t>Pilot now</w:t>
            </w:r>
          </w:p>
        </w:tc>
      </w:tr>
      <w:tr>
        <w:tc>
          <w:tcPr>
            <w:tcW w:type="dxa" w:w="605"/>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5</w:t>
            </w:r>
          </w:p>
        </w:tc>
        <w:tc>
          <w:tcPr>
            <w:tcW w:type="dxa" w:w="2520"/>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Developer inventory and lead operations</w:t>
            </w:r>
          </w:p>
        </w:tc>
        <w:tc>
          <w:tcPr>
            <w:tcW w:type="dxa" w:w="2232"/>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Developer with 10 to 100 units</w:t>
            </w:r>
          </w:p>
        </w:tc>
        <w:tc>
          <w:tcPr>
            <w:tcW w:type="dxa" w:w="2376"/>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NGN 75,000 to 250,000 monthly</w:t>
            </w:r>
          </w:p>
        </w:tc>
        <w:tc>
          <w:tcPr>
            <w:tcW w:type="dxa" w:w="2232"/>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Design partner pilot</w:t>
            </w:r>
          </w:p>
        </w:tc>
      </w:tr>
      <w:tr>
        <w:tc>
          <w:tcPr>
            <w:tcW w:type="dxa" w:w="605"/>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6</w:t>
            </w:r>
          </w:p>
        </w:tc>
        <w:tc>
          <w:tcPr>
            <w:tcW w:type="dxa" w:w="2520"/>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Lender and valuation partner monitor</w:t>
            </w:r>
          </w:p>
        </w:tc>
        <w:tc>
          <w:tcPr>
            <w:tcW w:type="dxa" w:w="2232"/>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Valuation firm or lender</w:t>
            </w:r>
          </w:p>
        </w:tc>
        <w:tc>
          <w:tcPr>
            <w:tcW w:type="dxa" w:w="2376"/>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Custom annual contract</w:t>
            </w:r>
          </w:p>
        </w:tc>
        <w:tc>
          <w:tcPr>
            <w:tcW w:type="dxa" w:w="2232"/>
            <w:shd w:fill="F7F7F7"/>
            <w:vAlign w:val="center"/>
            <w:tcMar>
              <w:top w:w="110" w:type="dxa"/>
              <w:start w:w="110" w:type="dxa"/>
              <w:bottom w:w="110" w:type="dxa"/>
              <w:end w:w="110" w:type="dxa"/>
            </w:tcMar>
          </w:tcPr>
          <w:p>
            <w:pPr>
              <w:spacing w:after="0" w:line="245" w:lineRule="auto"/>
              <w:jc w:val="center"/>
            </w:pPr>
            <w:r>
              <w:rPr>
                <w:rFonts w:ascii="Times New Roman" w:hAnsi="Times New Roman" w:eastAsia="Times New Roman"/>
                <w:b w:val="0"/>
                <w:i w:val="0"/>
                <w:color w:val="000000"/>
                <w:sz w:val="16"/>
              </w:rPr>
              <w:t>Partner led pilot</w:t>
            </w:r>
          </w:p>
        </w:tc>
      </w:tr>
      <w:tr>
        <w:tc>
          <w:tcPr>
            <w:tcW w:type="dxa" w:w="605"/>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7</w:t>
            </w:r>
          </w:p>
        </w:tc>
        <w:tc>
          <w:tcPr>
            <w:tcW w:type="dxa" w:w="2520"/>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Infrastructure exposure monitor</w:t>
            </w:r>
          </w:p>
        </w:tc>
        <w:tc>
          <w:tcPr>
            <w:tcW w:type="dxa" w:w="2232"/>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Developer, investor, adviser</w:t>
            </w:r>
          </w:p>
        </w:tc>
        <w:tc>
          <w:tcPr>
            <w:tcW w:type="dxa" w:w="2376"/>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Included in studies, then subscription</w:t>
            </w:r>
          </w:p>
        </w:tc>
        <w:tc>
          <w:tcPr>
            <w:tcW w:type="dxa" w:w="2232"/>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Build from official sources</w:t>
            </w:r>
          </w:p>
        </w:tc>
      </w:tr>
      <w:tr>
        <w:tc>
          <w:tcPr>
            <w:tcW w:type="dxa" w:w="605"/>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8</w:t>
            </w:r>
          </w:p>
        </w:tc>
        <w:tc>
          <w:tcPr>
            <w:tcW w:type="dxa" w:w="2520"/>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Licensed data feed and API</w:t>
            </w:r>
          </w:p>
        </w:tc>
        <w:tc>
          <w:tcPr>
            <w:tcW w:type="dxa" w:w="2232"/>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Institution or proptech</w:t>
            </w:r>
          </w:p>
        </w:tc>
        <w:tc>
          <w:tcPr>
            <w:tcW w:type="dxa" w:w="2376"/>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NGN 150,000 monthly and above</w:t>
            </w:r>
          </w:p>
        </w:tc>
        <w:tc>
          <w:tcPr>
            <w:tcW w:type="dxa" w:w="2232"/>
            <w:shd w:fill="F7F7F7"/>
            <w:vAlign w:val="center"/>
            <w:tcMar>
              <w:top w:w="110" w:type="dxa"/>
              <w:start w:w="110" w:type="dxa"/>
              <w:bottom w:w="110" w:type="dxa"/>
              <w:end w:w="110" w:type="dxa"/>
            </w:tcMar>
          </w:tcPr>
          <w:p>
            <w:pPr>
              <w:spacing w:after="0" w:line="245" w:lineRule="auto"/>
              <w:jc w:val="center"/>
            </w:pPr>
            <w:r>
              <w:rPr>
                <w:rFonts w:ascii="Times New Roman" w:hAnsi="Times New Roman" w:eastAsia="Times New Roman"/>
                <w:b w:val="0"/>
                <w:i w:val="0"/>
                <w:color w:val="000000"/>
                <w:sz w:val="16"/>
              </w:rPr>
              <w:t>Rights first</w:t>
            </w:r>
          </w:p>
        </w:tc>
      </w:tr>
      <w:tr>
        <w:tc>
          <w:tcPr>
            <w:tcW w:type="dxa" w:w="605"/>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9</w:t>
            </w:r>
          </w:p>
        </w:tc>
        <w:tc>
          <w:tcPr>
            <w:tcW w:type="dxa" w:w="2520"/>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Professional request network</w:t>
            </w:r>
          </w:p>
        </w:tc>
        <w:tc>
          <w:tcPr>
            <w:tcW w:type="dxa" w:w="2232"/>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Buyer or developer</w:t>
            </w:r>
          </w:p>
        </w:tc>
        <w:tc>
          <w:tcPr>
            <w:tcW w:type="dxa" w:w="2376"/>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Provider subscription or qualified lead fee</w:t>
            </w:r>
          </w:p>
        </w:tc>
        <w:tc>
          <w:tcPr>
            <w:tcW w:type="dxa" w:w="2232"/>
            <w:vAlign w:val="center"/>
            <w:tcMar>
              <w:top w:w="110" w:type="dxa"/>
              <w:start w:w="110" w:type="dxa"/>
              <w:bottom w:w="110" w:type="dxa"/>
              <w:end w:w="110" w:type="dxa"/>
            </w:tcMar>
          </w:tcPr>
          <w:p>
            <w:pPr>
              <w:spacing w:after="0" w:line="245" w:lineRule="auto"/>
              <w:jc w:val="center"/>
            </w:pPr>
            <w:r>
              <w:rPr>
                <w:rFonts w:ascii="Times New Roman" w:hAnsi="Times New Roman" w:eastAsia="Times New Roman"/>
                <w:b w:val="0"/>
                <w:i w:val="0"/>
                <w:color w:val="000000"/>
                <w:sz w:val="16"/>
              </w:rPr>
              <w:t>No fund custody</w:t>
            </w:r>
          </w:p>
        </w:tc>
      </w:tr>
      <w:tr>
        <w:tc>
          <w:tcPr>
            <w:tcW w:type="dxa" w:w="605"/>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10</w:t>
            </w:r>
          </w:p>
        </w:tc>
        <w:tc>
          <w:tcPr>
            <w:tcW w:type="dxa" w:w="2520"/>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Agent listing subscription</w:t>
            </w:r>
          </w:p>
        </w:tc>
        <w:tc>
          <w:tcPr>
            <w:tcW w:type="dxa" w:w="2232"/>
            <w:shd w:fill="F7F7F7"/>
            <w:vAlign w:val="center"/>
            <w:tcMar>
              <w:top w:w="110" w:type="dxa"/>
              <w:start w:w="110" w:type="dxa"/>
              <w:bottom w:w="110" w:type="dxa"/>
              <w:end w:w="110" w:type="dxa"/>
            </w:tcMar>
          </w:tcPr>
          <w:p>
            <w:pPr>
              <w:spacing w:after="0" w:line="245" w:lineRule="auto"/>
              <w:jc w:val="center"/>
            </w:pPr>
            <w:r>
              <w:rPr>
                <w:rFonts w:ascii="Times New Roman" w:hAnsi="Times New Roman" w:eastAsia="Times New Roman"/>
                <w:b w:val="0"/>
                <w:i w:val="0"/>
                <w:color w:val="000000"/>
                <w:sz w:val="16"/>
              </w:rPr>
              <w:t>Agent</w:t>
            </w:r>
          </w:p>
        </w:tc>
        <w:tc>
          <w:tcPr>
            <w:tcW w:type="dxa" w:w="2376"/>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Free until demand is proven</w:t>
            </w:r>
          </w:p>
        </w:tc>
        <w:tc>
          <w:tcPr>
            <w:tcW w:type="dxa" w:w="2232"/>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Defer paid listing focus</w:t>
            </w:r>
          </w:p>
        </w:tc>
      </w:tr>
    </w:tbl>
    <w:p>
      <w:pPr>
        <w:spacing w:after="0"/>
      </w:pPr>
    </w:p>
    <w:p>
      <w:pPr>
        <w:pStyle w:val="Heading2"/>
        <w:keepNext/>
        <w:spacing w:before="160" w:after="100"/>
      </w:pPr>
      <w:r>
        <w:t>Developer launch intelligence</w:t>
      </w:r>
    </w:p>
    <w:p>
      <w:pPr>
        <w:keepNext w:val="0"/>
        <w:spacing w:after="100" w:line="269" w:lineRule="auto"/>
      </w:pPr>
      <w:r>
        <w:rPr>
          <w:rFonts w:ascii="Times New Roman" w:hAnsi="Times New Roman" w:eastAsia="Times New Roman"/>
          <w:b w:val="0"/>
          <w:i w:val="0"/>
          <w:color w:val="000000"/>
          <w:sz w:val="21"/>
        </w:rPr>
        <w:t>This should be the first flagship offer. A developer pays before acquiring land, approving a scheme, changing unit mix, setting a payment plan, or launching sales. The service answers a defined decision rather than producing a general market report.</w:t>
      </w:r>
    </w:p>
    <w:p>
      <w:pPr>
        <w:pStyle w:val="ListBullet"/>
        <w:spacing w:after="50" w:line="259" w:lineRule="auto"/>
      </w:pPr>
      <w:r>
        <w:rPr>
          <w:rFonts w:ascii="Times New Roman" w:hAnsi="Times New Roman" w:eastAsia="Times New Roman"/>
          <w:b w:val="0"/>
          <w:i w:val="0"/>
          <w:color w:val="000000"/>
          <w:sz w:val="20"/>
        </w:rPr>
        <w:t>Competing active and pipeline projects within a defined catchment</w:t>
      </w:r>
    </w:p>
    <w:p>
      <w:pPr>
        <w:pStyle w:val="ListBullet"/>
        <w:spacing w:after="50" w:line="259" w:lineRule="auto"/>
      </w:pPr>
      <w:r>
        <w:rPr>
          <w:rFonts w:ascii="Times New Roman" w:hAnsi="Times New Roman" w:eastAsia="Times New Roman"/>
          <w:b w:val="0"/>
          <w:i w:val="0"/>
          <w:color w:val="000000"/>
          <w:sz w:val="20"/>
        </w:rPr>
        <w:t>Deduplicated asking price and price per square metre distributions</w:t>
      </w:r>
    </w:p>
    <w:p>
      <w:pPr>
        <w:pStyle w:val="ListBullet"/>
        <w:spacing w:after="50" w:line="259" w:lineRule="auto"/>
      </w:pPr>
      <w:r>
        <w:rPr>
          <w:rFonts w:ascii="Times New Roman" w:hAnsi="Times New Roman" w:eastAsia="Times New Roman"/>
          <w:b w:val="0"/>
          <w:i w:val="0"/>
          <w:color w:val="000000"/>
          <w:sz w:val="20"/>
        </w:rPr>
        <w:t>Unit type, finish, amenity, construction stage, and payment plan comparison</w:t>
      </w:r>
    </w:p>
    <w:p>
      <w:pPr>
        <w:pStyle w:val="ListBullet"/>
        <w:spacing w:after="50" w:line="259" w:lineRule="auto"/>
      </w:pPr>
      <w:r>
        <w:rPr>
          <w:rFonts w:ascii="Times New Roman" w:hAnsi="Times New Roman" w:eastAsia="Times New Roman"/>
          <w:b w:val="0"/>
          <w:i w:val="0"/>
          <w:color w:val="000000"/>
          <w:sz w:val="20"/>
        </w:rPr>
        <w:t>New listing, repricing, withdrawal, duplication, and stale inventory signals</w:t>
      </w:r>
    </w:p>
    <w:p>
      <w:pPr>
        <w:pStyle w:val="ListBullet"/>
        <w:spacing w:after="50" w:line="259" w:lineRule="auto"/>
      </w:pPr>
      <w:r>
        <w:rPr>
          <w:rFonts w:ascii="Times New Roman" w:hAnsi="Times New Roman" w:eastAsia="Times New Roman"/>
          <w:b w:val="0"/>
          <w:i w:val="0"/>
          <w:color w:val="000000"/>
          <w:sz w:val="20"/>
        </w:rPr>
        <w:t>Infrastructure status and exposure by precise zone</w:t>
      </w:r>
    </w:p>
    <w:p>
      <w:pPr>
        <w:pStyle w:val="ListBullet"/>
        <w:spacing w:after="50" w:line="259" w:lineRule="auto"/>
      </w:pPr>
      <w:r>
        <w:rPr>
          <w:rFonts w:ascii="Times New Roman" w:hAnsi="Times New Roman" w:eastAsia="Times New Roman"/>
          <w:b w:val="0"/>
          <w:i w:val="0"/>
          <w:color w:val="000000"/>
          <w:sz w:val="20"/>
        </w:rPr>
        <w:t>Data confidence, source category, last seen date, limitations, and unresolved questions</w:t>
      </w:r>
    </w:p>
    <w:p>
      <w:pPr>
        <w:pStyle w:val="ListBullet"/>
        <w:spacing w:after="50" w:line="259" w:lineRule="auto"/>
      </w:pPr>
      <w:r>
        <w:rPr>
          <w:rFonts w:ascii="Times New Roman" w:hAnsi="Times New Roman" w:eastAsia="Times New Roman"/>
          <w:b w:val="0"/>
          <w:i w:val="0"/>
          <w:color w:val="000000"/>
          <w:sz w:val="20"/>
        </w:rPr>
        <w:t>Analyst workshop with clear actions and a monthly monitoring option</w:t>
      </w:r>
    </w:p>
    <w:p>
      <w:pPr>
        <w:keepNext w:val="0"/>
        <w:spacing w:after="100" w:line="269" w:lineRule="auto"/>
      </w:pPr>
      <w:r>
        <w:rPr>
          <w:rFonts w:ascii="Times New Roman" w:hAnsi="Times New Roman" w:eastAsia="Times New Roman"/>
          <w:b w:val="0"/>
          <w:i w:val="0"/>
          <w:color w:val="000000"/>
          <w:sz w:val="21"/>
        </w:rPr>
        <w:t>Price a tightly scoped founding pilot at NGN 350,000 to 600,000. Move standard work to NGN 750,000 to 1.5 million after two successful pilots. Complex multi site work can exceed NGN 1.5 million. These are testing ranges. Quote against the capital decision and delivery effort, and track staff hours and direct data cost.</w:t>
      </w:r>
    </w:p>
    <w:p>
      <w:pPr>
        <w:pStyle w:val="Heading2"/>
        <w:keepNext/>
        <w:spacing w:before="160" w:after="100"/>
      </w:pPr>
      <w:r>
        <w:t>Diaspora property decision and monitoring service</w:t>
      </w:r>
    </w:p>
    <w:p>
      <w:pPr>
        <w:keepNext w:val="0"/>
        <w:spacing w:after="100" w:line="269" w:lineRule="auto"/>
      </w:pPr>
      <w:r>
        <w:rPr>
          <w:rFonts w:ascii="Times New Roman" w:hAnsi="Times New Roman" w:eastAsia="Times New Roman"/>
          <w:b w:val="0"/>
          <w:i w:val="0"/>
          <w:color w:val="000000"/>
          <w:sz w:val="21"/>
        </w:rPr>
        <w:t>This offer should be sold directly to a buyer who already has a property or shortlist. The free lead magnet is a deposit risk checklist. The paid service organizes market evidence, documents, questions, site observations, and licensed professional work.</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trPr>
        <w:tc>
          <w:tcPr>
            <w:tcW w:type="dxa" w:w="1800"/>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6"/>
              </w:rPr>
              <w:t>Level</w:t>
            </w:r>
          </w:p>
        </w:tc>
        <w:tc>
          <w:tcPr>
            <w:tcW w:type="dxa" w:w="4032"/>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6"/>
              </w:rPr>
              <w:t>Scope</w:t>
            </w:r>
          </w:p>
        </w:tc>
        <w:tc>
          <w:tcPr>
            <w:tcW w:type="dxa" w:w="2088"/>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6"/>
              </w:rPr>
              <w:t>Suggested test price</w:t>
            </w:r>
          </w:p>
        </w:tc>
        <w:tc>
          <w:tcPr>
            <w:tcW w:type="dxa" w:w="2160"/>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6"/>
              </w:rPr>
              <w:t>Professional boundary</w:t>
            </w:r>
          </w:p>
        </w:tc>
      </w:tr>
      <w:tr>
        <w:tc>
          <w:tcPr>
            <w:tcW w:type="dxa" w:w="1800"/>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Shortlist review</w:t>
            </w:r>
          </w:p>
        </w:tc>
        <w:tc>
          <w:tcPr>
            <w:tcW w:type="dxa" w:w="4032"/>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Up to three properties, market context, source conflicts, questions</w:t>
            </w:r>
          </w:p>
        </w:tc>
        <w:tc>
          <w:tcPr>
            <w:tcW w:type="dxa" w:w="2088"/>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NGN 75,000 to 150,000</w:t>
            </w:r>
          </w:p>
        </w:tc>
        <w:tc>
          <w:tcPr>
            <w:tcW w:type="dxa" w:w="2160"/>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No title or valuation opinion</w:t>
            </w:r>
          </w:p>
        </w:tc>
      </w:tr>
      <w:tr>
        <w:tc>
          <w:tcPr>
            <w:tcW w:type="dxa" w:w="1800"/>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Decision pack</w:t>
            </w:r>
          </w:p>
        </w:tc>
        <w:tc>
          <w:tcPr>
            <w:tcW w:type="dxa" w:w="4032"/>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Comps, advertised price history, project alternatives, risk register, call</w:t>
            </w:r>
          </w:p>
        </w:tc>
        <w:tc>
          <w:tcPr>
            <w:tcW w:type="dxa" w:w="2088"/>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NGN 150,000 to 350,000</w:t>
            </w:r>
          </w:p>
        </w:tc>
        <w:tc>
          <w:tcPr>
            <w:tcW w:type="dxa" w:w="2160"/>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Evidence and coordination</w:t>
            </w:r>
          </w:p>
        </w:tc>
      </w:tr>
      <w:tr>
        <w:tc>
          <w:tcPr>
            <w:tcW w:type="dxa" w:w="1800"/>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Partner led diligence</w:t>
            </w:r>
          </w:p>
        </w:tc>
        <w:tc>
          <w:tcPr>
            <w:tcW w:type="dxa" w:w="4032"/>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Private evidence room, legal title review, survey, formal valuation where needed</w:t>
            </w:r>
          </w:p>
        </w:tc>
        <w:tc>
          <w:tcPr>
            <w:tcW w:type="dxa" w:w="2088"/>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From NGN 350,000 plus partner fees</w:t>
            </w:r>
          </w:p>
        </w:tc>
        <w:tc>
          <w:tcPr>
            <w:tcW w:type="dxa" w:w="2160"/>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Named licensed professionals own regulated opinions</w:t>
            </w:r>
          </w:p>
        </w:tc>
      </w:tr>
      <w:tr>
        <w:tc>
          <w:tcPr>
            <w:tcW w:type="dxa" w:w="1800"/>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Off plan monitor</w:t>
            </w:r>
          </w:p>
        </w:tc>
        <w:tc>
          <w:tcPr>
            <w:tcW w:type="dxa" w:w="4032"/>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Monthly site evidence, milestone log, inventory or payment record, exception alerts</w:t>
            </w:r>
          </w:p>
        </w:tc>
        <w:tc>
          <w:tcPr>
            <w:tcW w:type="dxa" w:w="2088"/>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NGN 50,000 to 150,000 monthly</w:t>
            </w:r>
          </w:p>
        </w:tc>
        <w:tc>
          <w:tcPr>
            <w:tcW w:type="dxa" w:w="2160"/>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Independent observation, not construction certification</w:t>
            </w:r>
          </w:p>
        </w:tc>
      </w:tr>
    </w:tbl>
    <w:p>
      <w:pPr>
        <w:spacing w:after="0"/>
      </w:pPr>
    </w:p>
    <w:p>
      <w:pPr>
        <w:pStyle w:val="Heading2"/>
        <w:keepNext/>
        <w:spacing w:before="160" w:after="100"/>
      </w:pPr>
      <w:r>
        <w:t>Verified project passport</w:t>
      </w:r>
    </w:p>
    <w:p>
      <w:pPr>
        <w:keepNext w:val="0"/>
        <w:spacing w:after="100" w:line="269" w:lineRule="auto"/>
      </w:pPr>
      <w:r>
        <w:rPr>
          <w:rFonts w:ascii="Times New Roman" w:hAnsi="Times New Roman" w:eastAsia="Times New Roman"/>
          <w:b w:val="0"/>
          <w:i w:val="0"/>
          <w:color w:val="000000"/>
          <w:sz w:val="21"/>
        </w:rPr>
        <w:t>Create one structured record for each participating development. The passport should not claim that a property is safe or genuine in every respect. It should identify the evidence received and the party responsible for each review.</w:t>
      </w:r>
    </w:p>
    <w:p>
      <w:pPr>
        <w:pStyle w:val="ListBullet"/>
        <w:spacing w:after="50" w:line="259" w:lineRule="auto"/>
      </w:pPr>
      <w:r>
        <w:rPr>
          <w:rFonts w:ascii="Times New Roman" w:hAnsi="Times New Roman" w:eastAsia="Times New Roman"/>
          <w:b w:val="0"/>
          <w:i w:val="0"/>
          <w:color w:val="000000"/>
          <w:sz w:val="20"/>
        </w:rPr>
        <w:t>Project identity, legal entity, site coordinates, and developer contacts</w:t>
      </w:r>
    </w:p>
    <w:p>
      <w:pPr>
        <w:pStyle w:val="ListBullet"/>
        <w:spacing w:after="50" w:line="259" w:lineRule="auto"/>
      </w:pPr>
      <w:r>
        <w:rPr>
          <w:rFonts w:ascii="Times New Roman" w:hAnsi="Times New Roman" w:eastAsia="Times New Roman"/>
          <w:b w:val="0"/>
          <w:i w:val="0"/>
          <w:color w:val="000000"/>
          <w:sz w:val="20"/>
        </w:rPr>
        <w:t>Planning permit and LASBCA authorization references supplied by the developer</w:t>
      </w:r>
    </w:p>
    <w:p>
      <w:pPr>
        <w:pStyle w:val="ListBullet"/>
        <w:spacing w:after="50" w:line="259" w:lineRule="auto"/>
      </w:pPr>
      <w:r>
        <w:rPr>
          <w:rFonts w:ascii="Times New Roman" w:hAnsi="Times New Roman" w:eastAsia="Times New Roman"/>
          <w:b w:val="0"/>
          <w:i w:val="0"/>
          <w:color w:val="000000"/>
          <w:sz w:val="20"/>
        </w:rPr>
        <w:t>Named architects, builders, engineers, surveyors, valuers, and legal advisers with credential checks</w:t>
      </w:r>
    </w:p>
    <w:p>
      <w:pPr>
        <w:pStyle w:val="ListBullet"/>
        <w:spacing w:after="50" w:line="259" w:lineRule="auto"/>
      </w:pPr>
      <w:r>
        <w:rPr>
          <w:rFonts w:ascii="Times New Roman" w:hAnsi="Times New Roman" w:eastAsia="Times New Roman"/>
          <w:b w:val="0"/>
          <w:i w:val="0"/>
          <w:color w:val="000000"/>
          <w:sz w:val="20"/>
        </w:rPr>
        <w:t>Document state: not supplied, supplied and unreviewed, partner reviewed, or verified by a named authority or professional</w:t>
      </w:r>
    </w:p>
    <w:p>
      <w:pPr>
        <w:pStyle w:val="ListBullet"/>
        <w:spacing w:after="50" w:line="259" w:lineRule="auto"/>
      </w:pPr>
      <w:r>
        <w:rPr>
          <w:rFonts w:ascii="Times New Roman" w:hAnsi="Times New Roman" w:eastAsia="Times New Roman"/>
          <w:b w:val="0"/>
          <w:i w:val="0"/>
          <w:color w:val="000000"/>
          <w:sz w:val="20"/>
        </w:rPr>
        <w:t>Construction milestones, dated site media, changes, correction history, and completion or fitness certificate status</w:t>
      </w:r>
    </w:p>
    <w:p>
      <w:pPr>
        <w:pStyle w:val="ListBullet"/>
        <w:spacing w:after="50" w:line="259" w:lineRule="auto"/>
      </w:pPr>
      <w:r>
        <w:rPr>
          <w:rFonts w:ascii="Times New Roman" w:hAnsi="Times New Roman" w:eastAsia="Times New Roman"/>
          <w:b w:val="0"/>
          <w:i w:val="0"/>
          <w:color w:val="000000"/>
          <w:sz w:val="20"/>
        </w:rPr>
        <w:t>Current unit inventory, prices, payment plans, and version history</w:t>
      </w:r>
    </w:p>
    <w:p>
      <w:pPr>
        <w:keepNext w:val="0"/>
        <w:spacing w:after="100" w:line="269" w:lineRule="auto"/>
      </w:pPr>
      <w:r>
        <w:rPr>
          <w:rFonts w:ascii="Times New Roman" w:hAnsi="Times New Roman" w:eastAsia="Times New Roman"/>
          <w:b w:val="0"/>
          <w:i w:val="0"/>
          <w:color w:val="000000"/>
          <w:sz w:val="21"/>
        </w:rPr>
        <w:t>LASBCA states that developers need development permits, authorization to commence construction, stage inspections, relevant registered professionals, and a completion and fitness process.</w:t>
      </w:r>
      <w:r>
        <w:rPr>
          <w:rFonts w:ascii="Times New Roman" w:hAnsi="Times New Roman" w:eastAsia="Times New Roman"/>
          <w:b w:val="0"/>
          <w:color w:val="000000"/>
          <w:sz w:val="16"/>
          <w:vertAlign w:val="superscript"/>
        </w:rPr>
        <w:t>[10]</w:t>
      </w:r>
      <w:r>
        <w:rPr>
          <w:rFonts w:ascii="Times New Roman" w:hAnsi="Times New Roman" w:eastAsia="Times New Roman"/>
          <w:b w:val="0"/>
          <w:color w:val="000000"/>
          <w:sz w:val="16"/>
          <w:vertAlign w:val="superscript"/>
        </w:rPr>
        <w:t>[11]</w:t>
      </w:r>
      <w:r>
        <w:rPr>
          <w:rFonts w:ascii="Times New Roman" w:hAnsi="Times New Roman" w:eastAsia="Times New Roman"/>
          <w:b w:val="0"/>
          <w:i w:val="0"/>
          <w:color w:val="000000"/>
          <w:sz w:val="21"/>
        </w:rPr>
        <w:t xml:space="preserve"> Realtors' Practice can translate these public requirements into a workflow and evidence checklist. It must not present its own checklist as government approval.</w:t>
      </w:r>
    </w:p>
    <w:p>
      <w:pPr>
        <w:pStyle w:val="Heading2"/>
        <w:keepNext/>
        <w:spacing w:before="160" w:after="100"/>
      </w:pPr>
      <w:r>
        <w:t>Infrastructure exposure monitor</w:t>
      </w:r>
    </w:p>
    <w:p>
      <w:pPr>
        <w:keepNext w:val="0"/>
        <w:spacing w:after="100" w:line="269" w:lineRule="auto"/>
      </w:pPr>
      <w:r>
        <w:rPr>
          <w:rFonts w:ascii="Times New Roman" w:hAnsi="Times New Roman" w:eastAsia="Times New Roman"/>
          <w:b w:val="0"/>
          <w:i w:val="0"/>
          <w:color w:val="000000"/>
          <w:sz w:val="21"/>
        </w:rPr>
        <w:t>A corridor dashboard can track official roads, power, drainage, port, free zone, and planning information. Every item should carry an evidence state: announced, budgeted, procured, under construction, operational, delayed, or unconfirmed. Link each status to its official source and date.</w:t>
      </w:r>
    </w:p>
    <w:p>
      <w:pPr>
        <w:keepNext w:val="0"/>
        <w:spacing w:after="100" w:line="269" w:lineRule="auto"/>
      </w:pPr>
      <w:r>
        <w:rPr>
          <w:rFonts w:ascii="Times New Roman" w:hAnsi="Times New Roman" w:eastAsia="Times New Roman"/>
          <w:b w:val="0"/>
          <w:i w:val="0"/>
          <w:color w:val="000000"/>
          <w:sz w:val="21"/>
        </w:rPr>
        <w:t>Monetize this as a module inside developer studies and recurring monitoring. Later, sell institutional access by project count or zone. Do not use infrastructure headlines to imply guaranteed appreciation. The product becomes credible by recording delays, revisions, negative impacts, and uncertainty with the same care as positive developments.</w:t>
      </w:r>
    </w:p>
    <w:p>
      <w:pPr>
        <w:pStyle w:val="Heading2"/>
        <w:keepNext/>
        <w:spacing w:before="160" w:after="100"/>
      </w:pPr>
      <w:r>
        <w:t>Lender and valuation partner products</w:t>
      </w:r>
    </w:p>
    <w:p>
      <w:pPr>
        <w:keepNext w:val="0"/>
        <w:spacing w:after="100" w:line="269" w:lineRule="auto"/>
      </w:pPr>
      <w:r>
        <w:rPr>
          <w:rFonts w:ascii="Times New Roman" w:hAnsi="Times New Roman" w:eastAsia="Times New Roman"/>
          <w:b w:val="0"/>
          <w:i w:val="0"/>
          <w:color w:val="000000"/>
          <w:sz w:val="21"/>
        </w:rPr>
        <w:t>Mortgage growth and expensive capital create demand for better monitoring, but lenders require strong controls. Start with an ESVARBON licensed valuation firm or mortgage institution as the contracting partner. Provide property matching, source history, comparable discovery, project progress, inventory changes, and exception alerts. The partner retains responsibility for valuation and credit conclusions.</w:t>
      </w:r>
    </w:p>
    <w:p>
      <w:pPr>
        <w:keepNext w:val="0"/>
        <w:spacing w:after="100" w:line="269" w:lineRule="auto"/>
      </w:pPr>
      <w:r>
        <w:rPr>
          <w:rFonts w:ascii="Times New Roman" w:hAnsi="Times New Roman" w:eastAsia="Times New Roman"/>
          <w:b w:val="0"/>
          <w:i w:val="0"/>
          <w:color w:val="000000"/>
          <w:sz w:val="21"/>
        </w:rPr>
        <w:t>ESVARBON's official registry says only licensed Estate Surveyors and Valuers may sign and seal valuation reports in Nigeria.</w:t>
      </w:r>
      <w:r>
        <w:rPr>
          <w:rFonts w:ascii="Times New Roman" w:hAnsi="Times New Roman" w:eastAsia="Times New Roman"/>
          <w:b w:val="0"/>
          <w:color w:val="000000"/>
          <w:sz w:val="16"/>
          <w:vertAlign w:val="superscript"/>
        </w:rPr>
        <w:t>[13]</w:t>
      </w:r>
      <w:r>
        <w:rPr>
          <w:rFonts w:ascii="Times New Roman" w:hAnsi="Times New Roman" w:eastAsia="Times New Roman"/>
          <w:b w:val="0"/>
          <w:i w:val="0"/>
          <w:color w:val="000000"/>
          <w:sz w:val="21"/>
        </w:rPr>
        <w:t xml:space="preserve"> Realtors' Practice should show the licensed professional's identity and licence status wherever a formal valuation is delivered. Automated estimates should be labeled as market research and should show a range, inputs, date, and confidence.</w:t>
      </w:r>
    </w:p>
    <w:p>
      <w:pPr>
        <w:pStyle w:val="Heading2"/>
        <w:keepNext/>
        <w:spacing w:before="160" w:after="100"/>
      </w:pPr>
      <w:r>
        <w:t>Government and institutional data pilots</w:t>
      </w:r>
    </w:p>
    <w:p>
      <w:pPr>
        <w:keepNext w:val="0"/>
        <w:spacing w:after="100" w:line="269" w:lineRule="auto"/>
      </w:pPr>
      <w:r>
        <w:rPr>
          <w:rFonts w:ascii="Times New Roman" w:hAnsi="Times New Roman" w:eastAsia="Times New Roman"/>
          <w:b w:val="0"/>
          <w:i w:val="0"/>
          <w:color w:val="000000"/>
          <w:sz w:val="21"/>
        </w:rPr>
        <w:t>The federal housing ministry is building a national housing data programme and has identified reliable data as a policy priority.</w:t>
      </w:r>
      <w:r>
        <w:rPr>
          <w:rFonts w:ascii="Times New Roman" w:hAnsi="Times New Roman" w:eastAsia="Times New Roman"/>
          <w:b w:val="0"/>
          <w:color w:val="000000"/>
          <w:sz w:val="16"/>
          <w:vertAlign w:val="superscript"/>
        </w:rPr>
        <w:t>[28]</w:t>
      </w:r>
      <w:r>
        <w:rPr>
          <w:rFonts w:ascii="Times New Roman" w:hAnsi="Times New Roman" w:eastAsia="Times New Roman"/>
          <w:b w:val="0"/>
          <w:i w:val="0"/>
          <w:color w:val="000000"/>
          <w:sz w:val="21"/>
        </w:rPr>
        <w:t xml:space="preserve"> Realtors' Practice can approach the ministry, Lagos agencies, research institutions, and professional bodies with a narrow pilot: a standardized Lekki Epe project register, a listing quality audit, or an infrastructure and supply dashboard.</w:t>
      </w:r>
    </w:p>
    <w:p>
      <w:pPr>
        <w:keepNext w:val="0"/>
        <w:spacing w:after="100" w:line="269" w:lineRule="auto"/>
      </w:pPr>
      <w:r>
        <w:rPr>
          <w:rFonts w:ascii="Times New Roman" w:hAnsi="Times New Roman" w:eastAsia="Times New Roman"/>
          <w:b w:val="0"/>
          <w:i w:val="0"/>
          <w:color w:val="000000"/>
          <w:sz w:val="21"/>
        </w:rPr>
        <w:t>Government work has long procurement cycles and should not carry the first year revenue plan. Its value is legitimacy, data standards, potential access agreements, and institutional references. Offer a small demonstrator with a defined dataset and method. Do not scrape restricted government systems or claim official status without a written agreement.</w:t>
      </w:r>
    </w:p>
    <w:p>
      <w:pPr>
        <w:pStyle w:val="Heading1"/>
        <w:keepNext/>
        <w:spacing w:before="240" w:after="100"/>
      </w:pPr>
      <w:r>
        <w:t>Revenue architecture</w:t>
      </w:r>
    </w:p>
    <w:p>
      <w:pPr>
        <w:keepNext w:val="0"/>
        <w:spacing w:after="100" w:line="269" w:lineRule="auto"/>
      </w:pPr>
      <w:r>
        <w:rPr>
          <w:rFonts w:ascii="Times New Roman" w:hAnsi="Times New Roman" w:eastAsia="Times New Roman"/>
          <w:b w:val="0"/>
          <w:i w:val="0"/>
          <w:color w:val="000000"/>
          <w:sz w:val="21"/>
        </w:rPr>
        <w:t>Use services to create cash and discover the repeated workflow. Convert repeated work into subscriptions. Add data licensing only after rights and demand are proven.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trPr>
        <w:tc>
          <w:tcPr>
            <w:tcW w:type="dxa" w:w="1656"/>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7"/>
              </w:rPr>
              <w:t>Revenue layer</w:t>
            </w:r>
          </w:p>
        </w:tc>
        <w:tc>
          <w:tcPr>
            <w:tcW w:type="dxa" w:w="2880"/>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7"/>
              </w:rPr>
              <w:t>Offer</w:t>
            </w:r>
          </w:p>
        </w:tc>
        <w:tc>
          <w:tcPr>
            <w:tcW w:type="dxa" w:w="3024"/>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7"/>
              </w:rPr>
              <w:t>Pricing basis</w:t>
            </w:r>
          </w:p>
        </w:tc>
        <w:tc>
          <w:tcPr>
            <w:tcW w:type="dxa" w:w="2664"/>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7"/>
              </w:rPr>
              <w:t>Purpose</w:t>
            </w:r>
          </w:p>
        </w:tc>
      </w:tr>
      <w:tr>
        <w:tc>
          <w:tcPr>
            <w:tcW w:type="dxa" w:w="1656"/>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Cash now</w:t>
            </w:r>
          </w:p>
        </w:tc>
        <w:tc>
          <w:tcPr>
            <w:tcW w:type="dxa" w:w="2880"/>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Developer studies and buyer packs</w:t>
            </w:r>
          </w:p>
        </w:tc>
        <w:tc>
          <w:tcPr>
            <w:tcW w:type="dxa" w:w="3024"/>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Fixed scope and decision value</w:t>
            </w:r>
          </w:p>
        </w:tc>
        <w:tc>
          <w:tcPr>
            <w:tcW w:type="dxa" w:w="2664"/>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Fund operations and validate demand</w:t>
            </w:r>
          </w:p>
        </w:tc>
      </w:tr>
      <w:tr>
        <w:tc>
          <w:tcPr>
            <w:tcW w:type="dxa" w:w="1656"/>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Recurring</w:t>
            </w:r>
          </w:p>
        </w:tc>
        <w:tc>
          <w:tcPr>
            <w:tcW w:type="dxa" w:w="2880"/>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Monitoring and managed project pages</w:t>
            </w:r>
          </w:p>
        </w:tc>
        <w:tc>
          <w:tcPr>
            <w:tcW w:type="dxa" w:w="3024"/>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Projects, zones, cadence, service level</w:t>
            </w:r>
          </w:p>
        </w:tc>
        <w:tc>
          <w:tcPr>
            <w:tcW w:type="dxa" w:w="2664"/>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Create predictable revenue</w:t>
            </w:r>
          </w:p>
        </w:tc>
      </w:tr>
      <w:tr>
        <w:tc>
          <w:tcPr>
            <w:tcW w:type="dxa" w:w="1656"/>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Software</w:t>
            </w:r>
          </w:p>
        </w:tc>
        <w:tc>
          <w:tcPr>
            <w:tcW w:type="dxa" w:w="2880"/>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Intelligence workspace</w:t>
            </w:r>
          </w:p>
        </w:tc>
        <w:tc>
          <w:tcPr>
            <w:tcW w:type="dxa" w:w="3024"/>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Seats, exports, monitored records</w:t>
            </w:r>
          </w:p>
        </w:tc>
        <w:tc>
          <w:tcPr>
            <w:tcW w:type="dxa" w:w="2664"/>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Reduce delivery cost and improve retention</w:t>
            </w:r>
          </w:p>
        </w:tc>
      </w:tr>
      <w:tr>
        <w:tc>
          <w:tcPr>
            <w:tcW w:type="dxa" w:w="1656"/>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Data</w:t>
            </w:r>
          </w:p>
        </w:tc>
        <w:tc>
          <w:tcPr>
            <w:tcW w:type="dxa" w:w="2880"/>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Licensed feeds and API</w:t>
            </w:r>
          </w:p>
        </w:tc>
        <w:tc>
          <w:tcPr>
            <w:tcW w:type="dxa" w:w="3024"/>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Fields, records, zones, refresh, rights</w:t>
            </w:r>
          </w:p>
        </w:tc>
        <w:tc>
          <w:tcPr>
            <w:tcW w:type="dxa" w:w="2664"/>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Scale a defensible data asset</w:t>
            </w:r>
          </w:p>
        </w:tc>
      </w:tr>
      <w:tr>
        <w:tc>
          <w:tcPr>
            <w:tcW w:type="dxa" w:w="1656"/>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Partner network</w:t>
            </w:r>
          </w:p>
        </w:tc>
        <w:tc>
          <w:tcPr>
            <w:tcW w:type="dxa" w:w="2880"/>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Professional requests</w:t>
            </w:r>
          </w:p>
        </w:tc>
        <w:tc>
          <w:tcPr>
            <w:tcW w:type="dxa" w:w="3024"/>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Provider subscription or accepted qualified lead</w:t>
            </w:r>
          </w:p>
        </w:tc>
        <w:tc>
          <w:tcPr>
            <w:tcW w:type="dxa" w:w="2664"/>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Monetize coordination without holding funds</w:t>
            </w:r>
          </w:p>
        </w:tc>
      </w:tr>
    </w:tbl>
    <w:p>
      <w:pPr>
        <w:spacing w:after="0"/>
      </w:pPr>
    </w:p>
    <w:p>
      <w:pPr>
        <w:pStyle w:val="Heading2"/>
        <w:keepNext/>
        <w:spacing w:before="160" w:after="100"/>
      </w:pPr>
      <w:r>
        <w:t>Freemium design</w:t>
      </w:r>
    </w:p>
    <w:p>
      <w:pPr>
        <w:keepNext w:val="0"/>
        <w:spacing w:after="100" w:line="269" w:lineRule="auto"/>
      </w:pPr>
      <w:r>
        <w:rPr>
          <w:rFonts w:ascii="Times New Roman" w:hAnsi="Times New Roman" w:eastAsia="Times New Roman"/>
          <w:b w:val="0"/>
          <w:i w:val="0"/>
          <w:color w:val="000000"/>
          <w:sz w:val="21"/>
        </w:rPr>
        <w:t>Free access should create first party demand signals and move users toward a paid decision. It should not create unlimited support or expensive verification work.</w:t>
      </w:r>
    </w:p>
    <w:p>
      <w:pPr>
        <w:pStyle w:val="ListBullet"/>
        <w:spacing w:after="50" w:line="259" w:lineRule="auto"/>
      </w:pPr>
      <w:r>
        <w:rPr>
          <w:rFonts w:ascii="Times New Roman" w:hAnsi="Times New Roman" w:eastAsia="Times New Roman"/>
          <w:b w:val="0"/>
          <w:i w:val="0"/>
          <w:color w:val="000000"/>
          <w:sz w:val="20"/>
        </w:rPr>
        <w:t>Weekly Lekki Epe market brief with one carefully defined index</w:t>
      </w:r>
    </w:p>
    <w:p>
      <w:pPr>
        <w:pStyle w:val="ListBullet"/>
        <w:spacing w:after="50" w:line="259" w:lineRule="auto"/>
      </w:pPr>
      <w:r>
        <w:rPr>
          <w:rFonts w:ascii="Times New Roman" w:hAnsi="Times New Roman" w:eastAsia="Times New Roman"/>
          <w:b w:val="0"/>
          <w:i w:val="0"/>
          <w:color w:val="000000"/>
          <w:sz w:val="20"/>
        </w:rPr>
        <w:t>Limited saved searches and watchlist alerts</w:t>
      </w:r>
    </w:p>
    <w:p>
      <w:pPr>
        <w:pStyle w:val="ListBullet"/>
        <w:spacing w:after="50" w:line="259" w:lineRule="auto"/>
      </w:pPr>
      <w:r>
        <w:rPr>
          <w:rFonts w:ascii="Times New Roman" w:hAnsi="Times New Roman" w:eastAsia="Times New Roman"/>
          <w:b w:val="0"/>
          <w:i w:val="0"/>
          <w:color w:val="000000"/>
          <w:sz w:val="20"/>
        </w:rPr>
        <w:t>Deposit risk and developer due diligence checklists</w:t>
      </w:r>
    </w:p>
    <w:p>
      <w:pPr>
        <w:pStyle w:val="ListBullet"/>
        <w:spacing w:after="50" w:line="259" w:lineRule="auto"/>
      </w:pPr>
      <w:r>
        <w:rPr>
          <w:rFonts w:ascii="Times New Roman" w:hAnsi="Times New Roman" w:eastAsia="Times New Roman"/>
          <w:b w:val="0"/>
          <w:i w:val="0"/>
          <w:color w:val="000000"/>
          <w:sz w:val="20"/>
        </w:rPr>
        <w:t>One automated listing or project data quality check</w:t>
      </w:r>
    </w:p>
    <w:p>
      <w:pPr>
        <w:pStyle w:val="ListBullet"/>
        <w:spacing w:after="50" w:line="259" w:lineRule="auto"/>
      </w:pPr>
      <w:r>
        <w:rPr>
          <w:rFonts w:ascii="Times New Roman" w:hAnsi="Times New Roman" w:eastAsia="Times New Roman"/>
          <w:b w:val="0"/>
          <w:i w:val="0"/>
          <w:color w:val="000000"/>
          <w:sz w:val="20"/>
        </w:rPr>
        <w:t>Basic agent, developer, and professional profile with transparent verification state</w:t>
      </w:r>
    </w:p>
    <w:p>
      <w:pPr>
        <w:pStyle w:val="ListBullet"/>
        <w:spacing w:after="50" w:line="259" w:lineRule="auto"/>
      </w:pPr>
      <w:r>
        <w:rPr>
          <w:rFonts w:ascii="Times New Roman" w:hAnsi="Times New Roman" w:eastAsia="Times New Roman"/>
          <w:b w:val="0"/>
          <w:i w:val="0"/>
          <w:color w:val="000000"/>
          <w:sz w:val="20"/>
        </w:rPr>
        <w:t>Public area guides based on official planning and infrastructure sources</w:t>
      </w:r>
    </w:p>
    <w:p>
      <w:pPr>
        <w:keepNext w:val="0"/>
        <w:spacing w:after="100" w:line="269" w:lineRule="auto"/>
      </w:pPr>
      <w:r>
        <w:rPr>
          <w:rFonts w:ascii="Times New Roman" w:hAnsi="Times New Roman" w:eastAsia="Times New Roman"/>
          <w:b w:val="0"/>
          <w:i w:val="0"/>
          <w:color w:val="000000"/>
          <w:sz w:val="21"/>
        </w:rPr>
        <w:t>The conversion trigger matters more than the feature limit. A saved shortlist should trigger a buyer decision pack. A repeated competitor search should trigger a developer study. A changing unit grid should trigger a managed project workspace. An institutional export request should trigger a data licence conversation.</w:t>
      </w:r>
    </w:p>
    <w:p>
      <w:pPr>
        <w:pStyle w:val="Heading1"/>
        <w:keepNext/>
        <w:spacing w:before="240" w:after="100"/>
      </w:pPr>
      <w:r>
        <w:t>Ninety day commercial plan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trPr>
        <w:tc>
          <w:tcPr>
            <w:tcW w:type="dxa" w:w="1440"/>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6"/>
              </w:rPr>
              <w:t>Period</w:t>
            </w:r>
          </w:p>
        </w:tc>
        <w:tc>
          <w:tcPr>
            <w:tcW w:type="dxa" w:w="3240"/>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6"/>
              </w:rPr>
              <w:t>Commercial work</w:t>
            </w:r>
          </w:p>
        </w:tc>
        <w:tc>
          <w:tcPr>
            <w:tcW w:type="dxa" w:w="3240"/>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6"/>
              </w:rPr>
              <w:t>Product work</w:t>
            </w:r>
          </w:p>
        </w:tc>
        <w:tc>
          <w:tcPr>
            <w:tcW w:type="dxa" w:w="2376"/>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6"/>
              </w:rPr>
              <w:t>Proof required</w:t>
            </w:r>
          </w:p>
        </w:tc>
      </w:tr>
      <w:tr>
        <w:tc>
          <w:tcPr>
            <w:tcW w:type="dxa" w:w="1440"/>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Days 1 to 15</w:t>
            </w:r>
          </w:p>
        </w:tc>
        <w:tc>
          <w:tcPr>
            <w:tcW w:type="dxa" w:w="3240"/>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Build 100 named accounts and book discovery calls</w:t>
            </w:r>
          </w:p>
        </w:tc>
        <w:tc>
          <w:tcPr>
            <w:tcW w:type="dxa" w:w="3240"/>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Remove unsupported claims and create one sample study</w:t>
            </w:r>
          </w:p>
        </w:tc>
        <w:tc>
          <w:tcPr>
            <w:tcW w:type="dxa" w:w="2376"/>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Ten qualified calls and clear problem language</w:t>
            </w:r>
          </w:p>
        </w:tc>
      </w:tr>
      <w:tr>
        <w:tc>
          <w:tcPr>
            <w:tcW w:type="dxa" w:w="1440"/>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Days 16 to 30</w:t>
            </w:r>
          </w:p>
        </w:tc>
        <w:tc>
          <w:tcPr>
            <w:tcW w:type="dxa" w:w="3240"/>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Sell two founding developer studies and launch buyer intake</w:t>
            </w:r>
          </w:p>
        </w:tc>
        <w:tc>
          <w:tcPr>
            <w:tcW w:type="dxa" w:w="3240"/>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Add provenance, confidence, and rights fields</w:t>
            </w:r>
          </w:p>
        </w:tc>
        <w:tc>
          <w:tcPr>
            <w:tcW w:type="dxa" w:w="2376"/>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First deposits and deliverable scope accepted</w:t>
            </w:r>
          </w:p>
        </w:tc>
      </w:tr>
      <w:tr>
        <w:tc>
          <w:tcPr>
            <w:tcW w:type="dxa" w:w="1440"/>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Days 31 to 60</w:t>
            </w:r>
          </w:p>
        </w:tc>
        <w:tc>
          <w:tcPr>
            <w:tcW w:type="dxa" w:w="3240"/>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Deliver studies, onboard licensed partners, sell monitoring</w:t>
            </w:r>
          </w:p>
        </w:tc>
        <w:tc>
          <w:tcPr>
            <w:tcW w:type="dxa" w:w="3240"/>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Create project passport and private evidence room</w:t>
            </w:r>
          </w:p>
        </w:tc>
        <w:tc>
          <w:tcPr>
            <w:tcW w:type="dxa" w:w="2376"/>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Two satisfied clients and one retainer</w:t>
            </w:r>
          </w:p>
        </w:tc>
      </w:tr>
      <w:tr>
        <w:tc>
          <w:tcPr>
            <w:tcW w:type="dxa" w:w="1440"/>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Days 61 to 90</w:t>
            </w:r>
          </w:p>
        </w:tc>
        <w:tc>
          <w:tcPr>
            <w:tcW w:type="dxa" w:w="3240"/>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Sell two more studies, eight buyer packs, two project pilots</w:t>
            </w:r>
          </w:p>
        </w:tc>
        <w:tc>
          <w:tcPr>
            <w:tcW w:type="dxa" w:w="3240"/>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Automate the most repeated report step</w:t>
            </w:r>
          </w:p>
        </w:tc>
        <w:tc>
          <w:tcPr>
            <w:tcW w:type="dxa" w:w="2376"/>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Three retainers and measured delivery margin</w:t>
            </w:r>
          </w:p>
        </w:tc>
      </w:tr>
    </w:tbl>
    <w:p>
      <w:pPr>
        <w:spacing w:after="0"/>
      </w:pPr>
    </w:p>
    <w:p>
      <w:pPr>
        <w:pStyle w:val="Heading2"/>
        <w:keepNext/>
        <w:spacing w:before="160" w:after="100"/>
      </w:pPr>
      <w:r>
        <w:t>Illustrative revenue experiment</w:t>
      </w:r>
    </w:p>
    <w:p>
      <w:pPr>
        <w:keepNext w:val="0"/>
        <w:spacing w:after="100" w:line="269" w:lineRule="auto"/>
      </w:pPr>
      <w:r>
        <w:rPr>
          <w:rFonts w:ascii="Times New Roman" w:hAnsi="Times New Roman" w:eastAsia="Times New Roman"/>
          <w:b w:val="0"/>
          <w:i w:val="0"/>
          <w:color w:val="000000"/>
          <w:sz w:val="21"/>
        </w:rPr>
        <w:t>The following model is a target for learning, not a forecast. It assumes founder led sales and successful delivery of a small number of paid engagements.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trPr>
        <w:tc>
          <w:tcPr>
            <w:tcW w:type="dxa" w:w="3168"/>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7"/>
              </w:rPr>
              <w:t>Sale</w:t>
            </w:r>
          </w:p>
        </w:tc>
        <w:tc>
          <w:tcPr>
            <w:tcW w:type="dxa" w:w="1944"/>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7"/>
              </w:rPr>
              <w:t>Volume</w:t>
            </w:r>
          </w:p>
        </w:tc>
        <w:tc>
          <w:tcPr>
            <w:tcW w:type="dxa" w:w="2448"/>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7"/>
              </w:rPr>
              <w:t>Test price</w:t>
            </w:r>
          </w:p>
        </w:tc>
        <w:tc>
          <w:tcPr>
            <w:tcW w:type="dxa" w:w="2448"/>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7"/>
              </w:rPr>
              <w:t>Ninety day revenue</w:t>
            </w:r>
          </w:p>
        </w:tc>
      </w:tr>
      <w:tr>
        <w:tc>
          <w:tcPr>
            <w:tcW w:type="dxa" w:w="3168"/>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Founding developer study</w:t>
            </w:r>
          </w:p>
        </w:tc>
        <w:tc>
          <w:tcPr>
            <w:tcW w:type="dxa" w:w="1944"/>
            <w:vAlign w:val="center"/>
            <w:tcMar>
              <w:top w:w="110" w:type="dxa"/>
              <w:start w:w="110" w:type="dxa"/>
              <w:bottom w:w="110" w:type="dxa"/>
              <w:end w:w="110" w:type="dxa"/>
            </w:tcMar>
          </w:tcPr>
          <w:p>
            <w:pPr>
              <w:spacing w:after="0" w:line="245" w:lineRule="auto"/>
              <w:jc w:val="center"/>
            </w:pPr>
            <w:r>
              <w:rPr>
                <w:rFonts w:ascii="Times New Roman" w:hAnsi="Times New Roman" w:eastAsia="Times New Roman"/>
                <w:b w:val="0"/>
                <w:i w:val="0"/>
                <w:color w:val="000000"/>
                <w:sz w:val="17"/>
              </w:rPr>
              <w:t>4</w:t>
            </w:r>
          </w:p>
        </w:tc>
        <w:tc>
          <w:tcPr>
            <w:tcW w:type="dxa" w:w="2448"/>
            <w:vAlign w:val="center"/>
            <w:tcMar>
              <w:top w:w="110" w:type="dxa"/>
              <w:start w:w="110" w:type="dxa"/>
              <w:bottom w:w="110" w:type="dxa"/>
              <w:end w:w="110" w:type="dxa"/>
            </w:tcMar>
          </w:tcPr>
          <w:p>
            <w:pPr>
              <w:spacing w:after="0" w:line="245" w:lineRule="auto"/>
              <w:jc w:val="center"/>
            </w:pPr>
            <w:r>
              <w:rPr>
                <w:rFonts w:ascii="Times New Roman" w:hAnsi="Times New Roman" w:eastAsia="Times New Roman"/>
                <w:b w:val="0"/>
                <w:i w:val="0"/>
                <w:color w:val="000000"/>
                <w:sz w:val="17"/>
              </w:rPr>
              <w:t>NGN 500,000</w:t>
            </w:r>
          </w:p>
        </w:tc>
        <w:tc>
          <w:tcPr>
            <w:tcW w:type="dxa" w:w="2448"/>
            <w:vAlign w:val="center"/>
            <w:tcMar>
              <w:top w:w="110" w:type="dxa"/>
              <w:start w:w="110" w:type="dxa"/>
              <w:bottom w:w="110" w:type="dxa"/>
              <w:end w:w="110" w:type="dxa"/>
            </w:tcMar>
          </w:tcPr>
          <w:p>
            <w:pPr>
              <w:spacing w:after="0" w:line="245" w:lineRule="auto"/>
              <w:jc w:val="center"/>
            </w:pPr>
            <w:r>
              <w:rPr>
                <w:rFonts w:ascii="Times New Roman" w:hAnsi="Times New Roman" w:eastAsia="Times New Roman"/>
                <w:b w:val="0"/>
                <w:i w:val="0"/>
                <w:color w:val="000000"/>
                <w:sz w:val="17"/>
              </w:rPr>
              <w:t>NGN 2,000,000</w:t>
            </w:r>
          </w:p>
        </w:tc>
      </w:tr>
      <w:tr>
        <w:tc>
          <w:tcPr>
            <w:tcW w:type="dxa" w:w="3168"/>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Buyer decision pack</w:t>
            </w:r>
          </w:p>
        </w:tc>
        <w:tc>
          <w:tcPr>
            <w:tcW w:type="dxa" w:w="1944"/>
            <w:shd w:fill="F7F7F7"/>
            <w:vAlign w:val="center"/>
            <w:tcMar>
              <w:top w:w="110" w:type="dxa"/>
              <w:start w:w="110" w:type="dxa"/>
              <w:bottom w:w="110" w:type="dxa"/>
              <w:end w:w="110" w:type="dxa"/>
            </w:tcMar>
          </w:tcPr>
          <w:p>
            <w:pPr>
              <w:spacing w:after="0" w:line="245" w:lineRule="auto"/>
              <w:jc w:val="center"/>
            </w:pPr>
            <w:r>
              <w:rPr>
                <w:rFonts w:ascii="Times New Roman" w:hAnsi="Times New Roman" w:eastAsia="Times New Roman"/>
                <w:b w:val="0"/>
                <w:i w:val="0"/>
                <w:color w:val="000000"/>
                <w:sz w:val="17"/>
              </w:rPr>
              <w:t>8</w:t>
            </w:r>
          </w:p>
        </w:tc>
        <w:tc>
          <w:tcPr>
            <w:tcW w:type="dxa" w:w="2448"/>
            <w:shd w:fill="F7F7F7"/>
            <w:vAlign w:val="center"/>
            <w:tcMar>
              <w:top w:w="110" w:type="dxa"/>
              <w:start w:w="110" w:type="dxa"/>
              <w:bottom w:w="110" w:type="dxa"/>
              <w:end w:w="110" w:type="dxa"/>
            </w:tcMar>
          </w:tcPr>
          <w:p>
            <w:pPr>
              <w:spacing w:after="0" w:line="245" w:lineRule="auto"/>
              <w:jc w:val="center"/>
            </w:pPr>
            <w:r>
              <w:rPr>
                <w:rFonts w:ascii="Times New Roman" w:hAnsi="Times New Roman" w:eastAsia="Times New Roman"/>
                <w:b w:val="0"/>
                <w:i w:val="0"/>
                <w:color w:val="000000"/>
                <w:sz w:val="17"/>
              </w:rPr>
              <w:t>NGN 150,000</w:t>
            </w:r>
          </w:p>
        </w:tc>
        <w:tc>
          <w:tcPr>
            <w:tcW w:type="dxa" w:w="2448"/>
            <w:shd w:fill="F7F7F7"/>
            <w:vAlign w:val="center"/>
            <w:tcMar>
              <w:top w:w="110" w:type="dxa"/>
              <w:start w:w="110" w:type="dxa"/>
              <w:bottom w:w="110" w:type="dxa"/>
              <w:end w:w="110" w:type="dxa"/>
            </w:tcMar>
          </w:tcPr>
          <w:p>
            <w:pPr>
              <w:spacing w:after="0" w:line="245" w:lineRule="auto"/>
              <w:jc w:val="center"/>
            </w:pPr>
            <w:r>
              <w:rPr>
                <w:rFonts w:ascii="Times New Roman" w:hAnsi="Times New Roman" w:eastAsia="Times New Roman"/>
                <w:b w:val="0"/>
                <w:i w:val="0"/>
                <w:color w:val="000000"/>
                <w:sz w:val="17"/>
              </w:rPr>
              <w:t>NGN 1,200,000</w:t>
            </w:r>
          </w:p>
        </w:tc>
      </w:tr>
      <w:tr>
        <w:tc>
          <w:tcPr>
            <w:tcW w:type="dxa" w:w="3168"/>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Monitoring retainer</w:t>
            </w:r>
          </w:p>
        </w:tc>
        <w:tc>
          <w:tcPr>
            <w:tcW w:type="dxa" w:w="1944"/>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3 clients for 2 months</w:t>
            </w:r>
          </w:p>
        </w:tc>
        <w:tc>
          <w:tcPr>
            <w:tcW w:type="dxa" w:w="2448"/>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NGN 250,000 monthly</w:t>
            </w:r>
          </w:p>
        </w:tc>
        <w:tc>
          <w:tcPr>
            <w:tcW w:type="dxa" w:w="2448"/>
            <w:vAlign w:val="center"/>
            <w:tcMar>
              <w:top w:w="110" w:type="dxa"/>
              <w:start w:w="110" w:type="dxa"/>
              <w:bottom w:w="110" w:type="dxa"/>
              <w:end w:w="110" w:type="dxa"/>
            </w:tcMar>
          </w:tcPr>
          <w:p>
            <w:pPr>
              <w:spacing w:after="0" w:line="245" w:lineRule="auto"/>
              <w:jc w:val="center"/>
            </w:pPr>
            <w:r>
              <w:rPr>
                <w:rFonts w:ascii="Times New Roman" w:hAnsi="Times New Roman" w:eastAsia="Times New Roman"/>
                <w:b w:val="0"/>
                <w:i w:val="0"/>
                <w:color w:val="000000"/>
                <w:sz w:val="17"/>
              </w:rPr>
              <w:t>NGN 1,500,000</w:t>
            </w:r>
          </w:p>
        </w:tc>
      </w:tr>
      <w:tr>
        <w:tc>
          <w:tcPr>
            <w:tcW w:type="dxa" w:w="3168"/>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Project page setup</w:t>
            </w:r>
          </w:p>
        </w:tc>
        <w:tc>
          <w:tcPr>
            <w:tcW w:type="dxa" w:w="1944"/>
            <w:shd w:fill="F7F7F7"/>
            <w:vAlign w:val="center"/>
            <w:tcMar>
              <w:top w:w="110" w:type="dxa"/>
              <w:start w:w="110" w:type="dxa"/>
              <w:bottom w:w="110" w:type="dxa"/>
              <w:end w:w="110" w:type="dxa"/>
            </w:tcMar>
          </w:tcPr>
          <w:p>
            <w:pPr>
              <w:spacing w:after="0" w:line="245" w:lineRule="auto"/>
              <w:jc w:val="center"/>
            </w:pPr>
            <w:r>
              <w:rPr>
                <w:rFonts w:ascii="Times New Roman" w:hAnsi="Times New Roman" w:eastAsia="Times New Roman"/>
                <w:b w:val="0"/>
                <w:i w:val="0"/>
                <w:color w:val="000000"/>
                <w:sz w:val="17"/>
              </w:rPr>
              <w:t>2</w:t>
            </w:r>
          </w:p>
        </w:tc>
        <w:tc>
          <w:tcPr>
            <w:tcW w:type="dxa" w:w="2448"/>
            <w:shd w:fill="F7F7F7"/>
            <w:vAlign w:val="center"/>
            <w:tcMar>
              <w:top w:w="110" w:type="dxa"/>
              <w:start w:w="110" w:type="dxa"/>
              <w:bottom w:w="110" w:type="dxa"/>
              <w:end w:w="110" w:type="dxa"/>
            </w:tcMar>
          </w:tcPr>
          <w:p>
            <w:pPr>
              <w:spacing w:after="0" w:line="245" w:lineRule="auto"/>
              <w:jc w:val="center"/>
            </w:pPr>
            <w:r>
              <w:rPr>
                <w:rFonts w:ascii="Times New Roman" w:hAnsi="Times New Roman" w:eastAsia="Times New Roman"/>
                <w:b w:val="0"/>
                <w:i w:val="0"/>
                <w:color w:val="000000"/>
                <w:sz w:val="17"/>
              </w:rPr>
              <w:t>NGN 300,000</w:t>
            </w:r>
          </w:p>
        </w:tc>
        <w:tc>
          <w:tcPr>
            <w:tcW w:type="dxa" w:w="2448"/>
            <w:shd w:fill="F7F7F7"/>
            <w:vAlign w:val="center"/>
            <w:tcMar>
              <w:top w:w="110" w:type="dxa"/>
              <w:start w:w="110" w:type="dxa"/>
              <w:bottom w:w="110" w:type="dxa"/>
              <w:end w:w="110" w:type="dxa"/>
            </w:tcMar>
          </w:tcPr>
          <w:p>
            <w:pPr>
              <w:spacing w:after="0" w:line="245" w:lineRule="auto"/>
              <w:jc w:val="center"/>
            </w:pPr>
            <w:r>
              <w:rPr>
                <w:rFonts w:ascii="Times New Roman" w:hAnsi="Times New Roman" w:eastAsia="Times New Roman"/>
                <w:b w:val="0"/>
                <w:i w:val="0"/>
                <w:color w:val="000000"/>
                <w:sz w:val="17"/>
              </w:rPr>
              <w:t>NGN 600,000</w:t>
            </w:r>
          </w:p>
        </w:tc>
      </w:tr>
      <w:tr>
        <w:tc>
          <w:tcPr>
            <w:tcW w:type="dxa" w:w="3168"/>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Total</w:t>
            </w:r>
          </w:p>
        </w:tc>
        <w:tc>
          <w:tcPr>
            <w:tcW w:type="dxa" w:w="1944"/>
            <w:vAlign w:val="center"/>
            <w:tcMar>
              <w:top w:w="110" w:type="dxa"/>
              <w:start w:w="110" w:type="dxa"/>
              <w:bottom w:w="110" w:type="dxa"/>
              <w:end w:w="110" w:type="dxa"/>
            </w:tcMar>
          </w:tcPr>
          <w:p>
            <w:pPr>
              <w:spacing w:after="0" w:line="245" w:lineRule="auto"/>
              <w:jc w:val="center"/>
            </w:pPr>
          </w:p>
        </w:tc>
        <w:tc>
          <w:tcPr>
            <w:tcW w:type="dxa" w:w="2448"/>
            <w:vAlign w:val="center"/>
            <w:tcMar>
              <w:top w:w="110" w:type="dxa"/>
              <w:start w:w="110" w:type="dxa"/>
              <w:bottom w:w="110" w:type="dxa"/>
              <w:end w:w="110" w:type="dxa"/>
            </w:tcMar>
          </w:tcPr>
          <w:p>
            <w:pPr>
              <w:spacing w:after="0" w:line="245" w:lineRule="auto"/>
              <w:jc w:val="center"/>
            </w:pPr>
          </w:p>
        </w:tc>
        <w:tc>
          <w:tcPr>
            <w:tcW w:type="dxa" w:w="2448"/>
            <w:vAlign w:val="center"/>
            <w:tcMar>
              <w:top w:w="110" w:type="dxa"/>
              <w:start w:w="110" w:type="dxa"/>
              <w:bottom w:w="110" w:type="dxa"/>
              <w:end w:w="110" w:type="dxa"/>
            </w:tcMar>
          </w:tcPr>
          <w:p>
            <w:pPr>
              <w:spacing w:after="0" w:line="245" w:lineRule="auto"/>
              <w:jc w:val="center"/>
            </w:pPr>
            <w:r>
              <w:rPr>
                <w:rFonts w:ascii="Times New Roman" w:hAnsi="Times New Roman" w:eastAsia="Times New Roman"/>
                <w:b w:val="0"/>
                <w:i w:val="0"/>
                <w:color w:val="000000"/>
                <w:sz w:val="17"/>
              </w:rPr>
              <w:t>NGN 5,300,000</w:t>
            </w:r>
          </w:p>
        </w:tc>
      </w:tr>
    </w:tbl>
    <w:p>
      <w:pPr>
        <w:spacing w:after="0"/>
      </w:pPr>
    </w:p>
    <w:p>
      <w:pPr>
        <w:keepNext w:val="0"/>
        <w:spacing w:after="100" w:line="269" w:lineRule="auto"/>
      </w:pPr>
      <w:r>
        <w:rPr>
          <w:rFonts w:ascii="Times New Roman" w:hAnsi="Times New Roman" w:eastAsia="Times New Roman"/>
          <w:b w:val="0"/>
          <w:i w:val="0"/>
          <w:color w:val="000000"/>
          <w:sz w:val="21"/>
        </w:rPr>
        <w:t>Track staff hours, site travel, data acquisition, professional partner fees, cloud and AI costs, revisions, and sales time by product. A service should move toward at least 60 percent contribution margin after direct delivery costs. If a NGN 150,000 buyer pack consumes forty staff hours, narrow the scope, raise the price, or automate the repeated work.</w:t>
      </w:r>
    </w:p>
    <w:p>
      <w:pPr>
        <w:pStyle w:val="Heading1"/>
        <w:keepNext/>
        <w:spacing w:before="240" w:after="100"/>
      </w:pPr>
      <w:r>
        <w:t>Sales strategy for a small team</w:t>
      </w:r>
    </w:p>
    <w:p>
      <w:pPr>
        <w:keepNext w:val="0"/>
        <w:spacing w:after="100" w:line="269" w:lineRule="auto"/>
      </w:pPr>
      <w:r>
        <w:rPr>
          <w:rFonts w:ascii="Times New Roman" w:hAnsi="Times New Roman" w:eastAsia="Times New Roman"/>
          <w:b w:val="0"/>
          <w:i w:val="0"/>
          <w:color w:val="000000"/>
          <w:sz w:val="21"/>
        </w:rPr>
        <w:t>Paid advertising should not be the first growth channel. The initial buyers are identifiable and can be reached through founder led sales, professional introductions, and small evidence based events at the office.</w:t>
      </w:r>
    </w:p>
    <w:p>
      <w:pPr>
        <w:pStyle w:val="Heading2"/>
        <w:keepNext/>
        <w:spacing w:before="160" w:after="100"/>
      </w:pPr>
      <w:r>
        <w:t>Named account list</w:t>
      </w:r>
    </w:p>
    <w:p>
      <w:pPr>
        <w:pStyle w:val="ListBullet"/>
        <w:spacing w:after="50" w:line="259" w:lineRule="auto"/>
      </w:pPr>
      <w:r>
        <w:rPr>
          <w:rFonts w:ascii="Times New Roman" w:hAnsi="Times New Roman" w:eastAsia="Times New Roman"/>
          <w:b w:val="0"/>
          <w:i w:val="0"/>
          <w:color w:val="000000"/>
          <w:sz w:val="20"/>
        </w:rPr>
        <w:t>Thirty developers with active Lekki, Ibeju Lekki, and Epe projects</w:t>
      </w:r>
    </w:p>
    <w:p>
      <w:pPr>
        <w:pStyle w:val="ListBullet"/>
        <w:spacing w:after="50" w:line="259" w:lineRule="auto"/>
      </w:pPr>
      <w:r>
        <w:rPr>
          <w:rFonts w:ascii="Times New Roman" w:hAnsi="Times New Roman" w:eastAsia="Times New Roman"/>
          <w:b w:val="0"/>
          <w:i w:val="0"/>
          <w:color w:val="000000"/>
          <w:sz w:val="20"/>
        </w:rPr>
        <w:t>Twenty agency, valuation, or advisory firms</w:t>
      </w:r>
    </w:p>
    <w:p>
      <w:pPr>
        <w:pStyle w:val="ListBullet"/>
        <w:spacing w:after="50" w:line="259" w:lineRule="auto"/>
      </w:pPr>
      <w:r>
        <w:rPr>
          <w:rFonts w:ascii="Times New Roman" w:hAnsi="Times New Roman" w:eastAsia="Times New Roman"/>
          <w:b w:val="0"/>
          <w:i w:val="0"/>
          <w:color w:val="000000"/>
          <w:sz w:val="20"/>
        </w:rPr>
        <w:t>Fifteen real estate legal, surveying, building, and inspection firms</w:t>
      </w:r>
    </w:p>
    <w:p>
      <w:pPr>
        <w:pStyle w:val="ListBullet"/>
        <w:spacing w:after="50" w:line="259" w:lineRule="auto"/>
      </w:pPr>
      <w:r>
        <w:rPr>
          <w:rFonts w:ascii="Times New Roman" w:hAnsi="Times New Roman" w:eastAsia="Times New Roman"/>
          <w:b w:val="0"/>
          <w:i w:val="0"/>
          <w:color w:val="000000"/>
          <w:sz w:val="20"/>
        </w:rPr>
        <w:t>Ten mortgage banks, commercial banks, and housing finance institutions</w:t>
      </w:r>
    </w:p>
    <w:p>
      <w:pPr>
        <w:pStyle w:val="ListBullet"/>
        <w:spacing w:after="50" w:line="259" w:lineRule="auto"/>
      </w:pPr>
      <w:r>
        <w:rPr>
          <w:rFonts w:ascii="Times New Roman" w:hAnsi="Times New Roman" w:eastAsia="Times New Roman"/>
          <w:b w:val="0"/>
          <w:i w:val="0"/>
          <w:color w:val="000000"/>
          <w:sz w:val="20"/>
        </w:rPr>
        <w:t>Ten diaspora associations, professional groups, and buyer communities</w:t>
      </w:r>
    </w:p>
    <w:p>
      <w:pPr>
        <w:pStyle w:val="ListBullet"/>
        <w:spacing w:after="50" w:line="259" w:lineRule="auto"/>
      </w:pPr>
      <w:r>
        <w:rPr>
          <w:rFonts w:ascii="Times New Roman" w:hAnsi="Times New Roman" w:eastAsia="Times New Roman"/>
          <w:b w:val="0"/>
          <w:i w:val="0"/>
          <w:color w:val="000000"/>
          <w:sz w:val="20"/>
        </w:rPr>
        <w:t>Ten construction and property service providers</w:t>
      </w:r>
    </w:p>
    <w:p>
      <w:pPr>
        <w:pStyle w:val="ListBullet"/>
        <w:spacing w:after="50" w:line="259" w:lineRule="auto"/>
      </w:pPr>
      <w:r>
        <w:rPr>
          <w:rFonts w:ascii="Times New Roman" w:hAnsi="Times New Roman" w:eastAsia="Times New Roman"/>
          <w:b w:val="0"/>
          <w:i w:val="0"/>
          <w:color w:val="000000"/>
          <w:sz w:val="20"/>
        </w:rPr>
        <w:t>Five free zone, infrastructure, planning, or research organizations</w:t>
      </w:r>
    </w:p>
    <w:p>
      <w:pPr>
        <w:keepNext w:val="0"/>
        <w:spacing w:after="100" w:line="269" w:lineRule="auto"/>
      </w:pPr>
      <w:r>
        <w:rPr>
          <w:rFonts w:ascii="Times New Roman" w:hAnsi="Times New Roman" w:eastAsia="Times New Roman"/>
          <w:b w:val="0"/>
          <w:i w:val="0"/>
          <w:color w:val="000000"/>
          <w:sz w:val="21"/>
        </w:rPr>
        <w:t>Each week, send twenty specific messages, hold five discovery calls, present two relevant sample analyses, and issue at least one paid pilot proposal. The message should identify the decision being improved. Avoid broad invitations to join a platform.</w:t>
      </w:r>
    </w:p>
    <w:p>
      <w:pPr>
        <w:pStyle w:val="Heading2"/>
        <w:keepNext/>
        <w:spacing w:before="160" w:after="100"/>
      </w:pPr>
      <w:r>
        <w:t>Office based authority building</w:t>
      </w:r>
    </w:p>
    <w:p>
      <w:pPr>
        <w:keepNext w:val="0"/>
        <w:spacing w:after="100" w:line="269" w:lineRule="auto"/>
      </w:pPr>
      <w:r>
        <w:rPr>
          <w:rFonts w:ascii="Times New Roman" w:hAnsi="Times New Roman" w:eastAsia="Times New Roman"/>
          <w:b w:val="0"/>
          <w:i w:val="0"/>
          <w:color w:val="000000"/>
          <w:sz w:val="21"/>
        </w:rPr>
        <w:t>Use the existing office for a monthly closed briefing with eight to fifteen invited developers, valuers, lenders, lawyers, and agents. Present one corridor dataset and its limitations. Ask participants to challenge it and identify the decision for which they currently lack evidence. The commercial objective is two follow up studies or data partnerships, not event attendance.</w:t>
      </w:r>
    </w:p>
    <w:p>
      <w:pPr>
        <w:keepNext w:val="0"/>
        <w:spacing w:after="100" w:line="269" w:lineRule="auto"/>
      </w:pPr>
      <w:r>
        <w:rPr>
          <w:rFonts w:ascii="Times New Roman" w:hAnsi="Times New Roman" w:eastAsia="Times New Roman"/>
          <w:b w:val="0"/>
          <w:i w:val="0"/>
          <w:color w:val="000000"/>
          <w:sz w:val="21"/>
        </w:rPr>
        <w:t>Publish a quarterly asking price and active supply brief. Show sample size, source categories, dates, duplicates removed, stale records, medians, ranges, and zone definitions. Do not publish copied photographs or substantial listing text without permission. Do not describe advertised prices as completed transactions.</w:t>
      </w:r>
    </w:p>
    <w:p>
      <w:pPr>
        <w:pStyle w:val="Heading1"/>
        <w:keepNext/>
        <w:spacing w:before="240" w:after="100"/>
      </w:pPr>
      <w:r>
        <w:t>Partnership strategy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trPr>
        <w:tc>
          <w:tcPr>
            <w:tcW w:type="dxa" w:w="1584"/>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6"/>
              </w:rPr>
              <w:t>Partner</w:t>
            </w:r>
          </w:p>
        </w:tc>
        <w:tc>
          <w:tcPr>
            <w:tcW w:type="dxa" w:w="2736"/>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6"/>
              </w:rPr>
              <w:t>What RP needs</w:t>
            </w:r>
          </w:p>
        </w:tc>
        <w:tc>
          <w:tcPr>
            <w:tcW w:type="dxa" w:w="2952"/>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6"/>
              </w:rPr>
              <w:t>What RP can offer</w:t>
            </w:r>
          </w:p>
        </w:tc>
        <w:tc>
          <w:tcPr>
            <w:tcW w:type="dxa" w:w="2880"/>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6"/>
              </w:rPr>
              <w:t>First pilot</w:t>
            </w:r>
          </w:p>
        </w:tc>
      </w:tr>
      <w:tr>
        <w:tc>
          <w:tcPr>
            <w:tcW w:type="dxa" w:w="1584"/>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Licensed valuer</w:t>
            </w:r>
          </w:p>
        </w:tc>
        <w:tc>
          <w:tcPr>
            <w:tcW w:type="dxa" w:w="2736"/>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Formal valuation authority and transaction evidence</w:t>
            </w:r>
          </w:p>
        </w:tc>
        <w:tc>
          <w:tcPr>
            <w:tcW w:type="dxa" w:w="2952"/>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Comparable discovery and report workflow</w:t>
            </w:r>
          </w:p>
        </w:tc>
        <w:tc>
          <w:tcPr>
            <w:tcW w:type="dxa" w:w="2880"/>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Co delivered buyer or lender pack</w:t>
            </w:r>
          </w:p>
        </w:tc>
      </w:tr>
      <w:tr>
        <w:tc>
          <w:tcPr>
            <w:tcW w:type="dxa" w:w="1584"/>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Real estate lawyer</w:t>
            </w:r>
          </w:p>
        </w:tc>
        <w:tc>
          <w:tcPr>
            <w:tcW w:type="dxa" w:w="2736"/>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Title search and legal opinion</w:t>
            </w:r>
          </w:p>
        </w:tc>
        <w:tc>
          <w:tcPr>
            <w:tcW w:type="dxa" w:w="2952"/>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Evidence room and qualified clients</w:t>
            </w:r>
          </w:p>
        </w:tc>
        <w:tc>
          <w:tcPr>
            <w:tcW w:type="dxa" w:w="2880"/>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Fixed scope title review</w:t>
            </w:r>
          </w:p>
        </w:tc>
      </w:tr>
      <w:tr>
        <w:tc>
          <w:tcPr>
            <w:tcW w:type="dxa" w:w="1584"/>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Registered surveyor</w:t>
            </w:r>
          </w:p>
        </w:tc>
        <w:tc>
          <w:tcPr>
            <w:tcW w:type="dxa" w:w="2736"/>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Site and survey verification</w:t>
            </w:r>
          </w:p>
        </w:tc>
        <w:tc>
          <w:tcPr>
            <w:tcW w:type="dxa" w:w="2952"/>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Structured requests and records</w:t>
            </w:r>
          </w:p>
        </w:tc>
        <w:tc>
          <w:tcPr>
            <w:tcW w:type="dxa" w:w="2880"/>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Survey coordination for decision packs</w:t>
            </w:r>
          </w:p>
        </w:tc>
      </w:tr>
      <w:tr>
        <w:tc>
          <w:tcPr>
            <w:tcW w:type="dxa" w:w="1584"/>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Developer</w:t>
            </w:r>
          </w:p>
        </w:tc>
        <w:tc>
          <w:tcPr>
            <w:tcW w:type="dxa" w:w="2736"/>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Official project and unit feed</w:t>
            </w:r>
          </w:p>
        </w:tc>
        <w:tc>
          <w:tcPr>
            <w:tcW w:type="dxa" w:w="2952"/>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Clean inventory, project page, benchmark</w:t>
            </w:r>
          </w:p>
        </w:tc>
        <w:tc>
          <w:tcPr>
            <w:tcW w:type="dxa" w:w="2880"/>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Ninety day project pilot</w:t>
            </w:r>
          </w:p>
        </w:tc>
      </w:tr>
      <w:tr>
        <w:tc>
          <w:tcPr>
            <w:tcW w:type="dxa" w:w="1584"/>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Agency</w:t>
            </w:r>
          </w:p>
        </w:tc>
        <w:tc>
          <w:tcPr>
            <w:tcW w:type="dxa" w:w="2736"/>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Fresh listing and status updates</w:t>
            </w:r>
          </w:p>
        </w:tc>
        <w:tc>
          <w:tcPr>
            <w:tcW w:type="dxa" w:w="2952"/>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Data cleaning, attribution, intelligence</w:t>
            </w:r>
          </w:p>
        </w:tc>
        <w:tc>
          <w:tcPr>
            <w:tcW w:type="dxa" w:w="2880"/>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Direct feed for one corridor</w:t>
            </w:r>
          </w:p>
        </w:tc>
      </w:tr>
      <w:tr>
        <w:tc>
          <w:tcPr>
            <w:tcW w:type="dxa" w:w="1584"/>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Lender</w:t>
            </w:r>
          </w:p>
        </w:tc>
        <w:tc>
          <w:tcPr>
            <w:tcW w:type="dxa" w:w="2736"/>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Product criteria and institutional demand</w:t>
            </w:r>
          </w:p>
        </w:tc>
        <w:tc>
          <w:tcPr>
            <w:tcW w:type="dxa" w:w="2952"/>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Project monitoring and applicant evidence</w:t>
            </w:r>
          </w:p>
        </w:tc>
        <w:tc>
          <w:tcPr>
            <w:tcW w:type="dxa" w:w="2880"/>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One portfolio or project monitor</w:t>
            </w:r>
          </w:p>
        </w:tc>
      </w:tr>
      <w:tr>
        <w:tc>
          <w:tcPr>
            <w:tcW w:type="dxa" w:w="1584"/>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DPCO</w:t>
            </w:r>
          </w:p>
        </w:tc>
        <w:tc>
          <w:tcPr>
            <w:tcW w:type="dxa" w:w="2736"/>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Privacy audit and compliance support</w:t>
            </w:r>
          </w:p>
        </w:tc>
        <w:tc>
          <w:tcPr>
            <w:tcW w:type="dxa" w:w="2952"/>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Referral and product workflow</w:t>
            </w:r>
          </w:p>
        </w:tc>
        <w:tc>
          <w:tcPr>
            <w:tcW w:type="dxa" w:w="2880"/>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Data map and registration assessment</w:t>
            </w:r>
          </w:p>
        </w:tc>
      </w:tr>
    </w:tbl>
    <w:p>
      <w:pPr>
        <w:spacing w:after="0"/>
      </w:pPr>
    </w:p>
    <w:p>
      <w:pPr>
        <w:keepNext w:val="0"/>
        <w:spacing w:after="100" w:line="269" w:lineRule="auto"/>
      </w:pPr>
      <w:r>
        <w:rPr>
          <w:rFonts w:ascii="Times New Roman" w:hAnsi="Times New Roman" w:eastAsia="Times New Roman"/>
          <w:b w:val="0"/>
          <w:i w:val="0"/>
          <w:color w:val="000000"/>
          <w:sz w:val="21"/>
        </w:rPr>
        <w:t>Every data agreement should specify fields, ownership, permitted use, display rights, redistribution, derived outputs, model training, refresh cadence, corrections, takedowns, personal data roles, retention, security, audit rights, termination, and post termination use. Photographs, descriptions, logos, and contact details should be addressed separately.</w:t>
      </w:r>
    </w:p>
    <w:p>
      <w:pPr>
        <w:pStyle w:val="Heading1"/>
        <w:keepNext/>
        <w:spacing w:before="240" w:after="100"/>
      </w:pPr>
      <w:r>
        <w:t>Data product design</w:t>
      </w:r>
    </w:p>
    <w:p>
      <w:pPr>
        <w:pStyle w:val="Heading2"/>
        <w:keepNext/>
        <w:spacing w:before="160" w:after="100"/>
      </w:pPr>
      <w:r>
        <w:t>Source rights register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880"/>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7"/>
              </w:rPr>
              <w:t>Rights status</w:t>
            </w:r>
          </w:p>
        </w:tc>
        <w:tc>
          <w:tcPr>
            <w:tcW w:type="dxa" w:w="3240"/>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7"/>
              </w:rPr>
              <w:t>Default use</w:t>
            </w:r>
          </w:p>
        </w:tc>
        <w:tc>
          <w:tcPr>
            <w:tcW w:type="dxa" w:w="4032"/>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7"/>
              </w:rPr>
              <w:t>Commercial action</w:t>
            </w:r>
          </w:p>
        </w:tc>
      </w:tr>
      <w:tr>
        <w:tc>
          <w:tcPr>
            <w:tcW w:type="dxa" w:w="2880"/>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Direct feed with written licence</w:t>
            </w:r>
          </w:p>
        </w:tc>
        <w:tc>
          <w:tcPr>
            <w:tcW w:type="dxa" w:w="3240"/>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Only uses named in the contract</w:t>
            </w:r>
          </w:p>
        </w:tc>
        <w:tc>
          <w:tcPr>
            <w:tcW w:type="dxa" w:w="4032"/>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Suitable for display, analytics, or resale if expressly granted</w:t>
            </w:r>
          </w:p>
        </w:tc>
      </w:tr>
      <w:tr>
        <w:tc>
          <w:tcPr>
            <w:tcW w:type="dxa" w:w="2880"/>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User submitted under platform terms</w:t>
            </w:r>
          </w:p>
        </w:tc>
        <w:tc>
          <w:tcPr>
            <w:tcW w:type="dxa" w:w="3240"/>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Use within the licence granted by the user</w:t>
            </w:r>
          </w:p>
        </w:tc>
        <w:tc>
          <w:tcPr>
            <w:tcW w:type="dxa" w:w="4032"/>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Keep consent, warranties, correction, and takedown records</w:t>
            </w:r>
          </w:p>
        </w:tc>
      </w:tr>
      <w:tr>
        <w:tc>
          <w:tcPr>
            <w:tcW w:type="dxa" w:w="2880"/>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Official or open data</w:t>
            </w:r>
          </w:p>
        </w:tc>
        <w:tc>
          <w:tcPr>
            <w:tcW w:type="dxa" w:w="3240"/>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Follow its stated licence and attribution</w:t>
            </w:r>
          </w:p>
        </w:tc>
        <w:tc>
          <w:tcPr>
            <w:tcW w:type="dxa" w:w="4032"/>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Record version, source, and access date</w:t>
            </w:r>
          </w:p>
        </w:tc>
      </w:tr>
      <w:tr>
        <w:tc>
          <w:tcPr>
            <w:tcW w:type="dxa" w:w="2880"/>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Public web page without permission</w:t>
            </w:r>
          </w:p>
        </w:tc>
        <w:tc>
          <w:tcPr>
            <w:tcW w:type="dxa" w:w="3240"/>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Source linked internal research pending advice</w:t>
            </w:r>
          </w:p>
        </w:tc>
        <w:tc>
          <w:tcPr>
            <w:tcW w:type="dxa" w:w="4032"/>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Do not bulk republish or resell by default</w:t>
            </w:r>
          </w:p>
        </w:tc>
      </w:tr>
      <w:tr>
        <w:tc>
          <w:tcPr>
            <w:tcW w:type="dxa" w:w="2880"/>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Restricted, prohibited, or login controlled</w:t>
            </w:r>
          </w:p>
        </w:tc>
        <w:tc>
          <w:tcPr>
            <w:tcW w:type="dxa" w:w="3240"/>
            <w:vAlign w:val="center"/>
            <w:tcMar>
              <w:top w:w="110" w:type="dxa"/>
              <w:start w:w="110" w:type="dxa"/>
              <w:bottom w:w="110" w:type="dxa"/>
              <w:end w:w="110" w:type="dxa"/>
            </w:tcMar>
          </w:tcPr>
          <w:p>
            <w:pPr>
              <w:spacing w:after="0" w:line="245" w:lineRule="auto"/>
              <w:jc w:val="center"/>
            </w:pPr>
            <w:r>
              <w:rPr>
                <w:rFonts w:ascii="Times New Roman" w:hAnsi="Times New Roman" w:eastAsia="Times New Roman"/>
                <w:b w:val="0"/>
                <w:i w:val="0"/>
                <w:color w:val="000000"/>
                <w:sz w:val="17"/>
              </w:rPr>
              <w:t>Do not ingest</w:t>
            </w:r>
          </w:p>
        </w:tc>
        <w:tc>
          <w:tcPr>
            <w:tcW w:type="dxa" w:w="4032"/>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Seek permission or remove the source</w:t>
            </w:r>
          </w:p>
        </w:tc>
      </w:tr>
    </w:tbl>
    <w:p>
      <w:pPr>
        <w:spacing w:after="0"/>
      </w:pPr>
    </w:p>
    <w:p>
      <w:pPr>
        <w:keepNext w:val="0"/>
        <w:spacing w:after="100" w:line="269" w:lineRule="auto"/>
      </w:pPr>
      <w:r>
        <w:rPr>
          <w:rFonts w:ascii="Times New Roman" w:hAnsi="Times New Roman" w:eastAsia="Times New Roman"/>
          <w:b w:val="0"/>
          <w:i w:val="0"/>
          <w:color w:val="000000"/>
          <w:sz w:val="21"/>
        </w:rPr>
        <w:t>The Copyright Act 2022 excludes mere data, ideas, methods, and procedures from copyright eligibility, but original text, photographs, artistic works, and compilations may be protected. It also includes online content and takedown provisions.</w:t>
      </w:r>
      <w:r>
        <w:rPr>
          <w:rFonts w:ascii="Times New Roman" w:hAnsi="Times New Roman" w:eastAsia="Times New Roman"/>
          <w:b w:val="0"/>
          <w:color w:val="000000"/>
          <w:sz w:val="16"/>
          <w:vertAlign w:val="superscript"/>
        </w:rPr>
        <w:t>[17]</w:t>
      </w:r>
      <w:r>
        <w:rPr>
          <w:rFonts w:ascii="Times New Roman" w:hAnsi="Times New Roman" w:eastAsia="Times New Roman"/>
          <w:b w:val="0"/>
          <w:i w:val="0"/>
          <w:color w:val="000000"/>
          <w:sz w:val="21"/>
        </w:rPr>
        <w:t xml:space="preserve"> Public visibility therefore does not establish permission to copy, store, train on, display, or resell a listing. Contract terms, access controls, confidentiality, privacy, and other rights also matter.</w:t>
      </w:r>
    </w:p>
    <w:p>
      <w:pPr>
        <w:pStyle w:val="Heading2"/>
        <w:keepNext/>
        <w:spacing w:before="160" w:after="100"/>
      </w:pPr>
      <w:r>
        <w:t>Provenance and confidence</w:t>
      </w:r>
    </w:p>
    <w:p>
      <w:pPr>
        <w:keepNext w:val="0"/>
        <w:spacing w:after="100" w:line="269" w:lineRule="auto"/>
      </w:pPr>
      <w:r>
        <w:rPr>
          <w:rFonts w:ascii="Times New Roman" w:hAnsi="Times New Roman" w:eastAsia="Times New Roman"/>
          <w:b w:val="0"/>
          <w:i w:val="0"/>
          <w:color w:val="000000"/>
          <w:sz w:val="21"/>
        </w:rPr>
        <w:t>Every commercial data field should carry enough information to answer four questions: where did it come from, when was it last observed, what transformation was applied, and what right permits the intended use. A single property confidence score is not enough.</w:t>
      </w:r>
    </w:p>
    <w:p>
      <w:pPr>
        <w:pStyle w:val="ListBullet"/>
        <w:spacing w:after="50" w:line="259" w:lineRule="auto"/>
      </w:pPr>
      <w:r>
        <w:rPr>
          <w:rFonts w:ascii="Times New Roman" w:hAnsi="Times New Roman" w:eastAsia="Times New Roman"/>
          <w:b w:val="0"/>
          <w:i w:val="0"/>
          <w:color w:val="000000"/>
          <w:sz w:val="20"/>
        </w:rPr>
        <w:t>Source identity, URL or partner record, observation date, and rights status</w:t>
      </w:r>
    </w:p>
    <w:p>
      <w:pPr>
        <w:pStyle w:val="ListBullet"/>
        <w:spacing w:after="50" w:line="259" w:lineRule="auto"/>
      </w:pPr>
      <w:r>
        <w:rPr>
          <w:rFonts w:ascii="Times New Roman" w:hAnsi="Times New Roman" w:eastAsia="Times New Roman"/>
          <w:b w:val="0"/>
          <w:i w:val="0"/>
          <w:color w:val="000000"/>
          <w:sz w:val="20"/>
        </w:rPr>
        <w:t>Original field value and normalized value where retention is permitted</w:t>
      </w:r>
    </w:p>
    <w:p>
      <w:pPr>
        <w:pStyle w:val="ListBullet"/>
        <w:spacing w:after="50" w:line="259" w:lineRule="auto"/>
      </w:pPr>
      <w:r>
        <w:rPr>
          <w:rFonts w:ascii="Times New Roman" w:hAnsi="Times New Roman" w:eastAsia="Times New Roman"/>
          <w:b w:val="0"/>
          <w:i w:val="0"/>
          <w:color w:val="000000"/>
          <w:sz w:val="20"/>
        </w:rPr>
        <w:t>Duplicate cluster and the rule used to merge records</w:t>
      </w:r>
    </w:p>
    <w:p>
      <w:pPr>
        <w:pStyle w:val="ListBullet"/>
        <w:spacing w:after="50" w:line="259" w:lineRule="auto"/>
      </w:pPr>
      <w:r>
        <w:rPr>
          <w:rFonts w:ascii="Times New Roman" w:hAnsi="Times New Roman" w:eastAsia="Times New Roman"/>
          <w:b w:val="0"/>
          <w:i w:val="0"/>
          <w:color w:val="000000"/>
          <w:sz w:val="20"/>
        </w:rPr>
        <w:t>Field confidence and reason, including conflict or missing data</w:t>
      </w:r>
    </w:p>
    <w:p>
      <w:pPr>
        <w:pStyle w:val="ListBullet"/>
        <w:spacing w:after="50" w:line="259" w:lineRule="auto"/>
      </w:pPr>
      <w:r>
        <w:rPr>
          <w:rFonts w:ascii="Times New Roman" w:hAnsi="Times New Roman" w:eastAsia="Times New Roman"/>
          <w:b w:val="0"/>
          <w:i w:val="0"/>
          <w:color w:val="000000"/>
          <w:sz w:val="20"/>
        </w:rPr>
        <w:t>Analyst correction, correction date, and accountable reviewer</w:t>
      </w:r>
    </w:p>
    <w:p>
      <w:pPr>
        <w:pStyle w:val="ListBullet"/>
        <w:spacing w:after="50" w:line="259" w:lineRule="auto"/>
      </w:pPr>
      <w:r>
        <w:rPr>
          <w:rFonts w:ascii="Times New Roman" w:hAnsi="Times New Roman" w:eastAsia="Times New Roman"/>
          <w:b w:val="0"/>
          <w:i w:val="0"/>
          <w:color w:val="000000"/>
          <w:sz w:val="20"/>
        </w:rPr>
        <w:t>Current freshness state and source specific removal switch</w:t>
      </w:r>
    </w:p>
    <w:p>
      <w:pPr>
        <w:pStyle w:val="Heading1"/>
        <w:keepNext/>
        <w:spacing w:before="240" w:after="100"/>
      </w:pPr>
      <w:r>
        <w:t>Legal and regulatory controls</w:t>
      </w:r>
    </w:p>
    <w:p>
      <w:pPr>
        <w:keepNext w:val="0"/>
        <w:spacing w:after="100" w:line="269" w:lineRule="auto"/>
      </w:pPr>
      <w:r>
        <w:rPr>
          <w:rFonts w:ascii="Times New Roman" w:hAnsi="Times New Roman" w:eastAsia="Times New Roman"/>
          <w:b w:val="0"/>
          <w:i w:val="0"/>
          <w:color w:val="000000"/>
          <w:sz w:val="21"/>
        </w:rPr>
        <w:t>This section identifies launch controls for Nigerian counsel and licensed professionals. It is not a legal opinion.</w:t>
      </w:r>
    </w:p>
    <w:p>
      <w:pPr>
        <w:pStyle w:val="Heading2"/>
        <w:keepNext/>
        <w:spacing w:before="160" w:after="100"/>
      </w:pPr>
      <w:r>
        <w:t>Professional and agency boundaries</w:t>
      </w:r>
    </w:p>
    <w:p>
      <w:pPr>
        <w:keepNext w:val="0"/>
        <w:spacing w:after="100" w:line="269" w:lineRule="auto"/>
      </w:pPr>
      <w:r>
        <w:rPr>
          <w:rFonts w:ascii="Times New Roman" w:hAnsi="Times New Roman" w:eastAsia="Times New Roman"/>
          <w:b w:val="0"/>
          <w:i w:val="0"/>
          <w:color w:val="000000"/>
          <w:sz w:val="21"/>
        </w:rPr>
        <w:t>LASRERA's governing materials contain registration and conduct requirements for estate agents and companies in Lagos.</w:t>
      </w:r>
      <w:r>
        <w:rPr>
          <w:rFonts w:ascii="Times New Roman" w:hAnsi="Times New Roman" w:eastAsia="Times New Roman"/>
          <w:b w:val="0"/>
          <w:color w:val="000000"/>
          <w:sz w:val="16"/>
          <w:vertAlign w:val="superscript"/>
        </w:rPr>
        <w:t>[12]</w:t>
      </w:r>
      <w:r>
        <w:rPr>
          <w:rFonts w:ascii="Times New Roman" w:hAnsi="Times New Roman" w:eastAsia="Times New Roman"/>
          <w:b w:val="0"/>
          <w:i w:val="0"/>
          <w:color w:val="000000"/>
          <w:sz w:val="21"/>
        </w:rPr>
        <w:t xml:space="preserve"> ESVARBON regulates estate surveying and valuation, and its current registry states that only licensed practitioners may sign and seal valuation reports.</w:t>
      </w:r>
      <w:r>
        <w:rPr>
          <w:rFonts w:ascii="Times New Roman" w:hAnsi="Times New Roman" w:eastAsia="Times New Roman"/>
          <w:b w:val="0"/>
          <w:color w:val="000000"/>
          <w:sz w:val="16"/>
          <w:vertAlign w:val="superscript"/>
        </w:rPr>
        <w:t>[13]</w:t>
      </w:r>
      <w:r>
        <w:rPr>
          <w:rFonts w:ascii="Times New Roman" w:hAnsi="Times New Roman" w:eastAsia="Times New Roman"/>
          <w:b w:val="0"/>
          <w:i w:val="0"/>
          <w:color w:val="000000"/>
          <w:sz w:val="21"/>
        </w:rPr>
        <w:t xml:space="preserve"> Realtors' Practice should verify the credential relevant to each service and show the issuer, status, and last check date.</w:t>
      </w:r>
    </w:p>
    <w:p>
      <w:pPr>
        <w:keepNext w:val="0"/>
        <w:spacing w:after="100" w:line="269" w:lineRule="auto"/>
      </w:pPr>
      <w:r>
        <w:rPr>
          <w:rFonts w:ascii="Times New Roman" w:hAnsi="Times New Roman" w:eastAsia="Times New Roman"/>
          <w:b w:val="0"/>
          <w:i w:val="0"/>
          <w:color w:val="000000"/>
          <w:sz w:val="21"/>
        </w:rPr>
        <w:t>Use separate states for identity checked, agency registration checked, professional licence checked, document supplied, document reviewed, and authority confirmed. A broad verified badge can mislead customers if they cannot see what it covers.</w:t>
      </w:r>
    </w:p>
    <w:p>
      <w:pPr>
        <w:pStyle w:val="Heading2"/>
        <w:keepNext/>
        <w:spacing w:before="160" w:after="100"/>
      </w:pPr>
      <w:r>
        <w:t>Privacy and personal data</w:t>
      </w:r>
    </w:p>
    <w:p>
      <w:pPr>
        <w:keepNext w:val="0"/>
        <w:spacing w:after="100" w:line="269" w:lineRule="auto"/>
      </w:pPr>
      <w:r>
        <w:rPr>
          <w:rFonts w:ascii="Times New Roman" w:hAnsi="Times New Roman" w:eastAsia="Times New Roman"/>
          <w:b w:val="0"/>
          <w:i w:val="0"/>
          <w:color w:val="000000"/>
          <w:sz w:val="21"/>
        </w:rPr>
        <w:t>The governing law is the Nigeria Data Protection Act 2023, not only the former NDPR framework.</w:t>
      </w:r>
      <w:r>
        <w:rPr>
          <w:rFonts w:ascii="Times New Roman" w:hAnsi="Times New Roman" w:eastAsia="Times New Roman"/>
          <w:b w:val="0"/>
          <w:color w:val="000000"/>
          <w:sz w:val="16"/>
          <w:vertAlign w:val="superscript"/>
        </w:rPr>
        <w:t>[14]</w:t>
      </w:r>
      <w:r>
        <w:rPr>
          <w:rFonts w:ascii="Times New Roman" w:hAnsi="Times New Roman" w:eastAsia="Times New Roman"/>
          <w:b w:val="0"/>
          <w:i w:val="0"/>
          <w:color w:val="000000"/>
          <w:sz w:val="21"/>
        </w:rPr>
        <w:t xml:space="preserve"> NDPC guidance describes registration and audit requirements for data controllers and processors of major importance, including a threshold involving more than 200 data subjects in six months and other designated categories.</w:t>
      </w:r>
      <w:r>
        <w:rPr>
          <w:rFonts w:ascii="Times New Roman" w:hAnsi="Times New Roman" w:eastAsia="Times New Roman"/>
          <w:b w:val="0"/>
          <w:color w:val="000000"/>
          <w:sz w:val="16"/>
          <w:vertAlign w:val="superscript"/>
        </w:rPr>
        <w:t>[15]</w:t>
      </w:r>
      <w:r>
        <w:rPr>
          <w:rFonts w:ascii="Times New Roman" w:hAnsi="Times New Roman" w:eastAsia="Times New Roman"/>
          <w:b w:val="0"/>
          <w:i w:val="0"/>
          <w:color w:val="000000"/>
          <w:sz w:val="21"/>
        </w:rPr>
        <w:t xml:space="preserve"> A licensed DPCO or counsel should assess the exact category and current obligations.</w:t>
      </w:r>
    </w:p>
    <w:p>
      <w:pPr>
        <w:pStyle w:val="ListBullet"/>
        <w:spacing w:after="50" w:line="259" w:lineRule="auto"/>
      </w:pPr>
      <w:r>
        <w:rPr>
          <w:rFonts w:ascii="Times New Roman" w:hAnsi="Times New Roman" w:eastAsia="Times New Roman"/>
          <w:b w:val="0"/>
          <w:i w:val="0"/>
          <w:color w:val="000000"/>
          <w:sz w:val="20"/>
        </w:rPr>
        <w:t>Map each personal data field, purpose, lawful basis, recipient, processor, and retention period</w:t>
      </w:r>
    </w:p>
    <w:p>
      <w:pPr>
        <w:pStyle w:val="ListBullet"/>
        <w:spacing w:after="50" w:line="259" w:lineRule="auto"/>
      </w:pPr>
      <w:r>
        <w:rPr>
          <w:rFonts w:ascii="Times New Roman" w:hAnsi="Times New Roman" w:eastAsia="Times New Roman"/>
          <w:b w:val="0"/>
          <w:i w:val="0"/>
          <w:color w:val="000000"/>
          <w:sz w:val="20"/>
        </w:rPr>
        <w:t>Obtain clear permission before sending a buyer's identity or contact details to an agent or partner</w:t>
      </w:r>
    </w:p>
    <w:p>
      <w:pPr>
        <w:pStyle w:val="ListBullet"/>
        <w:spacing w:after="50" w:line="259" w:lineRule="auto"/>
      </w:pPr>
      <w:r>
        <w:rPr>
          <w:rFonts w:ascii="Times New Roman" w:hAnsi="Times New Roman" w:eastAsia="Times New Roman"/>
          <w:b w:val="0"/>
          <w:i w:val="0"/>
          <w:color w:val="000000"/>
          <w:sz w:val="20"/>
        </w:rPr>
        <w:t>Limit access to title, identity, financial, and site documents and record every access</w:t>
      </w:r>
    </w:p>
    <w:p>
      <w:pPr>
        <w:pStyle w:val="ListBullet"/>
        <w:spacing w:after="50" w:line="259" w:lineRule="auto"/>
      </w:pPr>
      <w:r>
        <w:rPr>
          <w:rFonts w:ascii="Times New Roman" w:hAnsi="Times New Roman" w:eastAsia="Times New Roman"/>
          <w:b w:val="0"/>
          <w:i w:val="0"/>
          <w:color w:val="000000"/>
          <w:sz w:val="20"/>
        </w:rPr>
        <w:t>Provide correction, deletion, objection, consent withdrawal, and complaint routes</w:t>
      </w:r>
    </w:p>
    <w:p>
      <w:pPr>
        <w:pStyle w:val="ListBullet"/>
        <w:spacing w:after="50" w:line="259" w:lineRule="auto"/>
      </w:pPr>
      <w:r>
        <w:rPr>
          <w:rFonts w:ascii="Times New Roman" w:hAnsi="Times New Roman" w:eastAsia="Times New Roman"/>
          <w:b w:val="0"/>
          <w:i w:val="0"/>
          <w:color w:val="000000"/>
          <w:sz w:val="20"/>
        </w:rPr>
        <w:t>Complete a privacy impact assessment for scoring, AI profiling, identity checks, and cross border handling</w:t>
      </w:r>
    </w:p>
    <w:p>
      <w:pPr>
        <w:pStyle w:val="ListBullet"/>
        <w:spacing w:after="50" w:line="259" w:lineRule="auto"/>
      </w:pPr>
      <w:r>
        <w:rPr>
          <w:rFonts w:ascii="Times New Roman" w:hAnsi="Times New Roman" w:eastAsia="Times New Roman"/>
          <w:b w:val="0"/>
          <w:i w:val="0"/>
          <w:color w:val="000000"/>
          <w:sz w:val="20"/>
        </w:rPr>
        <w:t>Maintain breach response, processor contracts, retention schedules, and secure deletion</w:t>
      </w:r>
    </w:p>
    <w:p>
      <w:pPr>
        <w:pStyle w:val="Heading2"/>
        <w:keepNext/>
        <w:spacing w:before="160" w:after="100"/>
      </w:pPr>
      <w:r>
        <w:t>AML and transaction controls</w:t>
      </w:r>
    </w:p>
    <w:p>
      <w:pPr>
        <w:keepNext w:val="0"/>
        <w:spacing w:after="100" w:line="269" w:lineRule="auto"/>
      </w:pPr>
      <w:r>
        <w:rPr>
          <w:rFonts w:ascii="Times New Roman" w:hAnsi="Times New Roman" w:eastAsia="Times New Roman"/>
          <w:b w:val="0"/>
          <w:i w:val="0"/>
          <w:color w:val="000000"/>
          <w:sz w:val="21"/>
        </w:rPr>
        <w:t>SCUML publishes a current real estate sector risk assessment and guidance for real estate agents.</w:t>
      </w:r>
      <w:r>
        <w:rPr>
          <w:rFonts w:ascii="Times New Roman" w:hAnsi="Times New Roman" w:eastAsia="Times New Roman"/>
          <w:b w:val="0"/>
          <w:color w:val="000000"/>
          <w:sz w:val="16"/>
          <w:vertAlign w:val="superscript"/>
        </w:rPr>
        <w:t>[16]</w:t>
      </w:r>
      <w:r>
        <w:rPr>
          <w:rFonts w:ascii="Times New Roman" w:hAnsi="Times New Roman" w:eastAsia="Times New Roman"/>
          <w:b w:val="0"/>
          <w:i w:val="0"/>
          <w:color w:val="000000"/>
          <w:sz w:val="21"/>
        </w:rPr>
        <w:t xml:space="preserve"> If Realtors' Practice acts as a dealer, agent, broker, transaction intermediary, or payment coordinator, counsel should determine its registration, customer due diligence, beneficial ownership, record keeping, sanctions screening, and reporting obligations.</w:t>
      </w:r>
    </w:p>
    <w:p>
      <w:pPr>
        <w:keepNext w:val="0"/>
        <w:spacing w:after="100" w:line="269" w:lineRule="auto"/>
      </w:pPr>
      <w:r>
        <w:rPr>
          <w:rFonts w:ascii="Times New Roman" w:hAnsi="Times New Roman" w:eastAsia="Times New Roman"/>
          <w:b w:val="0"/>
          <w:i w:val="0"/>
          <w:color w:val="000000"/>
          <w:sz w:val="21"/>
        </w:rPr>
        <w:t>Do not accept cash, receive buyer purchase money, pool client funds, or describe a payment flow as escrow until the exact role is approved and controlled. CBN lists Paystack and Flutterwave among licensed switching and processing providers, but processor status does not automatically make Realtors' Practice an escrow provider.</w:t>
      </w:r>
      <w:r>
        <w:rPr>
          <w:rFonts w:ascii="Times New Roman" w:hAnsi="Times New Roman" w:eastAsia="Times New Roman"/>
          <w:b w:val="0"/>
          <w:color w:val="000000"/>
          <w:sz w:val="16"/>
          <w:vertAlign w:val="superscript"/>
        </w:rPr>
        <w:t>[18]</w:t>
      </w:r>
    </w:p>
    <w:p>
      <w:pPr>
        <w:pStyle w:val="Heading2"/>
        <w:keepNext/>
        <w:spacing w:before="160" w:after="100"/>
      </w:pPr>
      <w:r>
        <w:t>Consumer claims and refunds</w:t>
      </w:r>
    </w:p>
    <w:p>
      <w:pPr>
        <w:keepNext w:val="0"/>
        <w:spacing w:after="100" w:line="269" w:lineRule="auto"/>
      </w:pPr>
      <w:r>
        <w:rPr>
          <w:rFonts w:ascii="Times New Roman" w:hAnsi="Times New Roman" w:eastAsia="Times New Roman"/>
          <w:b w:val="0"/>
          <w:i w:val="0"/>
          <w:color w:val="000000"/>
          <w:sz w:val="21"/>
        </w:rPr>
        <w:t>FCCPC materials require accurate marketing and protect consumers against misleading representations and unfair terms.</w:t>
      </w:r>
      <w:r>
        <w:rPr>
          <w:rFonts w:ascii="Times New Roman" w:hAnsi="Times New Roman" w:eastAsia="Times New Roman"/>
          <w:b w:val="0"/>
          <w:color w:val="000000"/>
          <w:sz w:val="16"/>
          <w:vertAlign w:val="superscript"/>
        </w:rPr>
        <w:t>[19]</w:t>
      </w:r>
      <w:r>
        <w:rPr>
          <w:rFonts w:ascii="Times New Roman" w:hAnsi="Times New Roman" w:eastAsia="Times New Roman"/>
          <w:b w:val="0"/>
          <w:i w:val="0"/>
          <w:color w:val="000000"/>
          <w:sz w:val="21"/>
        </w:rPr>
        <w:t xml:space="preserve"> Every paid pack should have a written scope, delivery date, evidence limits, cancellation and refund terms, complaint route, and the identity of any third party professional. Paid placement must be visibly identified and must not influence an independent evidence score.</w:t>
      </w:r>
    </w:p>
    <w:p>
      <w:pPr>
        <w:pStyle w:val="Heading2"/>
        <w:keepNext/>
        <w:spacing w:before="160" w:after="100"/>
      </w:pPr>
      <w:r>
        <w:t>Investment and crowdfunding boundaries</w:t>
      </w:r>
    </w:p>
    <w:p>
      <w:pPr>
        <w:keepNext w:val="0"/>
        <w:spacing w:after="100" w:line="269" w:lineRule="auto"/>
      </w:pPr>
      <w:r>
        <w:rPr>
          <w:rFonts w:ascii="Times New Roman" w:hAnsi="Times New Roman" w:eastAsia="Times New Roman"/>
          <w:b w:val="0"/>
          <w:i w:val="0"/>
          <w:color w:val="000000"/>
          <w:sz w:val="21"/>
        </w:rPr>
        <w:t>Do not add fractional ownership, pooled property investment, promised returns, tokenized property, or crowdfunding as a growth feature. The SEC states that crowdfunding portals and intermediaries are regulated and that unregistered operations are unlawful.</w:t>
      </w:r>
      <w:r>
        <w:rPr>
          <w:rFonts w:ascii="Times New Roman" w:hAnsi="Times New Roman" w:eastAsia="Times New Roman"/>
          <w:b w:val="0"/>
          <w:color w:val="000000"/>
          <w:sz w:val="16"/>
          <w:vertAlign w:val="superscript"/>
        </w:rPr>
        <w:t>[20]</w:t>
      </w:r>
      <w:r>
        <w:rPr>
          <w:rFonts w:ascii="Times New Roman" w:hAnsi="Times New Roman" w:eastAsia="Times New Roman"/>
          <w:b w:val="0"/>
          <w:i w:val="0"/>
          <w:color w:val="000000"/>
          <w:sz w:val="21"/>
        </w:rPr>
        <w:t xml:space="preserve"> Any future product must be designed with a currently registered operator and specialist counsel before promotion or development.</w:t>
      </w:r>
    </w:p>
    <w:p>
      <w:pPr>
        <w:pStyle w:val="Heading2"/>
        <w:keepNext/>
        <w:spacing w:before="160" w:after="100"/>
      </w:pPr>
      <w:r>
        <w:t>Public claims that must change</w:t>
      </w:r>
    </w:p>
    <w:p>
      <w:pPr>
        <w:keepNext w:val="0"/>
        <w:spacing w:after="100" w:line="269" w:lineRule="auto"/>
      </w:pPr>
      <w:r>
        <w:rPr>
          <w:rFonts w:ascii="Times New Roman" w:hAnsi="Times New Roman" w:eastAsia="Times New Roman"/>
          <w:b w:val="0"/>
          <w:i w:val="0"/>
          <w:color w:val="000000"/>
          <w:sz w:val="21"/>
        </w:rPr>
        <w:t>The current live pricing page and repository terms contain material inconsistencies. Resolve them before paid acquisition or partner outreach.</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952"/>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6"/>
              </w:rPr>
              <w:t>Current risk</w:t>
            </w:r>
          </w:p>
        </w:tc>
        <w:tc>
          <w:tcPr>
            <w:tcW w:type="dxa" w:w="4032"/>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6"/>
              </w:rPr>
              <w:t>Required correction</w:t>
            </w:r>
          </w:p>
        </w:tc>
        <w:tc>
          <w:tcPr>
            <w:tcW w:type="dxa" w:w="3168"/>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6"/>
              </w:rPr>
              <w:t>Release gate</w:t>
            </w:r>
          </w:p>
        </w:tc>
      </w:tr>
      <w:tr>
        <w:tc>
          <w:tcPr>
            <w:tcW w:type="dxa" w:w="2952"/>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Escrow is promised while terms deny fund custody</w:t>
            </w:r>
          </w:p>
        </w:tc>
        <w:tc>
          <w:tcPr>
            <w:tcW w:type="dxa" w:w="4032"/>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Remove the promise or implement an approved licensed structure and matching terms</w:t>
            </w:r>
          </w:p>
        </w:tc>
        <w:tc>
          <w:tcPr>
            <w:tcW w:type="dxa" w:w="3168"/>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Counsel, PSP agreement, settlement controls, refunds, disputes, AML</w:t>
            </w:r>
          </w:p>
        </w:tc>
      </w:tr>
      <w:tr>
        <w:tc>
          <w:tcPr>
            <w:tcW w:type="dxa" w:w="2952"/>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NDPR compliant language is outdated</w:t>
            </w:r>
          </w:p>
        </w:tc>
        <w:tc>
          <w:tcPr>
            <w:tcW w:type="dxa" w:w="4032"/>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Use Nigeria Data Protection Act 2023 language supported by actual controls</w:t>
            </w:r>
          </w:p>
        </w:tc>
        <w:tc>
          <w:tcPr>
            <w:tcW w:type="dxa" w:w="3168"/>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Data map, DPCO or counsel assessment, privacy workflow</w:t>
            </w:r>
          </w:p>
        </w:tc>
      </w:tr>
      <w:tr>
        <w:tc>
          <w:tcPr>
            <w:tcW w:type="dxa" w:w="2952"/>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Verified agent claim may be broader than checks</w:t>
            </w:r>
          </w:p>
        </w:tc>
        <w:tc>
          <w:tcPr>
            <w:tcW w:type="dxa" w:w="4032"/>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State the exact credential, issuer, result, and date</w:t>
            </w:r>
          </w:p>
        </w:tc>
        <w:tc>
          <w:tcPr>
            <w:tcW w:type="dxa" w:w="3168"/>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Operational verification and recheck procedure</w:t>
            </w:r>
          </w:p>
        </w:tc>
      </w:tr>
      <w:tr>
        <w:tc>
          <w:tcPr>
            <w:tcW w:type="dxa" w:w="2952"/>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Automated market figures may resemble valuation</w:t>
            </w:r>
          </w:p>
        </w:tc>
        <w:tc>
          <w:tcPr>
            <w:tcW w:type="dxa" w:w="4032"/>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Label as asking price research with range, method, date, and limits</w:t>
            </w:r>
          </w:p>
        </w:tc>
        <w:tc>
          <w:tcPr>
            <w:tcW w:type="dxa" w:w="3168"/>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Licensed valuer signs any formal valuation</w:t>
            </w:r>
          </w:p>
        </w:tc>
      </w:tr>
      <w:tr>
        <w:tc>
          <w:tcPr>
            <w:tcW w:type="dxa" w:w="2952"/>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Future features appear available</w:t>
            </w:r>
          </w:p>
        </w:tc>
        <w:tc>
          <w:tcPr>
            <w:tcW w:type="dxa" w:w="4032"/>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Mark beta, managed, pilot, or coming soon accurately</w:t>
            </w:r>
          </w:p>
        </w:tc>
        <w:tc>
          <w:tcPr>
            <w:tcW w:type="dxa" w:w="3168"/>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End to end acceptance test and named support owner</w:t>
            </w:r>
          </w:p>
        </w:tc>
      </w:tr>
    </w:tbl>
    <w:p>
      <w:pPr>
        <w:spacing w:after="0"/>
      </w:pPr>
    </w:p>
    <w:p>
      <w:pPr>
        <w:pStyle w:val="Heading1"/>
        <w:keepNext/>
        <w:spacing w:before="240" w:after="100"/>
      </w:pPr>
      <w:r>
        <w:t>Product roadmap tied to revenue</w:t>
      </w:r>
    </w:p>
    <w:p>
      <w:pPr>
        <w:pStyle w:val="Heading2"/>
        <w:keepNext/>
        <w:spacing w:before="160" w:after="100"/>
      </w:pPr>
      <w:r>
        <w:t>First thirty days</w:t>
      </w:r>
    </w:p>
    <w:p>
      <w:pPr>
        <w:pStyle w:val="ListBullet"/>
        <w:spacing w:after="50" w:line="259" w:lineRule="auto"/>
      </w:pPr>
      <w:r>
        <w:rPr>
          <w:rFonts w:ascii="Times New Roman" w:hAnsi="Times New Roman" w:eastAsia="Times New Roman"/>
          <w:b w:val="0"/>
          <w:i w:val="0"/>
          <w:color w:val="000000"/>
          <w:sz w:val="20"/>
        </w:rPr>
        <w:t>Unify the two product stories under one commercial brand and three primary offers</w:t>
      </w:r>
    </w:p>
    <w:p>
      <w:pPr>
        <w:pStyle w:val="ListBullet"/>
        <w:spacing w:after="50" w:line="259" w:lineRule="auto"/>
      </w:pPr>
      <w:r>
        <w:rPr>
          <w:rFonts w:ascii="Times New Roman" w:hAnsi="Times New Roman" w:eastAsia="Times New Roman"/>
          <w:b w:val="0"/>
          <w:i w:val="0"/>
          <w:color w:val="000000"/>
          <w:sz w:val="20"/>
        </w:rPr>
        <w:t>Remove unsupported escrow, verification, compliance, and availability claims</w:t>
      </w:r>
    </w:p>
    <w:p>
      <w:pPr>
        <w:pStyle w:val="ListBullet"/>
        <w:spacing w:after="50" w:line="259" w:lineRule="auto"/>
      </w:pPr>
      <w:r>
        <w:rPr>
          <w:rFonts w:ascii="Times New Roman" w:hAnsi="Times New Roman" w:eastAsia="Times New Roman"/>
          <w:b w:val="0"/>
          <w:i w:val="0"/>
          <w:color w:val="000000"/>
          <w:sz w:val="20"/>
        </w:rPr>
        <w:t>Create one sample developer study with real method notes and clearly marked sample data</w:t>
      </w:r>
    </w:p>
    <w:p>
      <w:pPr>
        <w:pStyle w:val="ListBullet"/>
        <w:spacing w:after="50" w:line="259" w:lineRule="auto"/>
      </w:pPr>
      <w:r>
        <w:rPr>
          <w:rFonts w:ascii="Times New Roman" w:hAnsi="Times New Roman" w:eastAsia="Times New Roman"/>
          <w:b w:val="0"/>
          <w:i w:val="0"/>
          <w:color w:val="000000"/>
          <w:sz w:val="20"/>
        </w:rPr>
        <w:t>Create buyer decision pack intake, contract, invoice, partner referral, and delivery templates</w:t>
      </w:r>
    </w:p>
    <w:p>
      <w:pPr>
        <w:pStyle w:val="ListBullet"/>
        <w:spacing w:after="50" w:line="259" w:lineRule="auto"/>
      </w:pPr>
      <w:r>
        <w:rPr>
          <w:rFonts w:ascii="Times New Roman" w:hAnsi="Times New Roman" w:eastAsia="Times New Roman"/>
          <w:b w:val="0"/>
          <w:i w:val="0"/>
          <w:color w:val="000000"/>
          <w:sz w:val="20"/>
        </w:rPr>
        <w:t>Add field level provenance, freshness, confidence, correction, and rights metadata</w:t>
      </w:r>
    </w:p>
    <w:p>
      <w:pPr>
        <w:pStyle w:val="ListBullet"/>
        <w:spacing w:after="50" w:line="259" w:lineRule="auto"/>
      </w:pPr>
      <w:r>
        <w:rPr>
          <w:rFonts w:ascii="Times New Roman" w:hAnsi="Times New Roman" w:eastAsia="Times New Roman"/>
          <w:b w:val="0"/>
          <w:i w:val="0"/>
          <w:color w:val="000000"/>
          <w:sz w:val="20"/>
        </w:rPr>
        <w:t>Put the intelligence engine under secure private version control and separate secrets from documentation</w:t>
      </w:r>
    </w:p>
    <w:p>
      <w:pPr>
        <w:pStyle w:val="Heading2"/>
        <w:keepNext/>
        <w:spacing w:before="160" w:after="100"/>
      </w:pPr>
      <w:r>
        <w:t>Days thirty one to sixty</w:t>
      </w:r>
    </w:p>
    <w:p>
      <w:pPr>
        <w:pStyle w:val="ListBullet"/>
        <w:spacing w:after="50" w:line="259" w:lineRule="auto"/>
      </w:pPr>
      <w:r>
        <w:rPr>
          <w:rFonts w:ascii="Times New Roman" w:hAnsi="Times New Roman" w:eastAsia="Times New Roman"/>
          <w:b w:val="0"/>
          <w:i w:val="0"/>
          <w:color w:val="000000"/>
          <w:sz w:val="20"/>
        </w:rPr>
        <w:t>Deliver two founding developer studies and collect outcome feedback</w:t>
      </w:r>
    </w:p>
    <w:p>
      <w:pPr>
        <w:pStyle w:val="ListBullet"/>
        <w:spacing w:after="50" w:line="259" w:lineRule="auto"/>
      </w:pPr>
      <w:r>
        <w:rPr>
          <w:rFonts w:ascii="Times New Roman" w:hAnsi="Times New Roman" w:eastAsia="Times New Roman"/>
          <w:b w:val="0"/>
          <w:i w:val="0"/>
          <w:color w:val="000000"/>
          <w:sz w:val="20"/>
        </w:rPr>
        <w:t>Launch the private evidence room and verified project passport pilot</w:t>
      </w:r>
    </w:p>
    <w:p>
      <w:pPr>
        <w:pStyle w:val="ListBullet"/>
        <w:spacing w:after="50" w:line="259" w:lineRule="auto"/>
      </w:pPr>
      <w:r>
        <w:rPr>
          <w:rFonts w:ascii="Times New Roman" w:hAnsi="Times New Roman" w:eastAsia="Times New Roman"/>
          <w:b w:val="0"/>
          <w:i w:val="0"/>
          <w:color w:val="000000"/>
          <w:sz w:val="20"/>
        </w:rPr>
        <w:t>Contract one licensed valuer, one real estate lawyer, and one registered surveyor</w:t>
      </w:r>
    </w:p>
    <w:p>
      <w:pPr>
        <w:pStyle w:val="ListBullet"/>
        <w:spacing w:after="50" w:line="259" w:lineRule="auto"/>
      </w:pPr>
      <w:r>
        <w:rPr>
          <w:rFonts w:ascii="Times New Roman" w:hAnsi="Times New Roman" w:eastAsia="Times New Roman"/>
          <w:b w:val="0"/>
          <w:i w:val="0"/>
          <w:color w:val="000000"/>
          <w:sz w:val="20"/>
        </w:rPr>
        <w:t>Import one developer's live unit inventory and produce a weekly change report</w:t>
      </w:r>
    </w:p>
    <w:p>
      <w:pPr>
        <w:pStyle w:val="ListBullet"/>
        <w:spacing w:after="50" w:line="259" w:lineRule="auto"/>
      </w:pPr>
      <w:r>
        <w:rPr>
          <w:rFonts w:ascii="Times New Roman" w:hAnsi="Times New Roman" w:eastAsia="Times New Roman"/>
          <w:b w:val="0"/>
          <w:i w:val="0"/>
          <w:color w:val="000000"/>
          <w:sz w:val="20"/>
        </w:rPr>
        <w:t>Build a source rights register and shut off sources with unclear or prohibited use</w:t>
      </w:r>
    </w:p>
    <w:p>
      <w:pPr>
        <w:pStyle w:val="Heading2"/>
        <w:keepNext/>
        <w:spacing w:before="160" w:after="100"/>
      </w:pPr>
      <w:r>
        <w:t>Days sixty one to ninety</w:t>
      </w:r>
    </w:p>
    <w:p>
      <w:pPr>
        <w:pStyle w:val="ListBullet"/>
        <w:spacing w:after="50" w:line="259" w:lineRule="auto"/>
      </w:pPr>
      <w:r>
        <w:rPr>
          <w:rFonts w:ascii="Times New Roman" w:hAnsi="Times New Roman" w:eastAsia="Times New Roman"/>
          <w:b w:val="0"/>
          <w:i w:val="0"/>
          <w:color w:val="000000"/>
          <w:sz w:val="20"/>
        </w:rPr>
        <w:t>Convert at least two studies into paid monitoring</w:t>
      </w:r>
    </w:p>
    <w:p>
      <w:pPr>
        <w:pStyle w:val="ListBullet"/>
        <w:spacing w:after="50" w:line="259" w:lineRule="auto"/>
      </w:pPr>
      <w:r>
        <w:rPr>
          <w:rFonts w:ascii="Times New Roman" w:hAnsi="Times New Roman" w:eastAsia="Times New Roman"/>
          <w:b w:val="0"/>
          <w:i w:val="0"/>
          <w:color w:val="000000"/>
          <w:sz w:val="20"/>
        </w:rPr>
        <w:t>Onboard two managed project pages and measure inventory accuracy and lead response</w:t>
      </w:r>
    </w:p>
    <w:p>
      <w:pPr>
        <w:pStyle w:val="ListBullet"/>
        <w:spacing w:after="50" w:line="259" w:lineRule="auto"/>
      </w:pPr>
      <w:r>
        <w:rPr>
          <w:rFonts w:ascii="Times New Roman" w:hAnsi="Times New Roman" w:eastAsia="Times New Roman"/>
          <w:b w:val="0"/>
          <w:i w:val="0"/>
          <w:color w:val="000000"/>
          <w:sz w:val="20"/>
        </w:rPr>
        <w:t>Publish the first corridor brief with sample size, dates, exclusions, and correction policy</w:t>
      </w:r>
    </w:p>
    <w:p>
      <w:pPr>
        <w:pStyle w:val="ListBullet"/>
        <w:spacing w:after="50" w:line="259" w:lineRule="auto"/>
      </w:pPr>
      <w:r>
        <w:rPr>
          <w:rFonts w:ascii="Times New Roman" w:hAnsi="Times New Roman" w:eastAsia="Times New Roman"/>
          <w:b w:val="0"/>
          <w:i w:val="0"/>
          <w:color w:val="000000"/>
          <w:sz w:val="20"/>
        </w:rPr>
        <w:t>Begin one written direct feed licence pilot with a developer or agency</w:t>
      </w:r>
    </w:p>
    <w:p>
      <w:pPr>
        <w:pStyle w:val="ListBullet"/>
        <w:spacing w:after="50" w:line="259" w:lineRule="auto"/>
      </w:pPr>
      <w:r>
        <w:rPr>
          <w:rFonts w:ascii="Times New Roman" w:hAnsi="Times New Roman" w:eastAsia="Times New Roman"/>
          <w:b w:val="0"/>
          <w:i w:val="0"/>
          <w:color w:val="000000"/>
          <w:sz w:val="20"/>
        </w:rPr>
        <w:t>Choose the first self service workspace feature based on repeated paid use, not internal preference</w:t>
      </w:r>
    </w:p>
    <w:p>
      <w:pPr>
        <w:pStyle w:val="Heading1"/>
        <w:keepNext/>
        <w:spacing w:before="240" w:after="100"/>
      </w:pPr>
      <w:r>
        <w:t>Operating model for fewer than five people</w:t>
      </w:r>
    </w:p>
    <w:p>
      <w:pPr>
        <w:keepNext w:val="0"/>
        <w:spacing w:after="100" w:line="269" w:lineRule="auto"/>
      </w:pPr>
      <w:r>
        <w:rPr>
          <w:rFonts w:ascii="Times New Roman" w:hAnsi="Times New Roman" w:eastAsia="Times New Roman"/>
          <w:b w:val="0"/>
          <w:i w:val="0"/>
          <w:color w:val="000000"/>
          <w:sz w:val="21"/>
        </w:rPr>
        <w:t>Roles may be combined, but accountabilities must be explicit.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304"/>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7"/>
              </w:rPr>
              <w:t>Accountability</w:t>
            </w:r>
          </w:p>
        </w:tc>
        <w:tc>
          <w:tcPr>
            <w:tcW w:type="dxa" w:w="4608"/>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7"/>
              </w:rPr>
              <w:t>Core work</w:t>
            </w:r>
          </w:p>
        </w:tc>
        <w:tc>
          <w:tcPr>
            <w:tcW w:type="dxa" w:w="3240"/>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7"/>
              </w:rPr>
              <w:t>Weekly output</w:t>
            </w:r>
          </w:p>
        </w:tc>
      </w:tr>
      <w:tr>
        <w:tc>
          <w:tcPr>
            <w:tcW w:type="dxa" w:w="2304"/>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Commercial lead</w:t>
            </w:r>
          </w:p>
        </w:tc>
        <w:tc>
          <w:tcPr>
            <w:tcW w:type="dxa" w:w="4608"/>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Named account sales, proposals, pricing, partner development</w:t>
            </w:r>
          </w:p>
        </w:tc>
        <w:tc>
          <w:tcPr>
            <w:tcW w:type="dxa" w:w="3240"/>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Five discovery calls and one paid proposal</w:t>
            </w:r>
          </w:p>
        </w:tc>
      </w:tr>
      <w:tr>
        <w:tc>
          <w:tcPr>
            <w:tcW w:type="dxa" w:w="2304"/>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Research and data lead</w:t>
            </w:r>
          </w:p>
        </w:tc>
        <w:tc>
          <w:tcPr>
            <w:tcW w:type="dxa" w:w="4608"/>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Source quality, analysis, report review, methodology</w:t>
            </w:r>
          </w:p>
        </w:tc>
        <w:tc>
          <w:tcPr>
            <w:tcW w:type="dxa" w:w="3240"/>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One reviewed client output and correction log</w:t>
            </w:r>
          </w:p>
        </w:tc>
      </w:tr>
      <w:tr>
        <w:tc>
          <w:tcPr>
            <w:tcW w:type="dxa" w:w="2304"/>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Product and engineering lead</w:t>
            </w:r>
          </w:p>
        </w:tc>
        <w:tc>
          <w:tcPr>
            <w:tcW w:type="dxa" w:w="4608"/>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Data pipeline, portal, access, reliability, automation</w:t>
            </w:r>
          </w:p>
        </w:tc>
        <w:tc>
          <w:tcPr>
            <w:tcW w:type="dxa" w:w="3240"/>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One revenue linked improvement with tests</w:t>
            </w:r>
          </w:p>
        </w:tc>
      </w:tr>
      <w:tr>
        <w:tc>
          <w:tcPr>
            <w:tcW w:type="dxa" w:w="2304"/>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Operations and customer lead</w:t>
            </w:r>
          </w:p>
        </w:tc>
        <w:tc>
          <w:tcPr>
            <w:tcW w:type="dxa" w:w="4608"/>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Intake, evidence rooms, scheduling, delivery, outcomes</w:t>
            </w:r>
          </w:p>
        </w:tc>
        <w:tc>
          <w:tcPr>
            <w:tcW w:type="dxa" w:w="3240"/>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All active cases current and within scope</w:t>
            </w:r>
          </w:p>
        </w:tc>
      </w:tr>
      <w:tr>
        <w:tc>
          <w:tcPr>
            <w:tcW w:type="dxa" w:w="2304"/>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Compliance owner</w:t>
            </w:r>
          </w:p>
        </w:tc>
        <w:tc>
          <w:tcPr>
            <w:tcW w:type="dxa" w:w="4608"/>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Rights, privacy, professional checks, claims, incidents</w:t>
            </w:r>
          </w:p>
        </w:tc>
        <w:tc>
          <w:tcPr>
            <w:tcW w:type="dxa" w:w="3240"/>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7"/>
              </w:rPr>
              <w:t>Open risk register and release approvals</w:t>
            </w:r>
          </w:p>
        </w:tc>
      </w:tr>
    </w:tbl>
    <w:p>
      <w:pPr>
        <w:spacing w:after="0"/>
      </w:pPr>
    </w:p>
    <w:p>
      <w:pPr>
        <w:keepNext w:val="0"/>
        <w:spacing w:after="100" w:line="269" w:lineRule="auto"/>
      </w:pPr>
      <w:r>
        <w:rPr>
          <w:rFonts w:ascii="Times New Roman" w:hAnsi="Times New Roman" w:eastAsia="Times New Roman"/>
          <w:b w:val="0"/>
          <w:i w:val="0"/>
          <w:color w:val="000000"/>
          <w:sz w:val="21"/>
        </w:rPr>
        <w:t>If only three people are available, combine commercial with operations and combine research with compliance review, while keeping an external lawyer, DPCO, and licensed property professionals. Engineering should not approve its own data quality or public verification claims.</w:t>
      </w:r>
    </w:p>
    <w:p>
      <w:pPr>
        <w:pStyle w:val="Heading2"/>
        <w:keepNext/>
        <w:spacing w:before="160" w:after="100"/>
      </w:pPr>
      <w:r>
        <w:t>Lean budget allocation</w:t>
      </w:r>
    </w:p>
    <w:p>
      <w:pPr>
        <w:keepNext w:val="0"/>
        <w:spacing w:after="100" w:line="269" w:lineRule="auto"/>
      </w:pPr>
      <w:r>
        <w:rPr>
          <w:rFonts w:ascii="Times New Roman" w:hAnsi="Times New Roman" w:eastAsia="Times New Roman"/>
          <w:b w:val="0"/>
          <w:i w:val="0"/>
          <w:color w:val="000000"/>
          <w:sz w:val="21"/>
        </w:rPr>
        <w:t>Until the team provides a cash budget and runway, use percentages rather than fixed spend. A reasonable first allocation is 30 to 35 percent for data acquisition and analyst quality, 20 to 25 percent for sales and partnerships, 15 to 20 percent for product reliability and security, 10 to 15 percent for legal, privacy, and professional setup, 5 to 10 percent for small briefings and content, and at least 10 percent contingency. Avoid broad paid advertising until the company can show conversion from a specific buyer problem.</w:t>
      </w:r>
    </w:p>
    <w:p>
      <w:pPr>
        <w:pStyle w:val="Heading1"/>
        <w:keepNext/>
        <w:spacing w:before="240" w:after="100"/>
      </w:pPr>
      <w:r>
        <w:t>Metrics and stop rules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088"/>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6"/>
              </w:rPr>
              <w:t>Offer</w:t>
            </w:r>
          </w:p>
        </w:tc>
        <w:tc>
          <w:tcPr>
            <w:tcW w:type="dxa" w:w="4320"/>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6"/>
              </w:rPr>
              <w:t>Evidence to continue</w:t>
            </w:r>
          </w:p>
        </w:tc>
        <w:tc>
          <w:tcPr>
            <w:tcW w:type="dxa" w:w="3744"/>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6"/>
              </w:rPr>
              <w:t>Stop or change when</w:t>
            </w:r>
          </w:p>
        </w:tc>
      </w:tr>
      <w:tr>
        <w:tc>
          <w:tcPr>
            <w:tcW w:type="dxa" w:w="2088"/>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Developer intelligence</w:t>
            </w:r>
          </w:p>
        </w:tc>
        <w:tc>
          <w:tcPr>
            <w:tcW w:type="dxa" w:w="4320"/>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Three of five qualified pilots pay and two request repeat work</w:t>
            </w:r>
          </w:p>
        </w:tc>
        <w:tc>
          <w:tcPr>
            <w:tcW w:type="dxa" w:w="3744"/>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Calls show low urgency or delivery cannot reach target margin</w:t>
            </w:r>
          </w:p>
        </w:tc>
      </w:tr>
      <w:tr>
        <w:tc>
          <w:tcPr>
            <w:tcW w:type="dxa" w:w="2088"/>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Buyer decision pack</w:t>
            </w:r>
          </w:p>
        </w:tc>
        <w:tc>
          <w:tcPr>
            <w:tcW w:type="dxa" w:w="4320"/>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At least twenty percent of qualified calls buy and cases reach target margin</w:t>
            </w:r>
          </w:p>
        </w:tc>
        <w:tc>
          <w:tcPr>
            <w:tcW w:type="dxa" w:w="3744"/>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Most demand is free advice or partner costs exceed willingness to pay</w:t>
            </w:r>
          </w:p>
        </w:tc>
      </w:tr>
      <w:tr>
        <w:tc>
          <w:tcPr>
            <w:tcW w:type="dxa" w:w="2088"/>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Project workspace</w:t>
            </w:r>
          </w:p>
        </w:tc>
        <w:tc>
          <w:tcPr>
            <w:tcW w:type="dxa" w:w="4320"/>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Two developers use it weekly for ninety days and report a recurring benefit</w:t>
            </w:r>
          </w:p>
        </w:tc>
        <w:tc>
          <w:tcPr>
            <w:tcW w:type="dxa" w:w="3744"/>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Usage stops after setup or data remains stale</w:t>
            </w:r>
          </w:p>
        </w:tc>
      </w:tr>
      <w:tr>
        <w:tc>
          <w:tcPr>
            <w:tcW w:type="dxa" w:w="2088"/>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Agent paid product</w:t>
            </w:r>
          </w:p>
        </w:tc>
        <w:tc>
          <w:tcPr>
            <w:tcW w:type="dxa" w:w="4320"/>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RP produces measurable qualified inquiries or time savings</w:t>
            </w:r>
          </w:p>
        </w:tc>
        <w:tc>
          <w:tcPr>
            <w:tcW w:type="dxa" w:w="3744"/>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Payment depends only on listing quantity</w:t>
            </w:r>
          </w:p>
        </w:tc>
      </w:tr>
      <w:tr>
        <w:tc>
          <w:tcPr>
            <w:tcW w:type="dxa" w:w="2088"/>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Data feed</w:t>
            </w:r>
          </w:p>
        </w:tc>
        <w:tc>
          <w:tcPr>
            <w:tcW w:type="dxa" w:w="4320"/>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Written rights cover fields and customer use, with a paying pilot</w:t>
            </w:r>
          </w:p>
        </w:tc>
        <w:tc>
          <w:tcPr>
            <w:tcW w:type="dxa" w:w="3744"/>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Rights are unclear or customers mainly want copied source content</w:t>
            </w:r>
          </w:p>
        </w:tc>
      </w:tr>
      <w:tr>
        <w:tc>
          <w:tcPr>
            <w:tcW w:type="dxa" w:w="2088"/>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Hub payments</w:t>
            </w:r>
          </w:p>
        </w:tc>
        <w:tc>
          <w:tcPr>
            <w:tcW w:type="dxa" w:w="4320"/>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Legal opinion, licensed structure, AML, settlement, refund, and dispute controls exist</w:t>
            </w:r>
          </w:p>
        </w:tc>
        <w:tc>
          <w:tcPr>
            <w:tcW w:type="dxa" w:w="3744"/>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Any responsibility remains ambiguous</w:t>
            </w:r>
          </w:p>
        </w:tc>
      </w:tr>
    </w:tbl>
    <w:p>
      <w:pPr>
        <w:spacing w:after="0"/>
      </w:pPr>
    </w:p>
    <w:p>
      <w:pPr>
        <w:pStyle w:val="Heading1"/>
        <w:keepNext/>
        <w:spacing w:before="240" w:after="100"/>
      </w:pPr>
      <w:r>
        <w:t>Key risks and controls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376"/>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6"/>
              </w:rPr>
              <w:t>Risk</w:t>
            </w:r>
          </w:p>
        </w:tc>
        <w:tc>
          <w:tcPr>
            <w:tcW w:type="dxa" w:w="3528"/>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6"/>
              </w:rPr>
              <w:t>Commercial damage</w:t>
            </w:r>
          </w:p>
        </w:tc>
        <w:tc>
          <w:tcPr>
            <w:tcW w:type="dxa" w:w="4320"/>
            <w:vAlign w:val="center"/>
            <w:shd w:fill="E7E6E6"/>
            <w:tcMar>
              <w:top w:w="110" w:type="dxa"/>
              <w:start w:w="110" w:type="dxa"/>
              <w:bottom w:w="110" w:type="dxa"/>
              <w:end w:w="110" w:type="dxa"/>
            </w:tcMar>
          </w:tcPr>
          <w:p>
            <w:pPr>
              <w:spacing w:after="0"/>
              <w:jc w:val="center"/>
            </w:pPr>
            <w:r>
              <w:rPr>
                <w:rFonts w:ascii="Times New Roman" w:hAnsi="Times New Roman" w:eastAsia="Times New Roman"/>
                <w:b/>
                <w:color w:val="000000"/>
                <w:sz w:val="16"/>
              </w:rPr>
              <w:t>Control</w:t>
            </w:r>
          </w:p>
        </w:tc>
      </w:tr>
      <w:tr>
        <w:tc>
          <w:tcPr>
            <w:tcW w:type="dxa" w:w="2376"/>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Unlicensed or restricted source data</w:t>
            </w:r>
          </w:p>
        </w:tc>
        <w:tc>
          <w:tcPr>
            <w:tcW w:type="dxa" w:w="3528"/>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Takedown, claim, or loss of product</w:t>
            </w:r>
          </w:p>
        </w:tc>
        <w:tc>
          <w:tcPr>
            <w:tcW w:type="dxa" w:w="4320"/>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Rights register, direct feeds, source kill switches, counsel review</w:t>
            </w:r>
          </w:p>
        </w:tc>
      </w:tr>
      <w:tr>
        <w:tc>
          <w:tcPr>
            <w:tcW w:type="dxa" w:w="2376"/>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Asking price treated as transaction price</w:t>
            </w:r>
          </w:p>
        </w:tc>
        <w:tc>
          <w:tcPr>
            <w:tcW w:type="dxa" w:w="3528"/>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Bad decisions and credibility loss</w:t>
            </w:r>
          </w:p>
        </w:tc>
        <w:tc>
          <w:tcPr>
            <w:tcW w:type="dxa" w:w="4320"/>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Clear labels, ranges, provenance, licensed professional review</w:t>
            </w:r>
          </w:p>
        </w:tc>
      </w:tr>
      <w:tr>
        <w:tc>
          <w:tcPr>
            <w:tcW w:type="dxa" w:w="2376"/>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Broad verification badge</w:t>
            </w:r>
          </w:p>
        </w:tc>
        <w:tc>
          <w:tcPr>
            <w:tcW w:type="dxa" w:w="3528"/>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False assurance and consumer harm</w:t>
            </w:r>
          </w:p>
        </w:tc>
        <w:tc>
          <w:tcPr>
            <w:tcW w:type="dxa" w:w="4320"/>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Credential specific evidence states and named reviewer</w:t>
            </w:r>
          </w:p>
        </w:tc>
      </w:tr>
      <w:tr>
        <w:tc>
          <w:tcPr>
            <w:tcW w:type="dxa" w:w="2376"/>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Cold marketplace</w:t>
            </w:r>
          </w:p>
        </w:tc>
        <w:tc>
          <w:tcPr>
            <w:tcW w:type="dxa" w:w="3528"/>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Agents churn and inventory quality falls</w:t>
            </w:r>
          </w:p>
        </w:tc>
        <w:tc>
          <w:tcPr>
            <w:tcW w:type="dxa" w:w="4320"/>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Free listing supply and paid decision products first</w:t>
            </w:r>
          </w:p>
        </w:tc>
      </w:tr>
      <w:tr>
        <w:tc>
          <w:tcPr>
            <w:tcW w:type="dxa" w:w="2376"/>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Service overload</w:t>
            </w:r>
          </w:p>
        </w:tc>
        <w:tc>
          <w:tcPr>
            <w:tcW w:type="dxa" w:w="3528"/>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Revenue grows while cash and quality worsen</w:t>
            </w:r>
          </w:p>
        </w:tc>
        <w:tc>
          <w:tcPr>
            <w:tcW w:type="dxa" w:w="4320"/>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Fixed scope, time tracking, templates, automation, price review</w:t>
            </w:r>
          </w:p>
        </w:tc>
      </w:tr>
      <w:tr>
        <w:tc>
          <w:tcPr>
            <w:tcW w:type="dxa" w:w="2376"/>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Security or privacy failure</w:t>
            </w:r>
          </w:p>
        </w:tc>
        <w:tc>
          <w:tcPr>
            <w:tcW w:type="dxa" w:w="3528"/>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Client harm and institutional sales failure</w:t>
            </w:r>
          </w:p>
        </w:tc>
        <w:tc>
          <w:tcPr>
            <w:tcW w:type="dxa" w:w="4320"/>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Least privilege, encryption, audit logs, retention, incident response</w:t>
            </w:r>
          </w:p>
        </w:tc>
      </w:tr>
      <w:tr>
        <w:tc>
          <w:tcPr>
            <w:tcW w:type="dxa" w:w="2376"/>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Government dependency</w:t>
            </w:r>
          </w:p>
        </w:tc>
        <w:tc>
          <w:tcPr>
            <w:tcW w:type="dxa" w:w="3528"/>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Slow procurement delays revenue</w:t>
            </w:r>
          </w:p>
        </w:tc>
        <w:tc>
          <w:tcPr>
            <w:tcW w:type="dxa" w:w="4320"/>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Treat public sector work as a parallel partnership track</w:t>
            </w:r>
          </w:p>
        </w:tc>
      </w:tr>
      <w:tr>
        <w:tc>
          <w:tcPr>
            <w:tcW w:type="dxa" w:w="2376"/>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Expansion before density</w:t>
            </w:r>
          </w:p>
        </w:tc>
        <w:tc>
          <w:tcPr>
            <w:tcW w:type="dxa" w:w="3528"/>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Weak data across too many locations</w:t>
            </w:r>
          </w:p>
        </w:tc>
        <w:tc>
          <w:tcPr>
            <w:tcW w:type="dxa" w:w="4320"/>
            <w:shd w:fill="F7F7F7"/>
            <w:vAlign w:val="center"/>
            <w:tcMar>
              <w:top w:w="110" w:type="dxa"/>
              <w:start w:w="110" w:type="dxa"/>
              <w:bottom w:w="110" w:type="dxa"/>
              <w:end w:w="110" w:type="dxa"/>
            </w:tcMar>
          </w:tcPr>
          <w:p>
            <w:pPr>
              <w:spacing w:after="0" w:line="245" w:lineRule="auto"/>
            </w:pPr>
            <w:r>
              <w:rPr>
                <w:rFonts w:ascii="Times New Roman" w:hAnsi="Times New Roman" w:eastAsia="Times New Roman"/>
                <w:b w:val="0"/>
                <w:i w:val="0"/>
                <w:color w:val="000000"/>
                <w:sz w:val="16"/>
              </w:rPr>
              <w:t>Win the Lekki Epe corridor before adding another geography</w:t>
            </w:r>
          </w:p>
        </w:tc>
      </w:tr>
    </w:tbl>
    <w:p>
      <w:pPr>
        <w:spacing w:after="0"/>
      </w:pPr>
    </w:p>
    <w:p>
      <w:pPr>
        <w:pStyle w:val="Heading1"/>
        <w:keepNext/>
        <w:spacing w:before="240" w:after="100"/>
      </w:pPr>
      <w:r>
        <w:t>Decisions required from management</w:t>
      </w:r>
    </w:p>
    <w:p>
      <w:pPr>
        <w:keepNext w:val="0"/>
        <w:spacing w:after="100" w:line="269" w:lineRule="auto"/>
      </w:pPr>
      <w:r>
        <w:rPr>
          <w:rFonts w:ascii="Times New Roman" w:hAnsi="Times New Roman" w:eastAsia="Times New Roman"/>
          <w:b w:val="0"/>
          <w:i w:val="0"/>
          <w:color w:val="000000"/>
          <w:sz w:val="21"/>
        </w:rPr>
        <w:t>The following questions should be answered in writing before the ninety day plan begins. They affect scope, pricing, legal structure, and delivery capacity.</w:t>
      </w:r>
    </w:p>
    <w:p>
      <w:pPr>
        <w:pStyle w:val="ListBullet"/>
        <w:spacing w:after="50" w:line="259" w:lineRule="auto"/>
      </w:pPr>
      <w:r>
        <w:rPr>
          <w:rFonts w:ascii="Times New Roman" w:hAnsi="Times New Roman" w:eastAsia="Times New Roman"/>
          <w:b w:val="0"/>
          <w:i w:val="0"/>
          <w:color w:val="000000"/>
          <w:sz w:val="20"/>
        </w:rPr>
        <w:t>Which legal entity will contract with customers, issue invoices, and own or license the software and data?</w:t>
      </w:r>
    </w:p>
    <w:p>
      <w:pPr>
        <w:pStyle w:val="ListBullet"/>
        <w:spacing w:after="50" w:line="259" w:lineRule="auto"/>
      </w:pPr>
      <w:r>
        <w:rPr>
          <w:rFonts w:ascii="Times New Roman" w:hAnsi="Times New Roman" w:eastAsia="Times New Roman"/>
          <w:b w:val="0"/>
          <w:i w:val="0"/>
          <w:color w:val="000000"/>
          <w:sz w:val="20"/>
        </w:rPr>
        <w:t>Is the company or any director registered with LASRERA, ESVARBON, SCUML, or another relevant professional or sector body?</w:t>
      </w:r>
    </w:p>
    <w:p>
      <w:pPr>
        <w:pStyle w:val="ListBullet"/>
        <w:spacing w:after="50" w:line="259" w:lineRule="auto"/>
      </w:pPr>
      <w:r>
        <w:rPr>
          <w:rFonts w:ascii="Times New Roman" w:hAnsi="Times New Roman" w:eastAsia="Times New Roman"/>
          <w:b w:val="0"/>
          <w:i w:val="0"/>
          <w:color w:val="000000"/>
          <w:sz w:val="20"/>
        </w:rPr>
        <w:t>Which current sources have written permission for storage, display, analysis, redistribution, and model use?</w:t>
      </w:r>
    </w:p>
    <w:p>
      <w:pPr>
        <w:pStyle w:val="ListBullet"/>
        <w:spacing w:after="50" w:line="259" w:lineRule="auto"/>
      </w:pPr>
      <w:r>
        <w:rPr>
          <w:rFonts w:ascii="Times New Roman" w:hAnsi="Times New Roman" w:eastAsia="Times New Roman"/>
          <w:b w:val="0"/>
          <w:i w:val="0"/>
          <w:color w:val="000000"/>
          <w:sz w:val="20"/>
        </w:rPr>
        <w:t>How many current records exist by corridor zone, and what percentage have title, price, photo, location, freshness, and source rights fields?</w:t>
      </w:r>
    </w:p>
    <w:p>
      <w:pPr>
        <w:pStyle w:val="ListBullet"/>
        <w:spacing w:after="50" w:line="259" w:lineRule="auto"/>
      </w:pPr>
      <w:r>
        <w:rPr>
          <w:rFonts w:ascii="Times New Roman" w:hAnsi="Times New Roman" w:eastAsia="Times New Roman"/>
          <w:b w:val="0"/>
          <w:i w:val="0"/>
          <w:color w:val="000000"/>
          <w:sz w:val="20"/>
        </w:rPr>
        <w:t>What is the current monthly operating cost, cash runway, and minimum monthly revenue target?</w:t>
      </w:r>
    </w:p>
    <w:p>
      <w:pPr>
        <w:pStyle w:val="ListBullet"/>
        <w:spacing w:after="50" w:line="259" w:lineRule="auto"/>
      </w:pPr>
      <w:r>
        <w:rPr>
          <w:rFonts w:ascii="Times New Roman" w:hAnsi="Times New Roman" w:eastAsia="Times New Roman"/>
          <w:b w:val="0"/>
          <w:i w:val="0"/>
          <w:color w:val="000000"/>
          <w:sz w:val="20"/>
        </w:rPr>
        <w:t>Who owns sales, research quality, engineering reliability, operations, and compliance decisions?</w:t>
      </w:r>
    </w:p>
    <w:p>
      <w:pPr>
        <w:pStyle w:val="ListBullet"/>
        <w:spacing w:after="50" w:line="259" w:lineRule="auto"/>
      </w:pPr>
      <w:r>
        <w:rPr>
          <w:rFonts w:ascii="Times New Roman" w:hAnsi="Times New Roman" w:eastAsia="Times New Roman"/>
          <w:b w:val="0"/>
          <w:i w:val="0"/>
          <w:color w:val="000000"/>
          <w:sz w:val="20"/>
        </w:rPr>
        <w:t>Which two developers can be approached as design partners within the next two weeks?</w:t>
      </w:r>
    </w:p>
    <w:p>
      <w:pPr>
        <w:pStyle w:val="ListBullet"/>
        <w:spacing w:after="50" w:line="259" w:lineRule="auto"/>
      </w:pPr>
      <w:r>
        <w:rPr>
          <w:rFonts w:ascii="Times New Roman" w:hAnsi="Times New Roman" w:eastAsia="Times New Roman"/>
          <w:b w:val="0"/>
          <w:i w:val="0"/>
          <w:color w:val="000000"/>
          <w:sz w:val="20"/>
        </w:rPr>
        <w:t>Which licensed valuer, lawyer, and surveyor will accept a written pilot scope and service level?</w:t>
      </w:r>
    </w:p>
    <w:p>
      <w:pPr>
        <w:pStyle w:val="ListBullet"/>
        <w:spacing w:after="50" w:line="259" w:lineRule="auto"/>
      </w:pPr>
      <w:r>
        <w:rPr>
          <w:rFonts w:ascii="Times New Roman" w:hAnsi="Times New Roman" w:eastAsia="Times New Roman"/>
          <w:b w:val="0"/>
          <w:i w:val="0"/>
          <w:color w:val="000000"/>
          <w:sz w:val="20"/>
        </w:rPr>
        <w:t>What is the present live user count, qualified inquiry count, and conversion history by audience?</w:t>
      </w:r>
    </w:p>
    <w:p>
      <w:pPr>
        <w:pStyle w:val="ListBullet"/>
        <w:spacing w:after="50" w:line="259" w:lineRule="auto"/>
      </w:pPr>
      <w:r>
        <w:rPr>
          <w:rFonts w:ascii="Times New Roman" w:hAnsi="Times New Roman" w:eastAsia="Times New Roman"/>
          <w:b w:val="0"/>
          <w:i w:val="0"/>
          <w:color w:val="000000"/>
          <w:sz w:val="20"/>
        </w:rPr>
        <w:t>Which public claims can the team prove today with an auditable process?</w:t>
      </w:r>
    </w:p>
    <w:p>
      <w:pPr>
        <w:pStyle w:val="ListBullet"/>
        <w:spacing w:after="50" w:line="259" w:lineRule="auto"/>
      </w:pPr>
      <w:r>
        <w:rPr>
          <w:rFonts w:ascii="Times New Roman" w:hAnsi="Times New Roman" w:eastAsia="Times New Roman"/>
          <w:b w:val="0"/>
          <w:i w:val="0"/>
          <w:color w:val="000000"/>
          <w:sz w:val="20"/>
        </w:rPr>
        <w:t>Will the company remain independent of property commissions, or will it also act as an agency where properly registered?</w:t>
      </w:r>
    </w:p>
    <w:p>
      <w:pPr>
        <w:pStyle w:val="ListBullet"/>
        <w:spacing w:after="50" w:line="259" w:lineRule="auto"/>
      </w:pPr>
      <w:r>
        <w:rPr>
          <w:rFonts w:ascii="Times New Roman" w:hAnsi="Times New Roman" w:eastAsia="Times New Roman"/>
          <w:b w:val="0"/>
          <w:i w:val="0"/>
          <w:color w:val="000000"/>
          <w:sz w:val="20"/>
        </w:rPr>
        <w:t>What customer information is currently sent to agents or partners, and what consent record is retained?</w:t>
      </w:r>
    </w:p>
    <w:p>
      <w:pPr>
        <w:pStyle w:val="Heading1"/>
        <w:keepNext/>
        <w:spacing w:before="240" w:after="100"/>
      </w:pPr>
      <w:r>
        <w:t>Final direction</w:t>
      </w:r>
    </w:p>
    <w:p>
      <w:pPr>
        <w:keepNext w:val="0"/>
        <w:spacing w:after="100" w:line="269" w:lineRule="auto"/>
      </w:pPr>
      <w:r>
        <w:rPr>
          <w:rFonts w:ascii="Times New Roman" w:hAnsi="Times New Roman" w:eastAsia="Times New Roman"/>
          <w:b w:val="0"/>
          <w:i w:val="0"/>
          <w:color w:val="000000"/>
          <w:sz w:val="21"/>
        </w:rPr>
        <w:t>Realtors' Practice can take advantage of Nigeria's property market by reducing the cost of uncertainty for customers who are already committing money. The market's size matters, but its fragmentation is more useful commercially. Developers need evidence before launch, diaspora buyers need documented local visibility, lenders and valuers need better monitoring inputs, and government has identified housing data as a policy gap.</w:t>
      </w:r>
    </w:p>
    <w:p>
      <w:pPr>
        <w:keepNext w:val="0"/>
        <w:spacing w:after="100" w:line="269" w:lineRule="auto"/>
      </w:pPr>
      <w:r>
        <w:rPr>
          <w:rFonts w:ascii="Times New Roman" w:hAnsi="Times New Roman" w:eastAsia="Times New Roman"/>
          <w:b w:val="0"/>
          <w:i w:val="0"/>
          <w:color w:val="000000"/>
          <w:sz w:val="21"/>
        </w:rPr>
        <w:t>The first year should build a corridor data franchise through paid studies, recurring monitoring, verified project records, and licensed partner delivery. Each sale must improve the dataset, secure additional rights, or reveal a repeated workflow that can become software. Marketplace subscriptions and transaction services should follow proven demand and approved legal structures.</w:t>
      </w:r>
    </w:p>
    <w:p>
      <w:pPr>
        <w:keepNext w:val="0"/>
        <w:spacing w:after="100" w:line="269" w:lineRule="auto"/>
      </w:pPr>
      <w:r>
        <w:rPr>
          <w:rFonts w:ascii="Times New Roman" w:hAnsi="Times New Roman" w:eastAsia="Times New Roman"/>
          <w:b w:val="0"/>
          <w:i w:val="0"/>
          <w:color w:val="000000"/>
          <w:sz w:val="21"/>
        </w:rPr>
        <w:t>The immediate management decision is to approve three offers: the Developer Launch Study, the Buyer Decision Pack, and the Monthly Project Monitor. Prepare one sample of each, remove contradictory public claims, sign the first professional partners, and begin named account sales. That path can produce revenue within weeks while strengthening the long term data asset.</w:t>
      </w:r>
    </w:p>
    <w:p>
      <w:r>
        <w:br w:type="page"/>
      </w:r>
    </w:p>
    <w:p>
      <w:pPr>
        <w:pStyle w:val="Heading1"/>
        <w:keepNext/>
        <w:spacing w:before="240" w:after="100"/>
      </w:pPr>
      <w:r>
        <w:t>Sources</w:t>
      </w:r>
    </w:p>
    <w:p>
      <w:pPr>
        <w:keepNext w:val="0"/>
        <w:spacing w:after="100" w:line="269" w:lineRule="auto"/>
      </w:pPr>
      <w:r>
        <w:rPr>
          <w:rFonts w:ascii="Times New Roman" w:hAnsi="Times New Roman" w:eastAsia="Times New Roman"/>
          <w:b w:val="0"/>
          <w:i w:val="0"/>
          <w:color w:val="000000"/>
          <w:sz w:val="21"/>
        </w:rPr>
        <w:t>Sources were accessed on 9 September 2026 unless a publication date is stated. Competitor figures and descriptions are the organizations' own published claims and were not independently audited.</w:t>
      </w:r>
    </w:p>
    <w:p>
      <w:pPr>
        <w:spacing w:after="80" w:line="252" w:lineRule="auto"/>
      </w:pPr>
      <w:r>
        <w:rPr>
          <w:rFonts w:ascii="Times New Roman" w:hAnsi="Times New Roman" w:eastAsia="Times New Roman"/>
          <w:color w:val="000000"/>
          <w:sz w:val="19"/>
        </w:rPr>
        <w:t xml:space="preserve">1. Federal Ministry of Housing and Urban Development. </w:t>
      </w:r>
      <w:hyperlink r:id="rId10">
        <w:r>
          <w:rPr>
            <w:rFonts w:ascii="Times New Roman" w:hAnsi="Times New Roman"/>
            <w:color w:val="000000"/>
            <w:u w:val="single"/>
            <w:sz w:val="19"/>
          </w:rPr>
          <w:t>FG Technical Committee Releases New Housing Data Pegs Deficit at 15 Million Units</w:t>
        </w:r>
      </w:hyperlink>
      <w:r>
        <w:rPr>
          <w:rFonts w:ascii="Times New Roman" w:hAnsi="Times New Roman" w:eastAsia="Times New Roman"/>
          <w:color w:val="000000"/>
          <w:sz w:val="19"/>
        </w:rPr>
        <w:t>. 26 January 2026.</w:t>
      </w:r>
    </w:p>
    <w:p>
      <w:pPr>
        <w:spacing w:after="80" w:line="252" w:lineRule="auto"/>
      </w:pPr>
      <w:r>
        <w:rPr>
          <w:rFonts w:ascii="Times New Roman" w:hAnsi="Times New Roman" w:eastAsia="Times New Roman"/>
          <w:color w:val="000000"/>
          <w:sz w:val="19"/>
        </w:rPr>
        <w:t xml:space="preserve">2. World Bank. </w:t>
      </w:r>
      <w:hyperlink r:id="rId11">
        <w:r>
          <w:rPr>
            <w:rFonts w:ascii="Times New Roman" w:hAnsi="Times New Roman"/>
            <w:color w:val="000000"/>
            <w:u w:val="single"/>
            <w:sz w:val="19"/>
          </w:rPr>
          <w:t>Nigeria Multi Sector Analytical Review and Pathway to Transformation</w:t>
        </w:r>
      </w:hyperlink>
      <w:r>
        <w:rPr>
          <w:rFonts w:ascii="Times New Roman" w:hAnsi="Times New Roman" w:eastAsia="Times New Roman"/>
          <w:color w:val="000000"/>
          <w:sz w:val="19"/>
        </w:rPr>
        <w:t>. 2025.</w:t>
      </w:r>
    </w:p>
    <w:p>
      <w:pPr>
        <w:spacing w:after="80" w:line="252" w:lineRule="auto"/>
      </w:pPr>
      <w:r>
        <w:rPr>
          <w:rFonts w:ascii="Times New Roman" w:hAnsi="Times New Roman" w:eastAsia="Times New Roman"/>
          <w:color w:val="000000"/>
          <w:sz w:val="19"/>
        </w:rPr>
        <w:t xml:space="preserve">3. Central Bank of Nigeria. </w:t>
      </w:r>
      <w:hyperlink r:id="rId12">
        <w:r>
          <w:rPr>
            <w:rFonts w:ascii="Times New Roman" w:hAnsi="Times New Roman"/>
            <w:color w:val="000000"/>
            <w:u w:val="single"/>
            <w:sz w:val="19"/>
          </w:rPr>
          <w:t>Nigeria Posts US$6.83 Billion Balance of Payments Surplus in 2024</w:t>
        </w:r>
      </w:hyperlink>
      <w:r>
        <w:rPr>
          <w:rFonts w:ascii="Times New Roman" w:hAnsi="Times New Roman" w:eastAsia="Times New Roman"/>
          <w:color w:val="000000"/>
          <w:sz w:val="19"/>
        </w:rPr>
        <w:t>. 2025.</w:t>
      </w:r>
    </w:p>
    <w:p>
      <w:pPr>
        <w:spacing w:after="80" w:line="252" w:lineRule="auto"/>
      </w:pPr>
      <w:r>
        <w:rPr>
          <w:rFonts w:ascii="Times New Roman" w:hAnsi="Times New Roman" w:eastAsia="Times New Roman"/>
          <w:color w:val="000000"/>
          <w:sz w:val="19"/>
        </w:rPr>
        <w:t xml:space="preserve">4. Central Bank of Nigeria. </w:t>
      </w:r>
      <w:hyperlink r:id="rId13">
        <w:r>
          <w:rPr>
            <w:rFonts w:ascii="Times New Roman" w:hAnsi="Times New Roman"/>
            <w:color w:val="000000"/>
            <w:u w:val="single"/>
            <w:sz w:val="19"/>
          </w:rPr>
          <w:t>CBN Reforms and Initiatives</w:t>
        </w:r>
      </w:hyperlink>
      <w:r>
        <w:rPr>
          <w:rFonts w:ascii="Times New Roman" w:hAnsi="Times New Roman" w:eastAsia="Times New Roman"/>
          <w:color w:val="000000"/>
          <w:sz w:val="19"/>
        </w:rPr>
        <w:t>. accessed 9 September 2026.</w:t>
      </w:r>
    </w:p>
    <w:p>
      <w:pPr>
        <w:spacing w:after="80" w:line="252" w:lineRule="auto"/>
      </w:pPr>
      <w:r>
        <w:rPr>
          <w:rFonts w:ascii="Times New Roman" w:hAnsi="Times New Roman" w:eastAsia="Times New Roman"/>
          <w:color w:val="000000"/>
          <w:sz w:val="19"/>
        </w:rPr>
        <w:t xml:space="preserve">5. Central Bank of Nigeria. </w:t>
      </w:r>
      <w:hyperlink r:id="rId14">
        <w:r>
          <w:rPr>
            <w:rFonts w:ascii="Times New Roman" w:hAnsi="Times New Roman"/>
            <w:color w:val="000000"/>
            <w:u w:val="single"/>
            <w:sz w:val="19"/>
          </w:rPr>
          <w:t>Monetary Policy Decisions</w:t>
        </w:r>
      </w:hyperlink>
      <w:r>
        <w:rPr>
          <w:rFonts w:ascii="Times New Roman" w:hAnsi="Times New Roman" w:eastAsia="Times New Roman"/>
          <w:color w:val="000000"/>
          <w:sz w:val="19"/>
        </w:rPr>
        <w:t>. 21 July 2026 decision.</w:t>
      </w:r>
    </w:p>
    <w:p>
      <w:pPr>
        <w:spacing w:after="80" w:line="252" w:lineRule="auto"/>
      </w:pPr>
      <w:r>
        <w:rPr>
          <w:rFonts w:ascii="Times New Roman" w:hAnsi="Times New Roman" w:eastAsia="Times New Roman"/>
          <w:color w:val="000000"/>
          <w:sz w:val="19"/>
        </w:rPr>
        <w:t xml:space="preserve">6. Federal Ministry of Housing and Urban Development. </w:t>
      </w:r>
      <w:hyperlink r:id="rId15">
        <w:r>
          <w:rPr>
            <w:rFonts w:ascii="Times New Roman" w:hAnsi="Times New Roman"/>
            <w:color w:val="000000"/>
            <w:u w:val="single"/>
            <w:sz w:val="19"/>
          </w:rPr>
          <w:t>National Housing Data Committee presentation including CBN real estate data</w:t>
        </w:r>
      </w:hyperlink>
      <w:r>
        <w:rPr>
          <w:rFonts w:ascii="Times New Roman" w:hAnsi="Times New Roman" w:eastAsia="Times New Roman"/>
          <w:color w:val="000000"/>
          <w:sz w:val="19"/>
        </w:rPr>
        <w:t>. 2026.</w:t>
      </w:r>
    </w:p>
    <w:p>
      <w:pPr>
        <w:spacing w:after="80" w:line="252" w:lineRule="auto"/>
      </w:pPr>
      <w:r>
        <w:rPr>
          <w:rFonts w:ascii="Times New Roman" w:hAnsi="Times New Roman" w:eastAsia="Times New Roman"/>
          <w:color w:val="000000"/>
          <w:sz w:val="19"/>
        </w:rPr>
        <w:t xml:space="preserve">7. Lagos State Government. </w:t>
      </w:r>
      <w:hyperlink r:id="rId16">
        <w:r>
          <w:rPr>
            <w:rFonts w:ascii="Times New Roman" w:hAnsi="Times New Roman"/>
            <w:color w:val="000000"/>
            <w:u w:val="single"/>
            <w:sz w:val="19"/>
          </w:rPr>
          <w:t>2025 Fourth Quarter Budget Implementation Report</w:t>
        </w:r>
      </w:hyperlink>
      <w:r>
        <w:rPr>
          <w:rFonts w:ascii="Times New Roman" w:hAnsi="Times New Roman" w:eastAsia="Times New Roman"/>
          <w:color w:val="000000"/>
          <w:sz w:val="19"/>
        </w:rPr>
        <w:t>. 2026.</w:t>
      </w:r>
    </w:p>
    <w:p>
      <w:pPr>
        <w:spacing w:after="80" w:line="252" w:lineRule="auto"/>
      </w:pPr>
      <w:r>
        <w:rPr>
          <w:rFonts w:ascii="Times New Roman" w:hAnsi="Times New Roman" w:eastAsia="Times New Roman"/>
          <w:color w:val="000000"/>
          <w:sz w:val="19"/>
        </w:rPr>
        <w:t xml:space="preserve">8. Lekki Free Zone Development Company. </w:t>
      </w:r>
      <w:hyperlink r:id="rId17">
        <w:r>
          <w:rPr>
            <w:rFonts w:ascii="Times New Roman" w:hAnsi="Times New Roman"/>
            <w:color w:val="000000"/>
            <w:u w:val="single"/>
            <w:sz w:val="19"/>
          </w:rPr>
          <w:t>Lekki Free Zone</w:t>
        </w:r>
      </w:hyperlink>
      <w:r>
        <w:rPr>
          <w:rFonts w:ascii="Times New Roman" w:hAnsi="Times New Roman" w:eastAsia="Times New Roman"/>
          <w:color w:val="000000"/>
          <w:sz w:val="19"/>
        </w:rPr>
        <w:t>. accessed 9 September 2026.</w:t>
      </w:r>
    </w:p>
    <w:p>
      <w:pPr>
        <w:spacing w:after="80" w:line="252" w:lineRule="auto"/>
      </w:pPr>
      <w:r>
        <w:rPr>
          <w:rFonts w:ascii="Times New Roman" w:hAnsi="Times New Roman" w:eastAsia="Times New Roman"/>
          <w:color w:val="000000"/>
          <w:sz w:val="19"/>
        </w:rPr>
        <w:t xml:space="preserve">9. Lagos State Government. </w:t>
      </w:r>
      <w:hyperlink r:id="rId18">
        <w:r>
          <w:rPr>
            <w:rFonts w:ascii="Times New Roman" w:hAnsi="Times New Roman"/>
            <w:color w:val="000000"/>
            <w:u w:val="single"/>
            <w:sz w:val="19"/>
          </w:rPr>
          <w:t>Commencement of E Call Up System for Lekki Epe Corridor</w:t>
        </w:r>
      </w:hyperlink>
      <w:r>
        <w:rPr>
          <w:rFonts w:ascii="Times New Roman" w:hAnsi="Times New Roman" w:eastAsia="Times New Roman"/>
          <w:color w:val="000000"/>
          <w:sz w:val="19"/>
        </w:rPr>
        <w:t>. 16 September 2024.</w:t>
      </w:r>
    </w:p>
    <w:p>
      <w:pPr>
        <w:spacing w:after="80" w:line="252" w:lineRule="auto"/>
      </w:pPr>
      <w:r>
        <w:rPr>
          <w:rFonts w:ascii="Times New Roman" w:hAnsi="Times New Roman" w:eastAsia="Times New Roman"/>
          <w:color w:val="000000"/>
          <w:sz w:val="19"/>
        </w:rPr>
        <w:t xml:space="preserve">10. Lagos State Building Control Agency. </w:t>
      </w:r>
      <w:hyperlink r:id="rId19">
        <w:r>
          <w:rPr>
            <w:rFonts w:ascii="Times New Roman" w:hAnsi="Times New Roman"/>
            <w:color w:val="000000"/>
            <w:u w:val="single"/>
            <w:sz w:val="19"/>
          </w:rPr>
          <w:t>Frequently Asked Questions</w:t>
        </w:r>
      </w:hyperlink>
      <w:r>
        <w:rPr>
          <w:rFonts w:ascii="Times New Roman" w:hAnsi="Times New Roman" w:eastAsia="Times New Roman"/>
          <w:color w:val="000000"/>
          <w:sz w:val="19"/>
        </w:rPr>
        <w:t>. accessed 9 September 2026.</w:t>
      </w:r>
    </w:p>
    <w:p>
      <w:pPr>
        <w:spacing w:after="80" w:line="252" w:lineRule="auto"/>
      </w:pPr>
      <w:r>
        <w:rPr>
          <w:rFonts w:ascii="Times New Roman" w:hAnsi="Times New Roman" w:eastAsia="Times New Roman"/>
          <w:color w:val="000000"/>
          <w:sz w:val="19"/>
        </w:rPr>
        <w:t xml:space="preserve">11. Lagos State Building Control Agency. </w:t>
      </w:r>
      <w:hyperlink r:id="rId20">
        <w:r>
          <w:rPr>
            <w:rFonts w:ascii="Times New Roman" w:hAnsi="Times New Roman"/>
            <w:color w:val="000000"/>
            <w:u w:val="single"/>
            <w:sz w:val="19"/>
          </w:rPr>
          <w:t>Lagos State Building Control Regulations and requirements</w:t>
        </w:r>
      </w:hyperlink>
      <w:r>
        <w:rPr>
          <w:rFonts w:ascii="Times New Roman" w:hAnsi="Times New Roman" w:eastAsia="Times New Roman"/>
          <w:color w:val="000000"/>
          <w:sz w:val="19"/>
        </w:rPr>
        <w:t>. 2019.</w:t>
      </w:r>
    </w:p>
    <w:p>
      <w:pPr>
        <w:spacing w:after="80" w:line="252" w:lineRule="auto"/>
      </w:pPr>
      <w:r>
        <w:rPr>
          <w:rFonts w:ascii="Times New Roman" w:hAnsi="Times New Roman" w:eastAsia="Times New Roman"/>
          <w:color w:val="000000"/>
          <w:sz w:val="19"/>
        </w:rPr>
        <w:t xml:space="preserve">12. Lagos State Real Estate Regulatory Authority. </w:t>
      </w:r>
      <w:hyperlink r:id="rId21">
        <w:r>
          <w:rPr>
            <w:rFonts w:ascii="Times New Roman" w:hAnsi="Times New Roman"/>
            <w:color w:val="000000"/>
            <w:u w:val="single"/>
            <w:sz w:val="19"/>
          </w:rPr>
          <w:t>Lagos State Estate Agency Regulatory Authority Law</w:t>
        </w:r>
      </w:hyperlink>
      <w:r>
        <w:rPr>
          <w:rFonts w:ascii="Times New Roman" w:hAnsi="Times New Roman" w:eastAsia="Times New Roman"/>
          <w:color w:val="000000"/>
          <w:sz w:val="19"/>
        </w:rPr>
        <w:t>. accessed 9 September 2026.</w:t>
      </w:r>
    </w:p>
    <w:p>
      <w:pPr>
        <w:spacing w:after="80" w:line="252" w:lineRule="auto"/>
      </w:pPr>
      <w:r>
        <w:rPr>
          <w:rFonts w:ascii="Times New Roman" w:hAnsi="Times New Roman" w:eastAsia="Times New Roman"/>
          <w:color w:val="000000"/>
          <w:sz w:val="19"/>
        </w:rPr>
        <w:t xml:space="preserve">13. Estate Surveyors and Valuers Registration Board of Nigeria. </w:t>
      </w:r>
      <w:hyperlink r:id="rId22">
        <w:r>
          <w:rPr>
            <w:rFonts w:ascii="Times New Roman" w:hAnsi="Times New Roman"/>
            <w:color w:val="000000"/>
            <w:u w:val="single"/>
            <w:sz w:val="19"/>
          </w:rPr>
          <w:t>Verify an ESV Practitioner</w:t>
        </w:r>
      </w:hyperlink>
      <w:r>
        <w:rPr>
          <w:rFonts w:ascii="Times New Roman" w:hAnsi="Times New Roman" w:eastAsia="Times New Roman"/>
          <w:color w:val="000000"/>
          <w:sz w:val="19"/>
        </w:rPr>
        <w:t>. accessed 9 September 2026.</w:t>
      </w:r>
    </w:p>
    <w:p>
      <w:pPr>
        <w:spacing w:after="80" w:line="252" w:lineRule="auto"/>
      </w:pPr>
      <w:r>
        <w:rPr>
          <w:rFonts w:ascii="Times New Roman" w:hAnsi="Times New Roman" w:eastAsia="Times New Roman"/>
          <w:color w:val="000000"/>
          <w:sz w:val="19"/>
        </w:rPr>
        <w:t xml:space="preserve">14. Nigeria Data Protection Commission. </w:t>
      </w:r>
      <w:hyperlink r:id="rId23">
        <w:r>
          <w:rPr>
            <w:rFonts w:ascii="Times New Roman" w:hAnsi="Times New Roman"/>
            <w:color w:val="000000"/>
            <w:u w:val="single"/>
            <w:sz w:val="19"/>
          </w:rPr>
          <w:t>Nigeria Data Protection Act 2023</w:t>
        </w:r>
      </w:hyperlink>
      <w:r>
        <w:rPr>
          <w:rFonts w:ascii="Times New Roman" w:hAnsi="Times New Roman" w:eastAsia="Times New Roman"/>
          <w:color w:val="000000"/>
          <w:sz w:val="19"/>
        </w:rPr>
        <w:t>. accessed 9 September 2026.</w:t>
      </w:r>
    </w:p>
    <w:p>
      <w:pPr>
        <w:spacing w:after="80" w:line="252" w:lineRule="auto"/>
      </w:pPr>
      <w:r>
        <w:rPr>
          <w:rFonts w:ascii="Times New Roman" w:hAnsi="Times New Roman" w:eastAsia="Times New Roman"/>
          <w:color w:val="000000"/>
          <w:sz w:val="19"/>
        </w:rPr>
        <w:t xml:space="preserve">15. Nigeria Data Protection Commission. </w:t>
      </w:r>
      <w:hyperlink r:id="rId24">
        <w:r>
          <w:rPr>
            <w:rFonts w:ascii="Times New Roman" w:hAnsi="Times New Roman"/>
            <w:color w:val="000000"/>
            <w:u w:val="single"/>
            <w:sz w:val="19"/>
          </w:rPr>
          <w:t>Guidance Notice on Registration of Data Controllers and Processors of Major Importance</w:t>
        </w:r>
      </w:hyperlink>
      <w:r>
        <w:rPr>
          <w:rFonts w:ascii="Times New Roman" w:hAnsi="Times New Roman" w:eastAsia="Times New Roman"/>
          <w:color w:val="000000"/>
          <w:sz w:val="19"/>
        </w:rPr>
        <w:t>. 2025.</w:t>
      </w:r>
    </w:p>
    <w:p>
      <w:pPr>
        <w:spacing w:after="80" w:line="252" w:lineRule="auto"/>
      </w:pPr>
      <w:r>
        <w:rPr>
          <w:rFonts w:ascii="Times New Roman" w:hAnsi="Times New Roman" w:eastAsia="Times New Roman"/>
          <w:color w:val="000000"/>
          <w:sz w:val="19"/>
        </w:rPr>
        <w:t xml:space="preserve">16. Special Control Unit Against Money Laundering. </w:t>
      </w:r>
      <w:hyperlink r:id="rId25">
        <w:r>
          <w:rPr>
            <w:rFonts w:ascii="Times New Roman" w:hAnsi="Times New Roman"/>
            <w:color w:val="000000"/>
            <w:u w:val="single"/>
            <w:sz w:val="19"/>
          </w:rPr>
          <w:t>Assessment of Money Laundering and Terrorist Financing Risks in Nigeria's Real Estate Sector</w:t>
        </w:r>
      </w:hyperlink>
      <w:r>
        <w:rPr>
          <w:rFonts w:ascii="Times New Roman" w:hAnsi="Times New Roman" w:eastAsia="Times New Roman"/>
          <w:color w:val="000000"/>
          <w:sz w:val="19"/>
        </w:rPr>
        <w:t>. 2024.</w:t>
      </w:r>
    </w:p>
    <w:p>
      <w:pPr>
        <w:spacing w:after="80" w:line="252" w:lineRule="auto"/>
      </w:pPr>
      <w:r>
        <w:rPr>
          <w:rFonts w:ascii="Times New Roman" w:hAnsi="Times New Roman" w:eastAsia="Times New Roman"/>
          <w:color w:val="000000"/>
          <w:sz w:val="19"/>
        </w:rPr>
        <w:t xml:space="preserve">17. Nigerian Copyright Commission. </w:t>
      </w:r>
      <w:hyperlink r:id="rId26">
        <w:r>
          <w:rPr>
            <w:rFonts w:ascii="Times New Roman" w:hAnsi="Times New Roman"/>
            <w:color w:val="000000"/>
            <w:u w:val="single"/>
            <w:sz w:val="19"/>
          </w:rPr>
          <w:t>Copyright Act 2022</w:t>
        </w:r>
      </w:hyperlink>
      <w:r>
        <w:rPr>
          <w:rFonts w:ascii="Times New Roman" w:hAnsi="Times New Roman" w:eastAsia="Times New Roman"/>
          <w:color w:val="000000"/>
          <w:sz w:val="19"/>
        </w:rPr>
        <w:t>. 2023 official publication.</w:t>
      </w:r>
    </w:p>
    <w:p>
      <w:pPr>
        <w:spacing w:after="80" w:line="252" w:lineRule="auto"/>
      </w:pPr>
      <w:r>
        <w:rPr>
          <w:rFonts w:ascii="Times New Roman" w:hAnsi="Times New Roman" w:eastAsia="Times New Roman"/>
          <w:color w:val="000000"/>
          <w:sz w:val="19"/>
        </w:rPr>
        <w:t xml:space="preserve">18. Central Bank of Nigeria. </w:t>
      </w:r>
      <w:hyperlink r:id="rId27">
        <w:r>
          <w:rPr>
            <w:rFonts w:ascii="Times New Roman" w:hAnsi="Times New Roman"/>
            <w:color w:val="000000"/>
            <w:u w:val="single"/>
            <w:sz w:val="19"/>
          </w:rPr>
          <w:t>Payment Service Providers</w:t>
        </w:r>
      </w:hyperlink>
      <w:r>
        <w:rPr>
          <w:rFonts w:ascii="Times New Roman" w:hAnsi="Times New Roman" w:eastAsia="Times New Roman"/>
          <w:color w:val="000000"/>
          <w:sz w:val="19"/>
        </w:rPr>
        <w:t>. accessed 9 September 2026.</w:t>
      </w:r>
    </w:p>
    <w:p>
      <w:pPr>
        <w:spacing w:after="80" w:line="252" w:lineRule="auto"/>
      </w:pPr>
      <w:r>
        <w:rPr>
          <w:rFonts w:ascii="Times New Roman" w:hAnsi="Times New Roman" w:eastAsia="Times New Roman"/>
          <w:color w:val="000000"/>
          <w:sz w:val="19"/>
        </w:rPr>
        <w:t xml:space="preserve">19. Federal Competition and Consumer Protection Commission. </w:t>
      </w:r>
      <w:hyperlink r:id="rId28">
        <w:r>
          <w:rPr>
            <w:rFonts w:ascii="Times New Roman" w:hAnsi="Times New Roman"/>
            <w:color w:val="000000"/>
            <w:u w:val="single"/>
            <w:sz w:val="19"/>
          </w:rPr>
          <w:t>Consumer Rights and Responsibilities</w:t>
        </w:r>
      </w:hyperlink>
      <w:r>
        <w:rPr>
          <w:rFonts w:ascii="Times New Roman" w:hAnsi="Times New Roman" w:eastAsia="Times New Roman"/>
          <w:color w:val="000000"/>
          <w:sz w:val="19"/>
        </w:rPr>
        <w:t>. accessed 9 September 2026.</w:t>
      </w:r>
    </w:p>
    <w:p>
      <w:pPr>
        <w:spacing w:after="80" w:line="252" w:lineRule="auto"/>
      </w:pPr>
      <w:r>
        <w:rPr>
          <w:rFonts w:ascii="Times New Roman" w:hAnsi="Times New Roman" w:eastAsia="Times New Roman"/>
          <w:color w:val="000000"/>
          <w:sz w:val="19"/>
        </w:rPr>
        <w:t xml:space="preserve">20. Securities and Exchange Commission Nigeria. </w:t>
      </w:r>
      <w:hyperlink r:id="rId29">
        <w:r>
          <w:rPr>
            <w:rFonts w:ascii="Times New Roman" w:hAnsi="Times New Roman"/>
            <w:color w:val="000000"/>
            <w:u w:val="single"/>
            <w:sz w:val="19"/>
          </w:rPr>
          <w:t>Effective Date of the Crowdfunding Rules</w:t>
        </w:r>
      </w:hyperlink>
      <w:r>
        <w:rPr>
          <w:rFonts w:ascii="Times New Roman" w:hAnsi="Times New Roman" w:eastAsia="Times New Roman"/>
          <w:color w:val="000000"/>
          <w:sz w:val="19"/>
        </w:rPr>
        <w:t>. 26 May 2021.</w:t>
      </w:r>
    </w:p>
    <w:p>
      <w:pPr>
        <w:spacing w:after="80" w:line="252" w:lineRule="auto"/>
      </w:pPr>
      <w:r>
        <w:rPr>
          <w:rFonts w:ascii="Times New Roman" w:hAnsi="Times New Roman" w:eastAsia="Times New Roman"/>
          <w:color w:val="000000"/>
          <w:sz w:val="19"/>
        </w:rPr>
        <w:t xml:space="preserve">21. PropertyPro Nigeria. </w:t>
      </w:r>
      <w:hyperlink r:id="rId30">
        <w:r>
          <w:rPr>
            <w:rFonts w:ascii="Times New Roman" w:hAnsi="Times New Roman"/>
            <w:color w:val="000000"/>
            <w:u w:val="single"/>
            <w:sz w:val="19"/>
          </w:rPr>
          <w:t>Agent Pricing</w:t>
        </w:r>
      </w:hyperlink>
      <w:r>
        <w:rPr>
          <w:rFonts w:ascii="Times New Roman" w:hAnsi="Times New Roman" w:eastAsia="Times New Roman"/>
          <w:color w:val="000000"/>
          <w:sz w:val="19"/>
        </w:rPr>
        <w:t>. accessed 9 September 2026.</w:t>
      </w:r>
    </w:p>
    <w:p>
      <w:pPr>
        <w:spacing w:after="80" w:line="252" w:lineRule="auto"/>
      </w:pPr>
      <w:r>
        <w:rPr>
          <w:rFonts w:ascii="Times New Roman" w:hAnsi="Times New Roman" w:eastAsia="Times New Roman"/>
          <w:color w:val="000000"/>
          <w:sz w:val="19"/>
        </w:rPr>
        <w:t xml:space="preserve">22. Nigeria Property Centre. </w:t>
      </w:r>
      <w:hyperlink r:id="rId31">
        <w:r>
          <w:rPr>
            <w:rFonts w:ascii="Times New Roman" w:hAnsi="Times New Roman"/>
            <w:color w:val="000000"/>
            <w:u w:val="single"/>
            <w:sz w:val="19"/>
          </w:rPr>
          <w:t>Subscription Plans</w:t>
        </w:r>
      </w:hyperlink>
      <w:r>
        <w:rPr>
          <w:rFonts w:ascii="Times New Roman" w:hAnsi="Times New Roman" w:eastAsia="Times New Roman"/>
          <w:color w:val="000000"/>
          <w:sz w:val="19"/>
        </w:rPr>
        <w:t>. accessed 9 September 2026.</w:t>
      </w:r>
    </w:p>
    <w:p>
      <w:pPr>
        <w:spacing w:after="80" w:line="252" w:lineRule="auto"/>
      </w:pPr>
      <w:r>
        <w:rPr>
          <w:rFonts w:ascii="Times New Roman" w:hAnsi="Times New Roman" w:eastAsia="Times New Roman"/>
          <w:color w:val="000000"/>
          <w:sz w:val="19"/>
        </w:rPr>
        <w:t xml:space="preserve">23. Estate Intel. </w:t>
      </w:r>
      <w:hyperlink r:id="rId32">
        <w:r>
          <w:rPr>
            <w:rFonts w:ascii="Times New Roman" w:hAnsi="Times New Roman"/>
            <w:color w:val="000000"/>
            <w:u w:val="single"/>
            <w:sz w:val="19"/>
          </w:rPr>
          <w:t>Real Estate Market Research and Data Products</w:t>
        </w:r>
      </w:hyperlink>
      <w:r>
        <w:rPr>
          <w:rFonts w:ascii="Times New Roman" w:hAnsi="Times New Roman" w:eastAsia="Times New Roman"/>
          <w:color w:val="000000"/>
          <w:sz w:val="19"/>
        </w:rPr>
        <w:t>. accessed 9 September 2026.</w:t>
      </w:r>
    </w:p>
    <w:p>
      <w:pPr>
        <w:spacing w:after="80" w:line="252" w:lineRule="auto"/>
      </w:pPr>
      <w:r>
        <w:rPr>
          <w:rFonts w:ascii="Times New Roman" w:hAnsi="Times New Roman" w:eastAsia="Times New Roman"/>
          <w:color w:val="000000"/>
          <w:sz w:val="19"/>
        </w:rPr>
        <w:t xml:space="preserve">24. Estate Intel. </w:t>
      </w:r>
      <w:hyperlink r:id="rId33">
        <w:r>
          <w:rPr>
            <w:rFonts w:ascii="Times New Roman" w:hAnsi="Times New Roman"/>
            <w:color w:val="000000"/>
            <w:u w:val="single"/>
            <w:sz w:val="19"/>
          </w:rPr>
          <w:t>Purchase Report and Bespoke Dataset Request</w:t>
        </w:r>
      </w:hyperlink>
      <w:r>
        <w:rPr>
          <w:rFonts w:ascii="Times New Roman" w:hAnsi="Times New Roman" w:eastAsia="Times New Roman"/>
          <w:color w:val="000000"/>
          <w:sz w:val="19"/>
        </w:rPr>
        <w:t>. accessed 9 September 2026.</w:t>
      </w:r>
    </w:p>
    <w:p>
      <w:pPr>
        <w:spacing w:after="80" w:line="252" w:lineRule="auto"/>
      </w:pPr>
      <w:r>
        <w:rPr>
          <w:rFonts w:ascii="Times New Roman" w:hAnsi="Times New Roman" w:eastAsia="Times New Roman"/>
          <w:color w:val="000000"/>
          <w:sz w:val="19"/>
        </w:rPr>
        <w:t xml:space="preserve">25. Seso Global. </w:t>
      </w:r>
      <w:hyperlink r:id="rId34">
        <w:r>
          <w:rPr>
            <w:rFonts w:ascii="Times New Roman" w:hAnsi="Times New Roman"/>
            <w:color w:val="000000"/>
            <w:u w:val="single"/>
            <w:sz w:val="19"/>
          </w:rPr>
          <w:t>Africa's Trusted Property Marketplace</w:t>
        </w:r>
      </w:hyperlink>
      <w:r>
        <w:rPr>
          <w:rFonts w:ascii="Times New Roman" w:hAnsi="Times New Roman" w:eastAsia="Times New Roman"/>
          <w:color w:val="000000"/>
          <w:sz w:val="19"/>
        </w:rPr>
        <w:t>. accessed 9 September 2026.</w:t>
      </w:r>
    </w:p>
    <w:p>
      <w:pPr>
        <w:spacing w:after="80" w:line="252" w:lineRule="auto"/>
      </w:pPr>
      <w:r>
        <w:rPr>
          <w:rFonts w:ascii="Times New Roman" w:hAnsi="Times New Roman" w:eastAsia="Times New Roman"/>
          <w:color w:val="000000"/>
          <w:sz w:val="19"/>
        </w:rPr>
        <w:t xml:space="preserve">26. BuyLetLive. </w:t>
      </w:r>
      <w:hyperlink r:id="rId35">
        <w:r>
          <w:rPr>
            <w:rFonts w:ascii="Times New Roman" w:hAnsi="Times New Roman"/>
            <w:color w:val="000000"/>
            <w:u w:val="single"/>
            <w:sz w:val="19"/>
          </w:rPr>
          <w:t>About BuyLetLive</w:t>
        </w:r>
      </w:hyperlink>
      <w:r>
        <w:rPr>
          <w:rFonts w:ascii="Times New Roman" w:hAnsi="Times New Roman" w:eastAsia="Times New Roman"/>
          <w:color w:val="000000"/>
          <w:sz w:val="19"/>
        </w:rPr>
        <w:t>. accessed 9 September 2026.</w:t>
      </w:r>
    </w:p>
    <w:p>
      <w:pPr>
        <w:spacing w:after="80" w:line="252" w:lineRule="auto"/>
      </w:pPr>
      <w:r>
        <w:rPr>
          <w:rFonts w:ascii="Times New Roman" w:hAnsi="Times New Roman" w:eastAsia="Times New Roman"/>
          <w:color w:val="000000"/>
          <w:sz w:val="19"/>
        </w:rPr>
        <w:t xml:space="preserve">27. Lagos State Building Control Agency. </w:t>
      </w:r>
      <w:hyperlink r:id="rId36">
        <w:r>
          <w:rPr>
            <w:rFonts w:ascii="Times New Roman" w:hAnsi="Times New Roman"/>
            <w:color w:val="000000"/>
            <w:u w:val="single"/>
            <w:sz w:val="19"/>
          </w:rPr>
          <w:t>Resources including Epe and Lekki master plans</w:t>
        </w:r>
      </w:hyperlink>
      <w:r>
        <w:rPr>
          <w:rFonts w:ascii="Times New Roman" w:hAnsi="Times New Roman" w:eastAsia="Times New Roman"/>
          <w:color w:val="000000"/>
          <w:sz w:val="19"/>
        </w:rPr>
        <w:t>. accessed 9 September 2026.</w:t>
      </w:r>
    </w:p>
    <w:p>
      <w:pPr>
        <w:spacing w:after="80" w:line="252" w:lineRule="auto"/>
      </w:pPr>
      <w:r>
        <w:rPr>
          <w:rFonts w:ascii="Times New Roman" w:hAnsi="Times New Roman" w:eastAsia="Times New Roman"/>
          <w:color w:val="000000"/>
          <w:sz w:val="19"/>
        </w:rPr>
        <w:t xml:space="preserve">28. Federal Ministry of Housing and Urban Development. </w:t>
      </w:r>
      <w:hyperlink r:id="rId37">
        <w:r>
          <w:rPr>
            <w:rFonts w:ascii="Times New Roman" w:hAnsi="Times New Roman"/>
            <w:color w:val="000000"/>
            <w:u w:val="single"/>
            <w:sz w:val="19"/>
          </w:rPr>
          <w:t>Housing Ministry Advances National Housing Data Initiative</w:t>
        </w:r>
      </w:hyperlink>
      <w:r>
        <w:rPr>
          <w:rFonts w:ascii="Times New Roman" w:hAnsi="Times New Roman" w:eastAsia="Times New Roman"/>
          <w:color w:val="000000"/>
          <w:sz w:val="19"/>
        </w:rPr>
        <w:t>. 16 December 2025.</w:t>
      </w:r>
    </w:p>
    <w:p>
      <w:pPr>
        <w:spacing w:after="80" w:line="252" w:lineRule="auto"/>
      </w:pPr>
      <w:r>
        <w:rPr>
          <w:rFonts w:ascii="Times New Roman" w:hAnsi="Times New Roman" w:eastAsia="Times New Roman"/>
          <w:color w:val="000000"/>
          <w:sz w:val="19"/>
        </w:rPr>
        <w:t xml:space="preserve">29. World Bank. </w:t>
      </w:r>
      <w:hyperlink r:id="rId38">
        <w:r>
          <w:rPr>
            <w:rFonts w:ascii="Times New Roman" w:hAnsi="Times New Roman"/>
            <w:color w:val="000000"/>
            <w:u w:val="single"/>
            <w:sz w:val="19"/>
          </w:rPr>
          <w:t>Developing Housing Finance in Nigeria</w:t>
        </w:r>
      </w:hyperlink>
      <w:r>
        <w:rPr>
          <w:rFonts w:ascii="Times New Roman" w:hAnsi="Times New Roman" w:eastAsia="Times New Roman"/>
          <w:color w:val="000000"/>
          <w:sz w:val="19"/>
        </w:rPr>
        <w:t>. 2016.</w:t>
      </w:r>
    </w:p>
    <w:p>
      <w:pPr>
        <w:spacing w:after="80" w:line="252" w:lineRule="auto"/>
      </w:pPr>
      <w:r>
        <w:rPr>
          <w:rFonts w:ascii="Times New Roman" w:hAnsi="Times New Roman" w:eastAsia="Times New Roman"/>
          <w:color w:val="000000"/>
          <w:sz w:val="19"/>
        </w:rPr>
        <w:t xml:space="preserve">30. Lagos State Government. </w:t>
      </w:r>
      <w:hyperlink r:id="rId39">
        <w:r>
          <w:rPr>
            <w:rFonts w:ascii="Times New Roman" w:hAnsi="Times New Roman"/>
            <w:color w:val="000000"/>
            <w:u w:val="single"/>
            <w:sz w:val="19"/>
          </w:rPr>
          <w:t>New Visitors Tag System to Promote Transparency in Land Transactions</w:t>
        </w:r>
      </w:hyperlink>
      <w:r>
        <w:rPr>
          <w:rFonts w:ascii="Times New Roman" w:hAnsi="Times New Roman" w:eastAsia="Times New Roman"/>
          <w:color w:val="000000"/>
          <w:sz w:val="19"/>
        </w:rPr>
        <w:t>. 25 September 2025.</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17"/>
      </w:rPr>
      <w:t xml:space="preserve">Realtors' Practice Nigeria Market Strategy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20" w:line="240" w:lineRule="auto"/>
      <w:contextualSpacing/>
    </w:pPr>
    <w:rPr>
      <w:rFonts w:asciiTheme="majorHAnsi" w:eastAsiaTheme="majorEastAsia" w:hAnsiTheme="majorHAnsi" w:cstheme="majorBidi" w:ascii="Times New Roman" w:hAnsi="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fmhud.gov.ng/index.php/read/3083" TargetMode="External"/><Relationship Id="rId11" Type="http://schemas.openxmlformats.org/officeDocument/2006/relationships/hyperlink" Target="https://documents1.worldbank.org/curated/en/099120825221513244/pdf/P501265-4aa1e3f0-114e-48c0-8281-58908c41565f.pdf" TargetMode="External"/><Relationship Id="rId12" Type="http://schemas.openxmlformats.org/officeDocument/2006/relationships/hyperlink" Target="https://www.cbn.gov.ng/Out/2025/CCD/CBN%20Release%20on%20BoP.pdf" TargetMode="External"/><Relationship Id="rId13" Type="http://schemas.openxmlformats.org/officeDocument/2006/relationships/hyperlink" Target="https://www.cbn.gov.ng/AboutCBN/Reforms.html" TargetMode="External"/><Relationship Id="rId14" Type="http://schemas.openxmlformats.org/officeDocument/2006/relationships/hyperlink" Target="https://www.cbn.gov.ng/MonetaryPolicy/decisions.html" TargetMode="External"/><Relationship Id="rId15" Type="http://schemas.openxmlformats.org/officeDocument/2006/relationships/hyperlink" Target="https://fmhud.gov.ng/themes/front_end_themes_01/images/download/26010097632.pdf" TargetMode="External"/><Relationship Id="rId16" Type="http://schemas.openxmlformats.org/officeDocument/2006/relationships/hyperlink" Target="https://mepb.lagosstate.gov.ng/assets/Lagos-State-2025-Q4-BIR-Publication-BcF8os3a.pdf" TargetMode="External"/><Relationship Id="rId17" Type="http://schemas.openxmlformats.org/officeDocument/2006/relationships/hyperlink" Target="https://lfzdc.org/" TargetMode="External"/><Relationship Id="rId18" Type="http://schemas.openxmlformats.org/officeDocument/2006/relationships/hyperlink" Target="https://lagosstate.gov.ng/news/Science%20and%20Technology/view/6723abf68bec126a8aa4a8f9" TargetMode="External"/><Relationship Id="rId19" Type="http://schemas.openxmlformats.org/officeDocument/2006/relationships/hyperlink" Target="https://lasbca.lagosstate.gov.ng/faq/" TargetMode="External"/><Relationship Id="rId20" Type="http://schemas.openxmlformats.org/officeDocument/2006/relationships/hyperlink" Target="https://lasbca.lagosstate.gov.ng/wp-content/uploads/2021/05/LAGOS-STATE-URBAN-AND-REGIONAL-PLANNING-AND-DEVELOPMENT-LAW.pdf" TargetMode="External"/><Relationship Id="rId21" Type="http://schemas.openxmlformats.org/officeDocument/2006/relationships/hyperlink" Target="https://lasrera.lagosstate.gov.ng/resources/L28_LagosStateEstateAgencyRegulatoryAut_p04.pdf" TargetMode="External"/><Relationship Id="rId22" Type="http://schemas.openxmlformats.org/officeDocument/2006/relationships/hyperlink" Target="https://portal.esvarbon.gov.ng/pages/verify" TargetMode="External"/><Relationship Id="rId23" Type="http://schemas.openxmlformats.org/officeDocument/2006/relationships/hyperlink" Target="https://www.ndpc.gov.ng/ndp-act-2023/" TargetMode="External"/><Relationship Id="rId24" Type="http://schemas.openxmlformats.org/officeDocument/2006/relationships/hyperlink" Target="https://ndpc.gov.ng/wp-content/uploads/2026/01/NDP-ACT-GAID-2025-MARCH-20-1.pdf" TargetMode="External"/><Relationship Id="rId25" Type="http://schemas.openxmlformats.org/officeDocument/2006/relationships/hyperlink" Target="https://scuml.efcc.gov.ng/downloads/" TargetMode="External"/><Relationship Id="rId26" Type="http://schemas.openxmlformats.org/officeDocument/2006/relationships/hyperlink" Target="https://www.copyright.gov.ng/wp-content/uploads/2023/04/CopyrightAct2023FinalPublication1.pdf" TargetMode="External"/><Relationship Id="rId27" Type="http://schemas.openxmlformats.org/officeDocument/2006/relationships/hyperlink" Target="https://www.cbn.gov.ng/PaymentsSystem/PSPs.html" TargetMode="External"/><Relationship Id="rId28" Type="http://schemas.openxmlformats.org/officeDocument/2006/relationships/hyperlink" Target="https://fccpc.gov.ng/consumers/consumer-rights-responsibilities/rights-responsibilities/" TargetMode="External"/><Relationship Id="rId29" Type="http://schemas.openxmlformats.org/officeDocument/2006/relationships/hyperlink" Target="https://sec.gov.ng/for-investors/keep-track-of-circulars/effective-date-of-the-crowdfunding-rules/" TargetMode="External"/><Relationship Id="rId30" Type="http://schemas.openxmlformats.org/officeDocument/2006/relationships/hyperlink" Target="https://propertypro.ng/pricing" TargetMode="External"/><Relationship Id="rId31" Type="http://schemas.openxmlformats.org/officeDocument/2006/relationships/hyperlink" Target="https://nigeriapropertycentre.com/price-plans" TargetMode="External"/><Relationship Id="rId32" Type="http://schemas.openxmlformats.org/officeDocument/2006/relationships/hyperlink" Target="https://estateintel.com/_a/feed/" TargetMode="External"/><Relationship Id="rId33" Type="http://schemas.openxmlformats.org/officeDocument/2006/relationships/hyperlink" Target="https://estateintel.com/purchase-report" TargetMode="External"/><Relationship Id="rId34" Type="http://schemas.openxmlformats.org/officeDocument/2006/relationships/hyperlink" Target="https://app.seso.global/" TargetMode="External"/><Relationship Id="rId35" Type="http://schemas.openxmlformats.org/officeDocument/2006/relationships/hyperlink" Target="https://www.buyletlive.com/about-us" TargetMode="External"/><Relationship Id="rId36" Type="http://schemas.openxmlformats.org/officeDocument/2006/relationships/hyperlink" Target="https://lasbca.lagosstate.gov.ng/resources/" TargetMode="External"/><Relationship Id="rId37" Type="http://schemas.openxmlformats.org/officeDocument/2006/relationships/hyperlink" Target="https://fmhud.gov.ng/index.php/readall/title_show_echo_01zz/1?page=27" TargetMode="External"/><Relationship Id="rId38" Type="http://schemas.openxmlformats.org/officeDocument/2006/relationships/hyperlink" Target="https://documents.worldbank.org/curated/en/102491481528326920/pdf/110897-WP-P131973-PUBLIC-HousingFinanceNigeriaweb.pdf" TargetMode="External"/><Relationship Id="rId39" Type="http://schemas.openxmlformats.org/officeDocument/2006/relationships/hyperlink" Target="https://lagosstate.gov.ng/news/all/view/68d8ec2b88319a643b65c3b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