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A4D2E"/>
          <w:sz w:val="52"/>
          <w:szCs w:val="52"/>
        </w:rPr>
        <w:t xml:space="preserve">🇰🇪  THE REAL COST OF BEING KENYAN</w:t>
      </w:r>
    </w:p>
    <w:p>
      <w:pPr>
        <w:spacing w:before="0" w:after="160"/>
      </w:pPr>
      <w:r>
        <w:rPr>
          <w:rFonts w:ascii="Arial" w:cs="Arial" w:eastAsia="Arial" w:hAnsi="Arial"/>
          <w:color w:val="2E7D4F"/>
          <w:sz w:val="28"/>
          <w:szCs w:val="28"/>
        </w:rPr>
        <w:t xml:space="preserve">An Economic Analysis of Income, Inflation &amp; Purchasing Power  |  2018–2024</w:t>
      </w:r>
    </w:p>
    <w:p>
      <w:pPr>
        <w:pBdr>
          <w:bottom w:val="single" w:color="2E7D4F" w:sz="12" w:space="4"/>
        </w:pBdr>
        <w:spacing w:before="0" w:after="600"/>
      </w:pPr>
      <w:r>
        <w:rPr>
          <w:rFonts w:ascii="Arial" w:cs="Arial" w:eastAsia="Arial" w:hAnsi="Arial"/>
          <w:color w:val="888888"/>
          <w:sz w:val="20"/>
          <w:szCs w:val="20"/>
        </w:rPr>
        <w:t xml:space="preserve">Portfolio Project  ·  Data Analysis  ·  Economics</w:t>
      </w:r>
    </w:p>
    <w:p>
      <w:pPr>
        <w:spacing w:before="80" w:after="80"/>
      </w:pPr>
      <w:r>
        <w:t xml:space="preserve"/>
      </w:r>
    </w:p>
    <w:p>
      <w:pPr>
        <w:pStyle w:val="Heading1"/>
        <w:pBdr>
          <w:bottom w:val="single" w:color="2E7D4F" w:sz="8" w:space="4"/>
        </w:pBdr>
        <w:spacing w:before="360" w:after="160"/>
      </w:pPr>
      <w:r>
        <w:rPr>
          <w:rFonts w:ascii="Arial" w:cs="Arial" w:eastAsia="Arial" w:hAnsi="Arial"/>
          <w:b/>
          <w:bCs/>
          <w:color w:val="1A4D2E"/>
          <w:sz w:val="32"/>
          <w:szCs w:val="32"/>
        </w:rPr>
        <w:t xml:space="preserve">1.  Project Overview</w:t>
      </w:r>
    </w:p>
    <w:p>
      <w:pPr>
        <w:spacing w:before="80" w:after="80"/>
      </w:pPr>
      <w:r>
        <w:rPr>
          <w:rFonts w:ascii="Arial" w:cs="Arial" w:eastAsia="Arial" w:hAnsi="Arial"/>
          <w:sz w:val="22"/>
          <w:szCs w:val="22"/>
        </w:rPr>
        <w:t xml:space="preserve">On paper, Kenyans are earning more money than ever before. GDP per capita in Kenya Shillings grew 54.5% between 2018 and 2024. Nominal wages rise every year. Government statistics report positive growth almost without interruption.</w:t>
      </w:r>
    </w:p>
    <w:p>
      <w:pPr>
        <w:spacing w:before="80" w:after="80"/>
      </w:pPr>
      <w:r>
        <w:t xml:space="preserve"/>
      </w:r>
    </w:p>
    <w:p>
      <w:pPr>
        <w:spacing w:before="80" w:after="80"/>
      </w:pPr>
      <w:r>
        <w:rPr>
          <w:rFonts w:ascii="Arial" w:cs="Arial" w:eastAsia="Arial" w:hAnsi="Arial"/>
          <w:sz w:val="22"/>
          <w:szCs w:val="22"/>
        </w:rPr>
        <w:t xml:space="preserve">In the supermarket, the story feels different.</w:t>
      </w:r>
    </w:p>
    <w:p>
      <w:pPr>
        <w:spacing w:before="80" w:after="80"/>
      </w:pPr>
      <w:r>
        <w:t xml:space="preserve"/>
      </w:r>
    </w:p>
    <w:p>
      <w:pPr>
        <w:spacing w:before="80" w:after="80"/>
      </w:pPr>
      <w:r>
        <w:rPr>
          <w:rFonts w:ascii="Arial" w:cs="Arial" w:eastAsia="Arial" w:hAnsi="Arial"/>
          <w:sz w:val="22"/>
          <w:szCs w:val="22"/>
        </w:rPr>
        <w:t xml:space="preserve">This project uses publicly available government and international data to answer one central question:</w:t>
      </w:r>
    </w:p>
    <w:p>
      <w:pPr>
        <w:spacing w:before="80" w:after="80"/>
      </w:pPr>
      <w:r>
        <w:t xml:space="preserve"/>
      </w:r>
    </w:p>
    <w:p>
      <w:pPr>
        <w:pBdr>
          <w:left w:val="single" w:color="C8102E" w:sz="20" w:space="10"/>
        </w:pBdr>
        <w:spacing w:before="120" w:after="120"/>
        <w:ind w:left="720"/>
      </w:pPr>
      <w:r>
        <w:rPr>
          <w:rFonts w:ascii="Arial" w:cs="Arial" w:eastAsia="Arial" w:hAnsi="Arial"/>
          <w:i/>
          <w:iCs/>
          <w:color w:val="333333"/>
          <w:sz w:val="22"/>
          <w:szCs w:val="22"/>
        </w:rPr>
        <w:t xml:space="preserve">Has the average Kenyan's real purchasing power actually improved — or has income growth been an illusion created by rising prices?</w:t>
      </w:r>
    </w:p>
    <w:p>
      <w:pPr>
        <w:spacing w:before="80" w:after="80"/>
      </w:pPr>
      <w:r>
        <w:t xml:space="preserve"/>
      </w:r>
    </w:p>
    <w:p>
      <w:pPr>
        <w:spacing w:before="80" w:after="80"/>
      </w:pPr>
      <w:r>
        <w:rPr>
          <w:rFonts w:ascii="Arial" w:cs="Arial" w:eastAsia="Arial" w:hAnsi="Arial"/>
          <w:sz w:val="22"/>
          <w:szCs w:val="22"/>
        </w:rPr>
        <w:t xml:space="preserve">The answer, as the data shows, is uncomfortable. Real GDP per capita grew only 8.4% over the same period that nominal income grew 54.5%. Real private sector wages fell every year from 2019 to 2023. KES 1,000 in 2018 buys only KES 701 worth of goods in 2024. And the categories that rose fastest — food and transport — are precisely the ones that consume the largest share of a low-income household's budget.</w:t>
      </w:r>
    </w:p>
    <w:p>
      <w:pPr>
        <w:spacing w:before="80" w:after="80"/>
      </w:pPr>
      <w:r>
        <w:t xml:space="preserve"/>
      </w:r>
    </w:p>
    <w:p>
      <w:pPr>
        <w:pStyle w:val="Heading1"/>
        <w:pBdr>
          <w:bottom w:val="single" w:color="2E7D4F" w:sz="8" w:space="4"/>
        </w:pBdr>
        <w:spacing w:before="360" w:after="160"/>
      </w:pPr>
      <w:r>
        <w:rPr>
          <w:rFonts w:ascii="Arial" w:cs="Arial" w:eastAsia="Arial" w:hAnsi="Arial"/>
          <w:b/>
          <w:bCs/>
          <w:color w:val="1A4D2E"/>
          <w:sz w:val="32"/>
          <w:szCs w:val="32"/>
        </w:rPr>
        <w:t xml:space="preserve">2.  Problem Statement</w:t>
      </w:r>
    </w:p>
    <w:p>
      <w:pPr>
        <w:spacing w:before="80" w:after="80"/>
      </w:pPr>
      <w:r>
        <w:rPr>
          <w:rFonts w:ascii="Arial" w:cs="Arial" w:eastAsia="Arial" w:hAnsi="Arial"/>
          <w:sz w:val="22"/>
          <w:szCs w:val="22"/>
        </w:rPr>
        <w:t xml:space="preserve">Kenya's macroeconomic headline figures — GDP growth, nominal wage increases, government revenue — paint a picture of steady progress. However, these nominal figures do not account for the erosive effect of persistent inflation on household purchasing power.</w:t>
      </w:r>
    </w:p>
    <w:p>
      <w:pPr>
        <w:spacing w:before="80" w:after="80"/>
      </w:pPr>
      <w:r>
        <w:t xml:space="preserve"/>
      </w:r>
    </w:p>
    <w:p>
      <w:pPr>
        <w:spacing w:before="80" w:after="80"/>
      </w:pPr>
      <w:r>
        <w:rPr>
          <w:rFonts w:ascii="Arial" w:cs="Arial" w:eastAsia="Arial" w:hAnsi="Arial"/>
          <w:sz w:val="22"/>
          <w:szCs w:val="22"/>
        </w:rPr>
        <w:t xml:space="preserve">Between 2018 and 2024, Kenya experienced cumulative inflation of over 42%, a KES/USD depreciation that raised the cost of imported goods, a government debt burden that climbed to 73% of GDP, and fuel price increases exceeding 77% — all while the formal sector workforce received nominal wage increases that failed to keep pace with the rising cost of living.</w:t>
      </w:r>
    </w:p>
    <w:p>
      <w:pPr>
        <w:spacing w:before="80" w:after="80"/>
      </w:pPr>
      <w:r>
        <w:t xml:space="preserve"/>
      </w:r>
    </w:p>
    <w:p>
      <w:pPr>
        <w:spacing w:before="80" w:after="80"/>
      </w:pPr>
      <w:r>
        <w:rPr>
          <w:rFonts w:ascii="Arial" w:cs="Arial" w:eastAsia="Arial" w:hAnsi="Arial"/>
          <w:sz w:val="22"/>
          <w:szCs w:val="22"/>
        </w:rPr>
        <w:t xml:space="preserve">The problem is not simply that prices went up. The structural problem is that the categories that rose fastest — food (32.9% of household spending), transport (9.6%), and housing (14.6%) — are the same categories that dominate the budget of low and middle income households. The result is an inflation burden that falls disproportionately on the majority of Kenyans.</w:t>
      </w:r>
    </w:p>
    <w:p>
      <w:pPr>
        <w:spacing w:before="80" w:after="80"/>
      </w:pPr>
      <w:r>
        <w:t xml:space="preserve"/>
      </w:r>
    </w:p>
    <w:p>
      <w:pPr>
        <w:spacing w:before="80" w:after="80"/>
      </w:pPr>
      <w:r>
        <w:rPr>
          <w:rFonts w:ascii="Arial" w:cs="Arial" w:eastAsia="Arial" w:hAnsi="Arial"/>
          <w:sz w:val="22"/>
          <w:szCs w:val="22"/>
        </w:rPr>
        <w:t xml:space="preserve">This creates a gap between what economic growth statistics suggest and what ordinary Kenyans experience in their daily lives — a gap that policymakers, businesses, and analysts must understand to make sound decisions.</w:t>
      </w:r>
    </w:p>
    <w:p>
      <w:pPr>
        <w:spacing w:before="80" w:after="80"/>
      </w:pPr>
      <w:r>
        <w:t xml:space="preserve"/>
      </w:r>
    </w:p>
    <w:p>
      <w:pPr>
        <w:pStyle w:val="Heading1"/>
        <w:pBdr>
          <w:bottom w:val="single" w:color="2E7D4F" w:sz="8" w:space="4"/>
        </w:pBdr>
        <w:spacing w:before="360" w:after="160"/>
      </w:pPr>
      <w:r>
        <w:rPr>
          <w:rFonts w:ascii="Arial" w:cs="Arial" w:eastAsia="Arial" w:hAnsi="Arial"/>
          <w:b/>
          <w:bCs/>
          <w:color w:val="1A4D2E"/>
          <w:sz w:val="32"/>
          <w:szCs w:val="32"/>
        </w:rPr>
        <w:t xml:space="preserve">3.  Project Objectives</w:t>
      </w:r>
    </w:p>
    <w:p>
      <w:pPr>
        <w:spacing w:before="80" w:after="80"/>
      </w:pPr>
      <w:r>
        <w:rPr>
          <w:rFonts w:ascii="Arial" w:cs="Arial" w:eastAsia="Arial" w:hAnsi="Arial"/>
          <w:sz w:val="22"/>
          <w:szCs w:val="22"/>
        </w:rPr>
        <w:t xml:space="preserve">This project has five specific analytical objectives:</w:t>
      </w:r>
    </w:p>
    <w:p>
      <w:pPr>
        <w:spacing w:before="80" w:after="80"/>
      </w:pPr>
      <w:r>
        <w:t xml:space="preserve"/>
      </w:r>
    </w:p>
    <w:p>
      <w:pPr>
        <w:spacing w:before="200" w:after="80"/>
      </w:pPr>
      <w:r>
        <w:rPr>
          <w:rFonts w:ascii="Arial" w:cs="Arial" w:eastAsia="Arial" w:hAnsi="Arial"/>
          <w:b/>
          <w:bCs/>
          <w:color w:val="1A4D2E"/>
          <w:sz w:val="22"/>
          <w:szCs w:val="22"/>
        </w:rPr>
        <w:t xml:space="preserve">Objective 1 — Measure real income growth</w:t>
      </w:r>
    </w:p>
    <w:p>
      <w:pPr>
        <w:spacing w:before="80" w:after="80"/>
      </w:pPr>
      <w:r>
        <w:rPr>
          <w:rFonts w:ascii="Arial" w:cs="Arial" w:eastAsia="Arial" w:hAnsi="Arial"/>
          <w:sz w:val="22"/>
          <w:szCs w:val="22"/>
        </w:rPr>
        <w:t xml:space="preserve">Separate nominal GDP per capita growth from real growth by constructing a cumulative price index from annual inflation data. Determine how much of Kenya's reported 54.5% income growth represents actual improvement in living standards vs. price level increases.</w:t>
      </w:r>
    </w:p>
    <w:p>
      <w:pPr>
        <w:spacing w:before="80" w:after="80"/>
      </w:pPr>
      <w:r>
        <w:t xml:space="preserve"/>
      </w:r>
    </w:p>
    <w:p>
      <w:pPr>
        <w:spacing w:before="200" w:after="80"/>
      </w:pPr>
      <w:r>
        <w:rPr>
          <w:rFonts w:ascii="Arial" w:cs="Arial" w:eastAsia="Arial" w:hAnsi="Arial"/>
          <w:b/>
          <w:bCs/>
          <w:color w:val="1A4D2E"/>
          <w:sz w:val="22"/>
          <w:szCs w:val="22"/>
        </w:rPr>
        <w:t xml:space="preserve">Objective 2 — Identify the fastest-rising cost categories</w:t>
      </w:r>
    </w:p>
    <w:p>
      <w:pPr>
        <w:spacing w:before="80" w:after="80"/>
      </w:pPr>
      <w:r>
        <w:rPr>
          <w:rFonts w:ascii="Arial" w:cs="Arial" w:eastAsia="Arial" w:hAnsi="Arial"/>
          <w:sz w:val="22"/>
          <w:szCs w:val="22"/>
        </w:rPr>
        <w:t xml:space="preserve">Using KNBS CPI data broken down by 13 COICOP expenditure categories, determine which categories have risen fastest since 2019 and map those increases to their weight in the average household budget.</w:t>
      </w:r>
    </w:p>
    <w:p>
      <w:pPr>
        <w:spacing w:before="80" w:after="80"/>
      </w:pPr>
      <w:r>
        <w:t xml:space="preserve"/>
      </w:r>
    </w:p>
    <w:p>
      <w:pPr>
        <w:spacing w:before="200" w:after="80"/>
      </w:pPr>
      <w:r>
        <w:rPr>
          <w:rFonts w:ascii="Arial" w:cs="Arial" w:eastAsia="Arial" w:hAnsi="Arial"/>
          <w:b/>
          <w:bCs/>
          <w:color w:val="1A4D2E"/>
          <w:sz w:val="22"/>
          <w:szCs w:val="22"/>
        </w:rPr>
        <w:t xml:space="preserve">Objective 3 — Quantify the informal inequality of inflation</w:t>
      </w:r>
    </w:p>
    <w:p>
      <w:pPr>
        <w:spacing w:before="80" w:after="80"/>
      </w:pPr>
      <w:r>
        <w:rPr>
          <w:rFonts w:ascii="Arial" w:cs="Arial" w:eastAsia="Arial" w:hAnsi="Arial"/>
          <w:sz w:val="22"/>
          <w:szCs w:val="22"/>
        </w:rPr>
        <w:t xml:space="preserve">Compare inflation rates experienced by lower income vs. upper income Nairobi households to demonstrate that inflation is not a uniform burden — it hits the poor harder because of how household budgets are structured.</w:t>
      </w:r>
    </w:p>
    <w:p>
      <w:pPr>
        <w:spacing w:before="80" w:after="80"/>
      </w:pPr>
      <w:r>
        <w:t xml:space="preserve"/>
      </w:r>
    </w:p>
    <w:p>
      <w:pPr>
        <w:spacing w:before="200" w:after="80"/>
      </w:pPr>
      <w:r>
        <w:rPr>
          <w:rFonts w:ascii="Arial" w:cs="Arial" w:eastAsia="Arial" w:hAnsi="Arial"/>
          <w:b/>
          <w:bCs/>
          <w:color w:val="1A4D2E"/>
          <w:sz w:val="22"/>
          <w:szCs w:val="22"/>
        </w:rPr>
        <w:t xml:space="preserve">Objective 4 — Track real wage erosion by sector</w:t>
      </w:r>
    </w:p>
    <w:p>
      <w:pPr>
        <w:spacing w:before="80" w:after="80"/>
      </w:pPr>
      <w:r>
        <w:rPr>
          <w:rFonts w:ascii="Arial" w:cs="Arial" w:eastAsia="Arial" w:hAnsi="Arial"/>
          <w:sz w:val="22"/>
          <w:szCs w:val="22"/>
        </w:rPr>
        <w:t xml:space="preserve">Using KNBS nominal and real wage data across private and public sector industries, identify which sectors saw the largest real wage decline — and link those declines to the industries that employ the most Kenyans.</w:t>
      </w:r>
    </w:p>
    <w:p>
      <w:pPr>
        <w:spacing w:before="80" w:after="80"/>
      </w:pPr>
      <w:r>
        <w:t xml:space="preserve"/>
      </w:r>
    </w:p>
    <w:p>
      <w:pPr>
        <w:spacing w:before="200" w:after="80"/>
      </w:pPr>
      <w:r>
        <w:rPr>
          <w:rFonts w:ascii="Arial" w:cs="Arial" w:eastAsia="Arial" w:hAnsi="Arial"/>
          <w:b/>
          <w:bCs/>
          <w:color w:val="1A4D2E"/>
          <w:sz w:val="22"/>
          <w:szCs w:val="22"/>
        </w:rPr>
        <w:t xml:space="preserve">Objective 5 — Connect macro policy to household outcomes</w:t>
      </w:r>
    </w:p>
    <w:p>
      <w:pPr>
        <w:spacing w:before="80" w:after="80"/>
      </w:pPr>
      <w:r>
        <w:rPr>
          <w:rFonts w:ascii="Arial" w:cs="Arial" w:eastAsia="Arial" w:hAnsi="Arial"/>
          <w:sz w:val="22"/>
          <w:szCs w:val="22"/>
        </w:rPr>
        <w:t xml:space="preserve">Use IMF fiscal data — government debt, deficits, national savings, current account balance — to provide the policy context for why inflation persisted and what structural factors maintained pressure on the KES.</w:t>
      </w:r>
    </w:p>
    <w:p>
      <w:pPr>
        <w:spacing w:before="80" w:after="80"/>
      </w:pPr>
      <w:r>
        <w:t xml:space="preserve"/>
      </w:r>
    </w:p>
    <w:p>
      <w:pPr>
        <w:pStyle w:val="Heading1"/>
        <w:pBdr>
          <w:bottom w:val="single" w:color="2E7D4F" w:sz="8" w:space="4"/>
        </w:pBdr>
        <w:spacing w:before="360" w:after="160"/>
      </w:pPr>
      <w:r>
        <w:rPr>
          <w:rFonts w:ascii="Arial" w:cs="Arial" w:eastAsia="Arial" w:hAnsi="Arial"/>
          <w:b/>
          <w:bCs/>
          <w:color w:val="1A4D2E"/>
          <w:sz w:val="32"/>
          <w:szCs w:val="32"/>
        </w:rPr>
        <w:t xml:space="preserve">4.  Why This Project</w:t>
      </w:r>
    </w:p>
    <w:p>
      <w:pPr>
        <w:pStyle w:val="Heading2"/>
        <w:spacing w:before="280" w:after="120"/>
      </w:pPr>
      <w:r>
        <w:rPr>
          <w:rFonts w:ascii="Arial" w:cs="Arial" w:eastAsia="Arial" w:hAnsi="Arial"/>
          <w:b/>
          <w:bCs/>
          <w:color w:val="2E7D4F"/>
          <w:sz w:val="26"/>
          <w:szCs w:val="26"/>
        </w:rPr>
        <w:t xml:space="preserve">4.1  Personal motivation</w:t>
      </w:r>
    </w:p>
    <w:p>
      <w:pPr>
        <w:spacing w:before="80" w:after="80"/>
      </w:pPr>
      <w:r>
        <w:rPr>
          <w:rFonts w:ascii="Arial" w:cs="Arial" w:eastAsia="Arial" w:hAnsi="Arial"/>
          <w:sz w:val="22"/>
          <w:szCs w:val="22"/>
        </w:rPr>
        <w:t xml:space="preserve">As a Kenyan with an economics background entering the data profession, I have lived through the period this project covers — the post-COVID price surge, the fuel subsidy removal, the KES depreciation of 2023. The goal is to apply data skills to something I have direct context and conviction about.</w:t>
      </w:r>
    </w:p>
    <w:p>
      <w:pPr>
        <w:spacing w:before="80" w:after="80"/>
      </w:pPr>
      <w:r>
        <w:t xml:space="preserve"/>
      </w:r>
    </w:p>
    <w:p>
      <w:pPr>
        <w:spacing w:before="80" w:after="80"/>
      </w:pPr>
      <w:r>
        <w:rPr>
          <w:rFonts w:ascii="Arial" w:cs="Arial" w:eastAsia="Arial" w:hAnsi="Arial"/>
          <w:sz w:val="22"/>
          <w:szCs w:val="22"/>
        </w:rPr>
        <w:t xml:space="preserve">Most portfolio projects use synthetic datasets or international data that anyone could access. This project uses messy, real Kenyan government data — the kind that requires actual cleaning skill — and produces findings that are locally meaningful and internationally legible.</w:t>
      </w:r>
    </w:p>
    <w:p>
      <w:pPr>
        <w:spacing w:before="80" w:after="80"/>
      </w:pPr>
      <w:r>
        <w:t xml:space="preserve"/>
      </w:r>
    </w:p>
    <w:p>
      <w:pPr>
        <w:pStyle w:val="Heading2"/>
        <w:spacing w:before="280" w:after="120"/>
      </w:pPr>
      <w:r>
        <w:rPr>
          <w:rFonts w:ascii="Arial" w:cs="Arial" w:eastAsia="Arial" w:hAnsi="Arial"/>
          <w:b/>
          <w:bCs/>
          <w:color w:val="2E7D4F"/>
          <w:sz w:val="26"/>
          <w:szCs w:val="26"/>
        </w:rPr>
        <w:t xml:space="preserve">4.2  Professional value</w:t>
      </w:r>
    </w:p>
    <w:p>
      <w:pPr>
        <w:spacing w:before="80" w:after="80"/>
      </w:pPr>
      <w:r>
        <w:rPr>
          <w:rFonts w:ascii="Arial" w:cs="Arial" w:eastAsia="Arial" w:hAnsi="Arial"/>
          <w:sz w:val="22"/>
          <w:szCs w:val="22"/>
        </w:rPr>
        <w:t xml:space="preserve">This project demonstrates four capabilities that finance and data roles specifically evaluate: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End-to-end data pipeline — from raw KNBS Excel files with merged cells and dotted leaders to a clean master dataset ready for analysis</w:t>
      </w:r>
    </w:p>
    <w:p>
      <w:pPr>
        <w:pStyle w:val="ListParagraph"/>
        <w:numPr>
          <w:ilvl w:val="0"/>
          <w:numId w:val="2"/>
        </w:numPr>
        <w:spacing w:before="60" w:after="60"/>
      </w:pPr>
      <w:r>
        <w:rPr>
          <w:rFonts w:ascii="Arial" w:cs="Arial" w:eastAsia="Arial" w:hAnsi="Arial"/>
          <w:sz w:val="22"/>
          <w:szCs w:val="22"/>
        </w:rPr>
        <w:t xml:space="preserve">Cross-source data integration — merging World Bank, IMF, KNBS, and CBK data with different structures, formats, and time coverages</w:t>
      </w:r>
    </w:p>
    <w:p>
      <w:pPr>
        <w:pStyle w:val="ListParagraph"/>
        <w:numPr>
          <w:ilvl w:val="0"/>
          <w:numId w:val="2"/>
        </w:numPr>
        <w:spacing w:before="60" w:after="60"/>
      </w:pPr>
      <w:r>
        <w:rPr>
          <w:rFonts w:ascii="Arial" w:cs="Arial" w:eastAsia="Arial" w:hAnsi="Arial"/>
          <w:sz w:val="22"/>
          <w:szCs w:val="22"/>
        </w:rPr>
        <w:t xml:space="preserve">Economic reasoning — not just describing what the data shows, but explaining the causal mechanisms behind the numbers</w:t>
      </w:r>
    </w:p>
    <w:p>
      <w:pPr>
        <w:pStyle w:val="ListParagraph"/>
        <w:numPr>
          <w:ilvl w:val="0"/>
          <w:numId w:val="2"/>
        </w:numPr>
        <w:spacing w:before="60" w:after="60"/>
      </w:pPr>
      <w:r>
        <w:rPr>
          <w:rFonts w:ascii="Arial" w:cs="Arial" w:eastAsia="Arial" w:hAnsi="Arial"/>
          <w:sz w:val="22"/>
          <w:szCs w:val="22"/>
        </w:rPr>
        <w:t xml:space="preserve">Communication — translating technical findings into a clear narrative for a non-technical audience</w:t>
      </w:r>
    </w:p>
    <w:p>
      <w:pPr>
        <w:spacing w:before="80" w:after="80"/>
      </w:pPr>
      <w:r>
        <w:t xml:space="preserve"/>
      </w:r>
    </w:p>
    <w:p>
      <w:pPr>
        <w:pStyle w:val="Heading2"/>
        <w:spacing w:before="280" w:after="120"/>
      </w:pPr>
      <w:r>
        <w:rPr>
          <w:rFonts w:ascii="Arial" w:cs="Arial" w:eastAsia="Arial" w:hAnsi="Arial"/>
          <w:b/>
          <w:bCs/>
          <w:color w:val="2E7D4F"/>
          <w:sz w:val="26"/>
          <w:szCs w:val="26"/>
        </w:rPr>
        <w:t xml:space="preserve">4.3  Relevance to employers</w:t>
      </w:r>
    </w:p>
    <w:p>
      <w:pPr>
        <w:spacing w:before="80" w:after="80"/>
      </w:pPr>
      <w:r>
        <w:rPr>
          <w:rFonts w:ascii="Arial" w:cs="Arial" w:eastAsia="Arial" w:hAnsi="Arial"/>
          <w:sz w:val="22"/>
          <w:szCs w:val="22"/>
        </w:rPr>
        <w:t xml:space="preserve">Any company operating in Kenya — bank, FMCG, NGO, consultancy, government — needs analysts who understand the macroeconomic environment. This project is a direct demonstration of that understanding, backed by data rather than opinion.</w:t>
      </w:r>
    </w:p>
    <w:p>
      <w:pPr>
        <w:spacing w:before="80" w:after="80"/>
      </w:pPr>
      <w:r>
        <w:t xml:space="preserve"/>
      </w:r>
    </w:p>
    <w:p>
      <w:pPr>
        <w:spacing w:before="80" w:after="80"/>
      </w:pPr>
      <w:r>
        <w:rPr>
          <w:rFonts w:ascii="Arial" w:cs="Arial" w:eastAsia="Arial" w:hAnsi="Arial"/>
          <w:sz w:val="22"/>
          <w:szCs w:val="22"/>
        </w:rPr>
        <w:t xml:space="preserve">For international employers, it demonstrates the ability to work with imperfect data from emerging market sources — a practical skill that is underrepresented in most portfolios.</w:t>
      </w:r>
    </w:p>
    <w:p>
      <w:pPr>
        <w:spacing w:before="80" w:after="80"/>
      </w:pPr>
      <w:r>
        <w:t xml:space="preserve"/>
      </w:r>
    </w:p>
    <w:p>
      <w:pPr>
        <w:pStyle w:val="Heading1"/>
        <w:pBdr>
          <w:bottom w:val="single" w:color="2E7D4F" w:sz="8" w:space="4"/>
        </w:pBdr>
        <w:spacing w:before="360" w:after="160"/>
      </w:pPr>
      <w:r>
        <w:rPr>
          <w:rFonts w:ascii="Arial" w:cs="Arial" w:eastAsia="Arial" w:hAnsi="Arial"/>
          <w:b/>
          <w:bCs/>
          <w:color w:val="1A4D2E"/>
          <w:sz w:val="32"/>
          <w:szCs w:val="32"/>
        </w:rPr>
        <w:t xml:space="preserve">5.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rPr>
          <w:tblHeader/>
        </w:trPr>
        <w:tc>
          <w:tcPr>
            <w:tcW w:type="dxa" w:w="220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356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Data</w:t>
            </w:r>
          </w:p>
        </w:tc>
        <w:tc>
          <w:tcPr>
            <w:tcW w:type="dxa" w:w="180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180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Coverage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World Bank Open Data</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 per capita (USD &amp; KES), inflation, GDP growth</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XLS (BIFF8)</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 World Economic Outlook</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 deflator, savings rate, government debt, current account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TSV (as .xls)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Economic Survey 2024 — Chapter 3</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Wages by sector (nominal &amp; real), CPI by category, inflation by income group</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XLSX (25 sheets)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Economic Survey 2024 — Chapter 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 by sector, household consumption, national savings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XLSX (17 sheets)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Economic Survey 2024 — Chapter 9</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Fuel pump prices (petrol, diesel, kerosene, LPG)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XLSX (16 sheets)</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Central Bank of Kenya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Monthly KES/USD exchange rates (historical context)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CSV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2010–2017</w:t>
            </w:r>
          </w:p>
        </w:tc>
      </w:tr>
    </w:tbl>
    <w:p>
      <w:pPr>
        <w:spacing w:before="80" w:after="80"/>
      </w:pPr>
      <w:r>
        <w:t xml:space="preserve"/>
      </w:r>
    </w:p>
    <w:p>
      <w:r>
        <w:br w:type="page"/>
      </w:r>
    </w:p>
    <w:p>
      <w:pPr>
        <w:pStyle w:val="Heading1"/>
        <w:pBdr>
          <w:bottom w:val="single" w:color="2E7D4F" w:sz="8" w:space="4"/>
        </w:pBdr>
        <w:spacing w:before="360" w:after="160"/>
      </w:pPr>
      <w:r>
        <w:rPr>
          <w:rFonts w:ascii="Arial" w:cs="Arial" w:eastAsia="Arial" w:hAnsi="Arial"/>
          <w:b/>
          <w:bCs/>
          <w:color w:val="1A4D2E"/>
          <w:sz w:val="32"/>
          <w:szCs w:val="32"/>
        </w:rPr>
        <w:t xml:space="preserve">6.  Data Dictionary — master_annual.csv</w:t>
      </w:r>
    </w:p>
    <w:p>
      <w:pPr>
        <w:spacing w:before="80" w:after="80"/>
      </w:pPr>
      <w:r>
        <w:rPr>
          <w:rFonts w:ascii="Arial" w:cs="Arial" w:eastAsia="Arial" w:hAnsi="Arial"/>
          <w:sz w:val="22"/>
          <w:szCs w:val="22"/>
        </w:rPr>
        <w:t xml:space="preserve">The master dataset contains one row per year (2018–2024), 45 columns, produced by merging all cleaned source files. Columns marked with coverage 2019–2023 will show NaN for 2018 and 2024 — this reflects KNBS survey publication timing, not a data quality issue.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140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Coverage</w:t>
            </w:r>
          </w:p>
        </w:tc>
        <w:tc>
          <w:tcPr>
            <w:tcW w:type="dxa" w:w="4560"/>
            <w:tcBorders>
              <w:top w:val="single" w:color="CCCCCC" w:sz="1"/>
              <w:left w:val="single" w:color="CCCCCC" w:sz="1"/>
              <w:bottom w:val="single" w:color="CCCCCC" w:sz="1"/>
              <w:right w:val="single" w:color="CCCCCC" w:sz="1"/>
            </w:tcBorders>
            <w:shd w:fill="1A4D2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year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Constructed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Analysis year (integer)</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inflation_pct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World Bank</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CPI inflation % (consumer prices)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gdp_per_capita_usd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World Bank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 per capita in current US dollars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gdp_per_capita_kes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World Bank</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 per capita in current Kenya Shillings (nominal)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gdp_growth_pct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World Bank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Real GDP growth rate, annual %</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cumulative_price_index</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Cumulative price level index. Base 2018 = 100. Built from annual inflation chain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gdp_per_capita_kes_real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GDP per capita in constant 2018 KES (inflation-adjusted)</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nominal_growth_vs_2018_pct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Nominal GDP/capita % change vs 2018 baseline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real_growth_vs_2018_pct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Real GDP/capita % change vs 2018 baseline (inflation-adjusted)</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purchasing_power_of_1000kes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What KES 1,000 from 2018 is worth each year after inflation erosion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inflation_pct_imf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 WEO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IMF's CPI inflation %. Cross-check against World Bank figure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national_savings_pct_gdp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 WEO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Gross national savings as % of GDP</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govt_debt_pct_gdp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 WEO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Government gross debt as % of GDP</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govt_deficit_pct_gdp</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 WEO</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Government net lending/borrowing as % of GDP (negative = deficit)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current_account_pct_gdp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IMF WEO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2018–2024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Current account balance as % of GDP (negative = more imports than exports)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avg_nominal_monthly_wage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Average nominal monthly wage (KES) across private sector industries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avg_real_monthly_wage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Average real monthly wage (constant 2019 KES) across private sector industries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cpi_food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Food &amp; Non-Alcoholic Beverages. Weight: 32.9% of household budget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cpi_housing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Housing, Water, Electricity &amp; Gas. Weight: 14.6%</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cpi_transport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Transport. Weight: 9.6%</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cpi_education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Education Services. Weight: 5.6%</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cpi_health</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Health. Weight: 2.9%</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cpi_ict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Information &amp; Communication. Weight: 7.8%</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cpi_clothing</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Clothing &amp; Footwear. Weight: 3.0%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cpi_alcohol_tobacco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Alcohol, Tobacco &amp; Narcotics. Weight: 3.3%</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cpi_furnishings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Furnishings &amp; Household Equipment. Weight: 3.7%</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cpi_restaurants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Restaurants &amp; Accommodation. Weight: 8.1%</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cpi_recreation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Recreation, Sport &amp; Culture. Weight: 1.7%</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cpi_insurance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Insurance &amp; Financial Services. Weight: 2.2%</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cpi_personal_care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 index for Personal Care &amp; Miscellaneous. Weight: 4.5%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cpi_overall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Weighted average CPI across all 13 categories. Base: Feb 2016 = 100</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inflation_lower_income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inflation rate experienced by Nairobi lower income households (spending ≤ KES 46,355/month — 70.9% of Nairobi)</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inflation_upper_income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inflation rate experienced by Nairobi upper income households (spending ≥ KES 184,395/month — 3.5% of Nairobi)</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inflation_overall_knbs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official overall national inflation rate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petrol_kes_litre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average pump price of petrol (KES per litre)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diesel_kes_litre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average pump price of diesel (KES per litre)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kerosene_kes_litre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average pump price of kerosene (KES per litre)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lpg_13kg_kes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KNBS Ch9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Annual average price of a 13kg LPG cooking gas cylinder (KES)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petrol_kes_litre_change_vs_2019_pct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 change in petrol price vs 2019 baseline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diesel_kes_litre_change_vs_2019_pct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 change in diesel price vs 2019 baseline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kerosene_kes_litre_change_vs_2019_pct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 change in kerosene price vs 2019 baseline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lpg_13kg_kes_change_vs_2019_pct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 change in LPG cylinder price vs 2019 baseline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inflation_gap_lower_vs_upper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Difference in inflation rate: lower income minus upper income (pp). Positive = poor pay more</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real_wage_change_vs_2019_pct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222222"/>
                <w:sz w:val="19"/>
                <w:szCs w:val="19"/>
              </w:rPr>
              <w:t xml:space="preserve">% change in avg real monthly wage vs 2019. Negative = purchasing power lost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litres_petrol_per_monthly_wage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Derived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2019–2023</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19"/>
                <w:szCs w:val="19"/>
              </w:rPr>
              <w:t xml:space="preserve">How many litres of petrol the avg monthly nominal wage can purchase. Concrete affordability proxy</w:t>
            </w:r>
          </w:p>
        </w:tc>
      </w:tr>
    </w:tbl>
    <w:p>
      <w:pPr>
        <w:spacing w:before="80" w:after="80"/>
      </w:pPr>
      <w:r>
        <w:t xml:space="preserve"/>
      </w:r>
    </w:p>
    <w:p>
      <w:pPr>
        <w:pStyle w:val="Heading1"/>
        <w:pBdr>
          <w:bottom w:val="single" w:color="2E7D4F" w:sz="8" w:space="4"/>
        </w:pBdr>
        <w:spacing w:before="360" w:after="160"/>
      </w:pPr>
      <w:r>
        <w:rPr>
          <w:rFonts w:ascii="Arial" w:cs="Arial" w:eastAsia="Arial" w:hAnsi="Arial"/>
          <w:b/>
          <w:bCs/>
          <w:color w:val="1A4D2E"/>
          <w:sz w:val="32"/>
          <w:szCs w:val="32"/>
        </w:rPr>
        <w:t xml:space="preserve">7.  Key Findings Preview</w:t>
      </w:r>
    </w:p>
    <w:p>
      <w:pPr>
        <w:spacing w:before="80" w:after="80"/>
      </w:pPr>
      <w:r>
        <w:rPr>
          <w:rFonts w:ascii="Arial" w:cs="Arial" w:eastAsia="Arial" w:hAnsi="Arial"/>
          <w:sz w:val="22"/>
          <w:szCs w:val="22"/>
        </w:rPr>
        <w:t xml:space="preserve">Full analysis follows in Days 3–4 (EDA). These findings are confirmed by the cleaned data:</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Nominal GDP per capita rose 54.5% from 2018–2024. Real GDP per capita rose only 8.4% — the gap is 46 percentage points of inflation erosion.</w:t>
      </w:r>
    </w:p>
    <w:p>
      <w:pPr>
        <w:pStyle w:val="ListParagraph"/>
        <w:numPr>
          <w:ilvl w:val="0"/>
          <w:numId w:val="2"/>
        </w:numPr>
        <w:spacing w:before="60" w:after="60"/>
      </w:pPr>
      <w:r>
        <w:rPr>
          <w:rFonts w:ascii="Arial" w:cs="Arial" w:eastAsia="Arial" w:hAnsi="Arial"/>
          <w:sz w:val="22"/>
          <w:szCs w:val="22"/>
        </w:rPr>
        <w:t xml:space="preserve">KES 1,000 in 2018 has the purchasing power of KES 701 in 2024 — a 29.9% loss in six years.</w:t>
      </w:r>
    </w:p>
    <w:p>
      <w:pPr>
        <w:pStyle w:val="ListParagraph"/>
        <w:numPr>
          <w:ilvl w:val="0"/>
          <w:numId w:val="2"/>
        </w:numPr>
        <w:spacing w:before="60" w:after="60"/>
      </w:pPr>
      <w:r>
        <w:rPr>
          <w:rFonts w:ascii="Arial" w:cs="Arial" w:eastAsia="Arial" w:hAnsi="Arial"/>
          <w:sz w:val="22"/>
          <w:szCs w:val="22"/>
        </w:rPr>
        <w:t xml:space="preserve">Real private sector monthly wages fell from KES 84,788 in 2019 to KES 76,979 in 2023 — a 9.2% decline. Agriculture workers, Kenya's largest employer, saw a 15.3% real wage decline.</w:t>
      </w:r>
    </w:p>
    <w:p>
      <w:pPr>
        <w:pStyle w:val="ListParagraph"/>
        <w:numPr>
          <w:ilvl w:val="0"/>
          <w:numId w:val="2"/>
        </w:numPr>
        <w:spacing w:before="60" w:after="60"/>
      </w:pPr>
      <w:r>
        <w:rPr>
          <w:rFonts w:ascii="Arial" w:cs="Arial" w:eastAsia="Arial" w:hAnsi="Arial"/>
          <w:sz w:val="22"/>
          <w:szCs w:val="22"/>
        </w:rPr>
        <w:t xml:space="preserve">Transport prices rose 48.2% and food prices rose 46.8% between 2019–2023 — the two categories consuming 42.5% of household budgets.</w:t>
      </w:r>
    </w:p>
    <w:p>
      <w:pPr>
        <w:pStyle w:val="ListParagraph"/>
        <w:numPr>
          <w:ilvl w:val="0"/>
          <w:numId w:val="2"/>
        </w:numPr>
        <w:spacing w:before="60" w:after="60"/>
      </w:pPr>
      <w:r>
        <w:rPr>
          <w:rFonts w:ascii="Arial" w:cs="Arial" w:eastAsia="Arial" w:hAnsi="Arial"/>
          <w:sz w:val="22"/>
          <w:szCs w:val="22"/>
        </w:rPr>
        <w:t xml:space="preserve">Lower income households faced 3.6 percentage points more inflation than upper income households in 2020, the gap remaining positive through 2023.</w:t>
      </w:r>
    </w:p>
    <w:p>
      <w:pPr>
        <w:pStyle w:val="ListParagraph"/>
        <w:numPr>
          <w:ilvl w:val="0"/>
          <w:numId w:val="2"/>
        </w:numPr>
        <w:spacing w:before="60" w:after="60"/>
      </w:pPr>
      <w:r>
        <w:rPr>
          <w:rFonts w:ascii="Arial" w:cs="Arial" w:eastAsia="Arial" w:hAnsi="Arial"/>
          <w:sz w:val="22"/>
          <w:szCs w:val="22"/>
        </w:rPr>
        <w:t xml:space="preserve">Government debt rose from 56% to 73% of GDP between 2018–2023, running fiscal deficits every single year, providing macroeconomic context for persistent inflation.</w:t>
      </w:r>
    </w:p>
    <w:p>
      <w:pPr>
        <w:pStyle w:val="ListParagraph"/>
        <w:numPr>
          <w:ilvl w:val="0"/>
          <w:numId w:val="2"/>
        </w:numPr>
        <w:spacing w:before="60" w:after="60"/>
      </w:pPr>
      <w:r>
        <w:rPr>
          <w:rFonts w:ascii="Arial" w:cs="Arial" w:eastAsia="Arial" w:hAnsi="Arial"/>
          <w:sz w:val="22"/>
          <w:szCs w:val="22"/>
        </w:rPr>
        <w:t xml:space="preserve">Petrol prices rose 77.4% from 2019–2023 (KES 109 to KES 194 per litre), directly feeding transport and food inflation.</w:t>
      </w:r>
    </w:p>
    <w:p>
      <w:pPr>
        <w:spacing w:before="80" w:after="80"/>
      </w:pPr>
      <w:r>
        <w:t xml:space="preserve"/>
      </w:r>
    </w:p>
    <w:p>
      <w:pPr>
        <w:spacing w:before="80" w:after="80"/>
      </w:pPr>
      <w:r>
        <w:t xml:space="preserve"/>
      </w:r>
    </w:p>
    <w:p>
      <w:pPr>
        <w:pBdr>
          <w:top w:val="single" w:color="2E7D4F" w:sz="6" w:space="6"/>
        </w:pBdr>
        <w:spacing w:before="240" w:after="80"/>
      </w:pPr>
      <w:r>
        <w:rPr>
          <w:rFonts w:ascii="Arial" w:cs="Arial" w:eastAsia="Arial" w:hAnsi="Arial"/>
          <w:i/>
          <w:iCs/>
          <w:color w:val="666666"/>
          <w:sz w:val="20"/>
          <w:szCs w:val="20"/>
        </w:rPr>
        <w:t xml:space="preserve">Next: Day 3 — Exploratory Data Analysis &amp; Visualisations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Real Cost of Being Kenyan  |  Portfolio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4D2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D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2026-03-10T16:50:57.745Z</dcterms:created>
  <dcterms:modified xsi:type="dcterms:W3CDTF">2026-03-10T16:50:57.746Z</dcterms:modified>
</cp:coreProperties>
</file>

<file path=docProps/custom.xml><?xml version="1.0" encoding="utf-8"?>
<Properties xmlns="http://schemas.openxmlformats.org/officeDocument/2006/custom-properties" xmlns:vt="http://schemas.openxmlformats.org/officeDocument/2006/docPropsVTypes"/>
</file>