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0"/>
          <w:szCs w:val="30"/>
        </w:rPr>
        <w:t xml:space="preserve">Online Retail Dataset — Cleaning &amp; EDA Summary Report</w:t>
      </w:r>
    </w:p>
    <w:p>
      <w:pPr>
        <w:spacing w:after="200"/>
        <w:jc w:val="center"/>
      </w:pPr>
      <w:r>
        <w:rPr>
          <w:i/>
          <w:iCs/>
          <w:color w:val="555555"/>
          <w:sz w:val="18"/>
          <w:szCs w:val="18"/>
        </w:rPr>
        <w:t xml:space="preserve">AnalystLab Africa | Week 1–2 Data Analytics Task | Tess Kamau</w:t>
      </w:r>
    </w:p>
    <w:p>
      <w:pPr>
        <w:pStyle w:val="Heading2"/>
        <w:spacing w:after="60" w:before="160"/>
      </w:pPr>
      <w:r>
        <w:rPr>
          <w:b/>
          <w:bCs/>
          <w:color w:val="1F4E79"/>
          <w:sz w:val="24"/>
          <w:szCs w:val="24"/>
        </w:rPr>
        <w:t xml:space="preserve">Dataset Overview</w:t>
      </w:r>
    </w:p>
    <w:p>
      <w:pPr>
        <w:spacing w:after="80"/>
      </w:pPr>
      <w:r>
        <w:rPr>
          <w:sz w:val="19"/>
          <w:szCs w:val="19"/>
        </w:rPr>
        <w:t xml:space="preserve">The Online Retail dataset contains 541,909 transaction-level records from a UK-based online retailer, covering December 2010 to December 2011. Each row represents one product line-item within a customer invoice.</w:t>
      </w:r>
    </w:p>
    <w:p>
      <w:pPr>
        <w:pStyle w:val="Heading2"/>
        <w:spacing w:after="60" w:before="160"/>
      </w:pPr>
      <w:r>
        <w:rPr>
          <w:b/>
          <w:bCs/>
          <w:color w:val="1F4E79"/>
          <w:sz w:val="24"/>
          <w:szCs w:val="24"/>
        </w:rPr>
        <w:t xml:space="preserve">Cleaning Challenges Encountered</w:t>
      </w:r>
    </w:p>
    <w:p>
      <w:pPr>
        <w:pStyle w:val="ListParagraph"/>
        <w:numPr>
          <w:ilvl w:val="0"/>
          <w:numId w:val="1"/>
        </w:numPr>
        <w:spacing w:after="40"/>
      </w:pPr>
      <w:r>
        <w:rPr>
          <w:sz w:val="19"/>
          <w:szCs w:val="19"/>
        </w:rPr>
        <w:t xml:space="preserve">Encoding errors: the raw CSV failed to load under UTF-8 due to a £ symbol; resolved using ISO-8859-1 encoding.</w:t>
      </w:r>
    </w:p>
    <w:p>
      <w:pPr>
        <w:pStyle w:val="ListParagraph"/>
        <w:numPr>
          <w:ilvl w:val="0"/>
          <w:numId w:val="1"/>
        </w:numPr>
        <w:spacing w:after="40"/>
      </w:pPr>
      <w:r>
        <w:rPr>
          <w:sz w:val="19"/>
          <w:szCs w:val="19"/>
        </w:rPr>
        <w:t xml:space="preserve">Missing values: Description was missing in 1,454 rows (0.27%, dropped); CustomerID was missing in 135,080 rows (24.9%, flagged with a -1 placeholder rather than dropped, to preserve revenue/product data for guest checkouts).</w:t>
      </w:r>
    </w:p>
    <w:p>
      <w:pPr>
        <w:pStyle w:val="ListParagraph"/>
        <w:numPr>
          <w:ilvl w:val="0"/>
          <w:numId w:val="1"/>
        </w:numPr>
        <w:spacing w:after="40"/>
      </w:pPr>
      <w:r>
        <w:rPr>
          <w:sz w:val="19"/>
          <w:szCs w:val="19"/>
        </w:rPr>
        <w:t xml:space="preserve">5,268 exact duplicate rows were identified and removed.</w:t>
      </w:r>
    </w:p>
    <w:p>
      <w:pPr>
        <w:pStyle w:val="ListParagraph"/>
        <w:numPr>
          <w:ilvl w:val="0"/>
          <w:numId w:val="1"/>
        </w:numPr>
        <w:spacing w:after="40"/>
      </w:pPr>
      <w:r>
        <w:rPr>
          <w:sz w:val="19"/>
          <w:szCs w:val="19"/>
        </w:rPr>
        <w:t xml:space="preserve">Standardization: converted InvoiceDate to datetime, stripped whitespace from text fields, renamed columns to snake_case, and corrected CustomerID from float to integer.</w:t>
      </w:r>
    </w:p>
    <w:p>
      <w:pPr>
        <w:pStyle w:val="ListParagraph"/>
        <w:numPr>
          <w:ilvl w:val="0"/>
          <w:numId w:val="1"/>
        </w:numPr>
        <w:spacing w:after="40"/>
      </w:pPr>
      <w:r>
        <w:rPr>
          <w:sz w:val="19"/>
          <w:szCs w:val="19"/>
        </w:rPr>
        <w:t xml:space="preserve">Data validation uncovered non-transaction rows disguised as sales data — internal accounting write-offs ("Adjust bad debt"), inventory adjustment notes ("damages", "faulty", "check"), and system placeholders ("Manual" entries). 1,025 such rows were removed after investigation, while legitimate returns (cancelled invoices) and free promotional items were retained.</w:t>
      </w:r>
    </w:p>
    <w:p>
      <w:pPr>
        <w:pStyle w:val="ListParagraph"/>
        <w:numPr>
          <w:ilvl w:val="0"/>
          <w:numId w:val="1"/>
        </w:numPr>
        <w:spacing w:after="40"/>
      </w:pPr>
      <w:r>
        <w:rPr>
          <w:sz w:val="19"/>
          <w:szCs w:val="19"/>
        </w:rPr>
        <w:t xml:space="preserve">An extreme quantity outlier (±80,995 units) was traced to a genuine bulk order and its cancellation 12 minutes later — confirmed as valid, not an error.</w:t>
      </w:r>
    </w:p>
    <w:p>
      <w:pPr>
        <w:pStyle w:val="Heading2"/>
        <w:spacing w:after="60" w:before="160"/>
      </w:pPr>
      <w:r>
        <w:rPr>
          <w:b/>
          <w:bCs/>
          <w:color w:val="1F4E79"/>
          <w:sz w:val="24"/>
          <w:szCs w:val="24"/>
        </w:rPr>
        <w:t xml:space="preserve">Key EDA Findings</w:t>
      </w:r>
    </w:p>
    <w:p>
      <w:pPr>
        <w:pStyle w:val="ListParagraph"/>
        <w:numPr>
          <w:ilvl w:val="0"/>
          <w:numId w:val="1"/>
        </w:numPr>
        <w:spacing w:after="40"/>
      </w:pPr>
      <w:r>
        <w:rPr>
          <w:sz w:val="19"/>
          <w:szCs w:val="19"/>
        </w:rPr>
        <w:t xml:space="preserve">Monthly revenue ranged from ~£490K–£750K for most of the year, surging to a peak of £1.46M in November 2011 ahead of the Christmas season.</w:t>
      </w:r>
    </w:p>
    <w:p>
      <w:pPr>
        <w:pStyle w:val="ListParagraph"/>
        <w:numPr>
          <w:ilvl w:val="0"/>
          <w:numId w:val="1"/>
        </w:numPr>
        <w:spacing w:after="40"/>
      </w:pPr>
      <w:r>
        <w:rPr>
          <w:sz w:val="19"/>
          <w:szCs w:val="19"/>
        </w:rPr>
        <w:t xml:space="preserve">The United Kingdom generated ~£8.18M in revenue — about 28x more than the next-highest country, the Netherlands (£284,661).</w:t>
      </w:r>
    </w:p>
    <w:p>
      <w:pPr>
        <w:pStyle w:val="ListParagraph"/>
        <w:numPr>
          <w:ilvl w:val="0"/>
          <w:numId w:val="1"/>
        </w:numPr>
        <w:spacing w:after="40"/>
      </w:pPr>
      <w:r>
        <w:rPr>
          <w:sz w:val="19"/>
          <w:szCs w:val="19"/>
        </w:rPr>
        <w:t xml:space="preserve">Top-selling products by volume (e.g., World War 2 Gliders, Jumbo Bag Red Retrospot) differ from top products by order frequency (e.g., White Hanging Heart T-Light Holder), revealing distinct bulk-buying vs. broad-popularity purchase patterns.</w:t>
      </w:r>
    </w:p>
    <w:p>
      <w:pPr>
        <w:pStyle w:val="ListParagraph"/>
        <w:numPr>
          <w:ilvl w:val="0"/>
          <w:numId w:val="1"/>
        </w:numPr>
        <w:spacing w:after="40"/>
      </w:pPr>
      <w:r>
        <w:rPr>
          <w:sz w:val="19"/>
          <w:szCs w:val="19"/>
        </w:rPr>
        <w:t xml:space="preserve">Customer spend is heavily right-skewed: average spend is £1,893.53 vs. a median of £644.07, driven by a small group of high-value customers (top spender: £279,489 across 77 orders).</w:t>
      </w:r>
    </w:p>
    <w:p>
      <w:pPr>
        <w:pStyle w:val="Heading2"/>
        <w:spacing w:after="60" w:before="160"/>
      </w:pPr>
      <w:r>
        <w:rPr>
          <w:b/>
          <w:bCs/>
          <w:color w:val="1F4E79"/>
          <w:sz w:val="24"/>
          <w:szCs w:val="24"/>
        </w:rPr>
        <w:t xml:space="preserve">Top Insights</w:t>
      </w:r>
    </w:p>
    <w:p>
      <w:pPr>
        <w:pStyle w:val="ListParagraph"/>
        <w:numPr>
          <w:ilvl w:val="0"/>
          <w:numId w:val="1"/>
        </w:numPr>
        <w:spacing w:after="40"/>
      </w:pPr>
      <w:r>
        <w:rPr>
          <w:sz w:val="19"/>
          <w:szCs w:val="19"/>
        </w:rPr>
        <w:t xml:space="preserve">Sales are strongly seasonal, peaking pre-Christmas (Sept–Nov) — inventory and marketing should be weighted toward Q4.</w:t>
      </w:r>
    </w:p>
    <w:p>
      <w:pPr>
        <w:pStyle w:val="ListParagraph"/>
        <w:numPr>
          <w:ilvl w:val="0"/>
          <w:numId w:val="1"/>
        </w:numPr>
        <w:spacing w:after="40"/>
      </w:pPr>
      <w:r>
        <w:rPr>
          <w:sz w:val="19"/>
          <w:szCs w:val="19"/>
        </w:rPr>
        <w:t xml:space="preserve">The business is overwhelmingly UK-domestic; nearby European markets (Netherlands, Ireland, Germany, France) are the most natural expansion targets.</w:t>
      </w:r>
    </w:p>
    <w:p>
      <w:pPr>
        <w:pStyle w:val="ListParagraph"/>
        <w:numPr>
          <w:ilvl w:val="0"/>
          <w:numId w:val="1"/>
        </w:numPr>
        <w:spacing w:after="40"/>
      </w:pPr>
      <w:r>
        <w:rPr>
          <w:sz w:val="19"/>
          <w:szCs w:val="19"/>
        </w:rPr>
        <w:t xml:space="preserve">"Best-selling" depends on definition: some products win on bulk volume, others on broad customer reach — these call for different inventory and marketing strategies.</w:t>
      </w:r>
    </w:p>
    <w:p>
      <w:pPr>
        <w:pStyle w:val="ListParagraph"/>
        <w:numPr>
          <w:ilvl w:val="0"/>
          <w:numId w:val="1"/>
        </w:numPr>
        <w:spacing w:after="40"/>
      </w:pPr>
      <w:r>
        <w:rPr>
          <w:sz w:val="19"/>
          <w:szCs w:val="19"/>
        </w:rPr>
        <w:t xml:space="preserve">A small segment of high-value customers drives disproportionate revenue, suggesting a strong case for a loyalty/segmentation program.</w:t>
      </w:r>
    </w:p>
    <w:p>
      <w:pPr>
        <w:pStyle w:val="ListParagraph"/>
        <w:numPr>
          <w:ilvl w:val="0"/>
          <w:numId w:val="1"/>
        </w:numPr>
        <w:spacing w:after="40"/>
      </w:pPr>
      <w:r>
        <w:rPr>
          <w:sz w:val="19"/>
          <w:szCs w:val="19"/>
        </w:rPr>
        <w:t xml:space="preserve">Returns and cancellations are a normal, traceable part of the business, not data errors — analysis was conducted on net (not gross) figures for accuracy.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2026-07-12T18:14:48.820Z</dcterms:created>
  <dcterms:modified xsi:type="dcterms:W3CDTF">2026-07-12T18:14:48.867Z</dcterms:modified>
</cp:coreProperties>
</file>

<file path=docProps/custom.xml><?xml version="1.0" encoding="utf-8"?>
<Properties xmlns="http://schemas.openxmlformats.org/officeDocument/2006/custom-properties" xmlns:vt="http://schemas.openxmlformats.org/officeDocument/2006/docPropsVTypes"/>
</file>