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A365D"/>
          <w:sz w:val="40"/>
        </w:rPr>
        <w:t>KEY CLINICAL PROCEDURES &amp; PATIENT JOURNEY</w:t>
      </w:r>
    </w:p>
    <w:p>
      <w:pPr>
        <w:spacing w:after="480"/>
      </w:pPr>
      <w:r>
        <w:rPr>
          <w:rFonts w:ascii="Segoe UI" w:hAnsi="Segoe UI"/>
          <w:i/>
          <w:color w:val="718096"/>
          <w:sz w:val="22"/>
        </w:rPr>
        <w:t>Procedural Overview &amp; Care Framework</w:t>
      </w:r>
    </w:p>
    <w:p>
      <w:pPr>
        <w:keepNext/>
        <w:spacing w:before="240" w:after="160"/>
      </w:pPr>
      <w:r>
        <w:rPr>
          <w:rFonts w:ascii="Segoe UI" w:hAnsi="Segoe UI"/>
          <w:b/>
          <w:color w:val="1A365D"/>
          <w:sz w:val="28"/>
        </w:rPr>
        <w:t>Key Procedures &amp; Focus Areas</w:t>
      </w:r>
    </w:p>
    <w:p>
      <w:pPr>
        <w:spacing w:before="60" w:after="80"/>
        <w:ind w:left="288"/>
      </w:pPr>
      <w:r>
        <w:rPr>
          <w:rFonts w:ascii="Segoe UI" w:hAnsi="Segoe UI"/>
          <w:color w:val="2B6CB0"/>
          <w:sz w:val="20"/>
        </w:rPr>
        <w:t xml:space="preserve">▪  </w:t>
      </w:r>
      <w:r>
        <w:rPr>
          <w:rFonts w:ascii="Segoe UI" w:hAnsi="Segoe UI"/>
          <w:b/>
          <w:color w:val="2D3748"/>
          <w:sz w:val="21"/>
        </w:rPr>
        <w:t xml:space="preserve">Routine Screenings: </w:t>
      </w:r>
      <w:r>
        <w:rPr>
          <w:rFonts w:ascii="Segoe UI" w:hAnsi="Segoe UI"/>
          <w:color w:val="4A5568"/>
          <w:sz w:val="21"/>
        </w:rPr>
        <w:t>Blood pressure, glucose, cholesterol, and cardiovascular health checks.</w:t>
      </w:r>
    </w:p>
    <w:p>
      <w:pPr>
        <w:spacing w:before="60" w:after="80"/>
        <w:ind w:left="288"/>
      </w:pPr>
      <w:r>
        <w:rPr>
          <w:rFonts w:ascii="Segoe UI" w:hAnsi="Segoe UI"/>
          <w:color w:val="2B6CB0"/>
          <w:sz w:val="20"/>
        </w:rPr>
        <w:t xml:space="preserve">▪  </w:t>
      </w:r>
      <w:r>
        <w:rPr>
          <w:rFonts w:ascii="Segoe UI" w:hAnsi="Segoe UI"/>
          <w:b/>
          <w:color w:val="2D3748"/>
          <w:sz w:val="21"/>
        </w:rPr>
        <w:t xml:space="preserve">Minor Clinical Procedures: </w:t>
      </w:r>
      <w:r>
        <w:rPr>
          <w:rFonts w:ascii="Segoe UI" w:hAnsi="Segoe UI"/>
          <w:color w:val="4A5568"/>
          <w:sz w:val="21"/>
        </w:rPr>
        <w:t>Suture removal, wound dressing changes, and minor biopsies.</w:t>
      </w:r>
    </w:p>
    <w:p>
      <w:pPr>
        <w:spacing w:before="60" w:after="80"/>
        <w:ind w:left="288"/>
      </w:pPr>
      <w:r>
        <w:rPr>
          <w:rFonts w:ascii="Segoe UI" w:hAnsi="Segoe UI"/>
          <w:color w:val="2B6CB0"/>
          <w:sz w:val="20"/>
        </w:rPr>
        <w:t xml:space="preserve">▪  </w:t>
      </w:r>
      <w:r>
        <w:rPr>
          <w:rFonts w:ascii="Segoe UI" w:hAnsi="Segoe UI"/>
          <w:b/>
          <w:color w:val="2D3748"/>
          <w:sz w:val="21"/>
        </w:rPr>
        <w:t xml:space="preserve">Immunizations &amp; Vaccines: </w:t>
      </w:r>
      <w:r>
        <w:rPr>
          <w:rFonts w:ascii="Segoe UI" w:hAnsi="Segoe UI"/>
          <w:color w:val="4A5568"/>
          <w:sz w:val="21"/>
        </w:rPr>
        <w:t>Seasonal flu shots, travel vaccinations, and routine boosters.</w:t>
      </w:r>
    </w:p>
    <w:p>
      <w:pPr>
        <w:spacing w:before="60" w:after="80"/>
        <w:ind w:left="288"/>
      </w:pPr>
      <w:r>
        <w:rPr>
          <w:rFonts w:ascii="Segoe UI" w:hAnsi="Segoe UI"/>
          <w:color w:val="2B6CB0"/>
          <w:sz w:val="20"/>
        </w:rPr>
        <w:t xml:space="preserve">▪  </w:t>
      </w:r>
      <w:r>
        <w:rPr>
          <w:rFonts w:ascii="Segoe UI" w:hAnsi="Segoe UI"/>
          <w:b/>
          <w:color w:val="2D3748"/>
          <w:sz w:val="21"/>
        </w:rPr>
        <w:t xml:space="preserve">Preventative Health Audits: </w:t>
      </w:r>
      <w:r>
        <w:rPr>
          <w:rFonts w:ascii="Segoe UI" w:hAnsi="Segoe UI"/>
          <w:color w:val="4A5568"/>
          <w:sz w:val="21"/>
        </w:rPr>
        <w:t>Comprehensive risk evaluations for early disease detection.</w:t>
      </w:r>
    </w:p>
    <w:p>
      <w:pPr>
        <w:spacing w:before="240" w:after="0"/>
      </w:pPr>
    </w:p>
    <w:p>
      <w:pPr>
        <w:keepNext/>
        <w:spacing w:before="240" w:after="160"/>
      </w:pPr>
      <w:r>
        <w:rPr>
          <w:rFonts w:ascii="Segoe UI" w:hAnsi="Segoe UI"/>
          <w:b/>
          <w:color w:val="1A365D"/>
          <w:sz w:val="28"/>
        </w:rPr>
        <w:t>Patient Journey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top w:val="none"/>
              <w:left w:val="single" w:sz="36" w:space="0" w:color="2B6CB0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80" w:line="300" w:lineRule="auto"/>
            </w:pPr>
            <w:r>
              <w:rPr>
                <w:rFonts w:ascii="Segoe UI" w:hAnsi="Segoe UI"/>
                <w:b/>
                <w:color w:val="1A365D"/>
                <w:sz w:val="21"/>
              </w:rPr>
              <w:t xml:space="preserve">•  Pre-Procedure Assessment: </w:t>
            </w:r>
            <w:r>
              <w:rPr>
                <w:rFonts w:ascii="Segoe UI" w:hAnsi="Segoe UI"/>
                <w:color w:val="2D3748"/>
                <w:sz w:val="21"/>
              </w:rPr>
              <w:t>Medical history review and risk stratification to ensure patient safety.</w:t>
            </w:r>
          </w:p>
          <w:p>
            <w:pPr>
              <w:spacing w:before="120" w:after="80" w:line="300" w:lineRule="auto"/>
            </w:pPr>
            <w:r>
              <w:rPr>
                <w:rFonts w:ascii="Segoe UI" w:hAnsi="Segoe UI"/>
                <w:b/>
                <w:color w:val="1A365D"/>
                <w:sz w:val="21"/>
              </w:rPr>
              <w:t xml:space="preserve">•  Supervised Intervention: </w:t>
            </w:r>
            <w:r>
              <w:rPr>
                <w:rFonts w:ascii="Segoe UI" w:hAnsi="Segoe UI"/>
                <w:color w:val="2D3748"/>
                <w:sz w:val="21"/>
              </w:rPr>
              <w:t>Execution of clinical procedures using sterile, evidence-based practices.</w:t>
            </w:r>
          </w:p>
          <w:p>
            <w:pPr>
              <w:spacing w:before="120" w:after="80" w:line="300" w:lineRule="auto"/>
            </w:pPr>
            <w:r>
              <w:rPr>
                <w:rFonts w:ascii="Segoe UI" w:hAnsi="Segoe UI"/>
                <w:b/>
                <w:color w:val="1A365D"/>
                <w:sz w:val="21"/>
              </w:rPr>
              <w:t xml:space="preserve">•  Post-Care Guidance: </w:t>
            </w:r>
            <w:r>
              <w:rPr>
                <w:rFonts w:ascii="Segoe UI" w:hAnsi="Segoe UI"/>
                <w:color w:val="2D3748"/>
                <w:sz w:val="21"/>
              </w:rPr>
              <w:t>Clear aftercare instructions and symptom management advice.</w:t>
            </w:r>
          </w:p>
          <w:p>
            <w:pPr>
              <w:spacing w:before="120" w:after="80" w:line="300" w:lineRule="auto"/>
            </w:pPr>
            <w:r>
              <w:rPr>
                <w:rFonts w:ascii="Segoe UI" w:hAnsi="Segoe UI"/>
                <w:b/>
                <w:color w:val="1A365D"/>
                <w:sz w:val="21"/>
              </w:rPr>
              <w:t xml:space="preserve">•  Scheduled Monitoring: </w:t>
            </w:r>
            <w:r>
              <w:rPr>
                <w:rFonts w:ascii="Segoe UI" w:hAnsi="Segoe UI"/>
                <w:color w:val="2D3748"/>
                <w:sz w:val="21"/>
              </w:rPr>
              <w:t>Structured follow-ups to track long-term recovery and health trends.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