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Segoe UI" w:hAnsi="Segoe UI"/>
          <w:b/>
          <w:color w:val="1A365D"/>
          <w:sz w:val="40"/>
        </w:rPr>
        <w:t>WOMEN'S HEALTH SERVICES &amp; CARE GUIDE</w:t>
      </w:r>
    </w:p>
    <w:p>
      <w:pPr>
        <w:spacing w:after="480"/>
      </w:pPr>
      <w:r>
        <w:rPr>
          <w:rFonts w:ascii="Segoe UI" w:hAnsi="Segoe UI"/>
          <w:i/>
          <w:color w:val="718096"/>
          <w:sz w:val="22"/>
        </w:rPr>
        <w:t>Comprehensive Care &amp; Patient Journey Overview</w:t>
      </w:r>
    </w:p>
    <w:p>
      <w:pPr>
        <w:keepNext/>
        <w:spacing w:before="240" w:after="160"/>
      </w:pPr>
      <w:r>
        <w:rPr>
          <w:rFonts w:ascii="Segoe UI" w:hAnsi="Segoe UI"/>
          <w:b/>
          <w:color w:val="1A365D"/>
          <w:sz w:val="28"/>
        </w:rPr>
        <w:t>Services Offered (Key Focus Areas)</w:t>
      </w:r>
    </w:p>
    <w:p>
      <w:pPr>
        <w:spacing w:before="60" w:after="80"/>
        <w:ind w:left="288"/>
      </w:pPr>
      <w:r>
        <w:rPr>
          <w:rFonts w:ascii="Segoe UI" w:hAnsi="Segoe UI"/>
          <w:color w:val="2B6CB0"/>
          <w:sz w:val="20"/>
        </w:rPr>
        <w:t xml:space="preserve">▪  </w:t>
      </w:r>
      <w:r>
        <w:rPr>
          <w:rFonts w:ascii="Segoe UI" w:hAnsi="Segoe UI"/>
          <w:b/>
          <w:color w:val="2D3748"/>
          <w:sz w:val="21"/>
        </w:rPr>
        <w:t xml:space="preserve">Cervical Cancer Screenings: </w:t>
      </w:r>
      <w:r>
        <w:rPr>
          <w:rFonts w:ascii="Segoe UI" w:hAnsi="Segoe UI"/>
          <w:color w:val="4A5568"/>
          <w:sz w:val="21"/>
        </w:rPr>
        <w:t>Pap smears and HPV testing for early detection.</w:t>
      </w:r>
    </w:p>
    <w:p>
      <w:pPr>
        <w:spacing w:before="60" w:after="80"/>
        <w:ind w:left="288"/>
      </w:pPr>
      <w:r>
        <w:rPr>
          <w:rFonts w:ascii="Segoe UI" w:hAnsi="Segoe UI"/>
          <w:color w:val="2B6CB0"/>
          <w:sz w:val="20"/>
        </w:rPr>
        <w:t xml:space="preserve">▪  </w:t>
      </w:r>
      <w:r>
        <w:rPr>
          <w:rFonts w:ascii="Segoe UI" w:hAnsi="Segoe UI"/>
          <w:b/>
          <w:color w:val="2D3748"/>
          <w:sz w:val="21"/>
        </w:rPr>
        <w:t xml:space="preserve">Reproductive Health &amp; Family Planning: </w:t>
      </w:r>
      <w:r>
        <w:rPr>
          <w:rFonts w:ascii="Segoe UI" w:hAnsi="Segoe UI"/>
          <w:color w:val="4A5568"/>
          <w:sz w:val="21"/>
        </w:rPr>
        <w:t>Contraceptive counseling, prescriptions, and device insertions/removals.</w:t>
      </w:r>
    </w:p>
    <w:p>
      <w:pPr>
        <w:spacing w:before="60" w:after="80"/>
        <w:ind w:left="288"/>
      </w:pPr>
      <w:r>
        <w:rPr>
          <w:rFonts w:ascii="Segoe UI" w:hAnsi="Segoe UI"/>
          <w:color w:val="2B6CB0"/>
          <w:sz w:val="20"/>
        </w:rPr>
        <w:t xml:space="preserve">▪  </w:t>
      </w:r>
      <w:r>
        <w:rPr>
          <w:rFonts w:ascii="Segoe UI" w:hAnsi="Segoe UI"/>
          <w:b/>
          <w:color w:val="2D3748"/>
          <w:sz w:val="21"/>
        </w:rPr>
        <w:t xml:space="preserve">Maternal &amp; Antenatal Care: </w:t>
      </w:r>
      <w:r>
        <w:rPr>
          <w:rFonts w:ascii="Segoe UI" w:hAnsi="Segoe UI"/>
          <w:color w:val="4A5568"/>
          <w:sz w:val="21"/>
        </w:rPr>
        <w:t>Routine pregnancy check-ups, post-natal care, and wellness support.</w:t>
      </w:r>
    </w:p>
    <w:p>
      <w:pPr>
        <w:spacing w:before="60" w:after="80"/>
        <w:ind w:left="288"/>
      </w:pPr>
      <w:r>
        <w:rPr>
          <w:rFonts w:ascii="Segoe UI" w:hAnsi="Segoe UI"/>
          <w:color w:val="2B6CB0"/>
          <w:sz w:val="20"/>
        </w:rPr>
        <w:t xml:space="preserve">▪  </w:t>
      </w:r>
      <w:r>
        <w:rPr>
          <w:rFonts w:ascii="Segoe UI" w:hAnsi="Segoe UI"/>
          <w:b/>
          <w:color w:val="2D3748"/>
          <w:sz w:val="21"/>
        </w:rPr>
        <w:t xml:space="preserve">Hormonal &amp; Menopause Management: </w:t>
      </w:r>
      <w:r>
        <w:rPr>
          <w:rFonts w:ascii="Segoe UI" w:hAnsi="Segoe UI"/>
          <w:color w:val="4A5568"/>
          <w:sz w:val="21"/>
        </w:rPr>
        <w:t>Guidance and treatment options for PMS, PCOS, and menopausal transitions.</w:t>
      </w:r>
    </w:p>
    <w:p>
      <w:pPr>
        <w:spacing w:before="60" w:after="80"/>
        <w:ind w:left="288"/>
      </w:pPr>
      <w:r>
        <w:rPr>
          <w:rFonts w:ascii="Segoe UI" w:hAnsi="Segoe UI"/>
          <w:color w:val="2B6CB0"/>
          <w:sz w:val="20"/>
        </w:rPr>
        <w:t xml:space="preserve">▪  </w:t>
      </w:r>
      <w:r>
        <w:rPr>
          <w:rFonts w:ascii="Segoe UI" w:hAnsi="Segoe UI"/>
          <w:b/>
          <w:color w:val="2D3748"/>
          <w:sz w:val="21"/>
        </w:rPr>
        <w:t xml:space="preserve">Breast Health Screenings: </w:t>
      </w:r>
      <w:r>
        <w:rPr>
          <w:rFonts w:ascii="Segoe UI" w:hAnsi="Segoe UI"/>
          <w:color w:val="4A5568"/>
          <w:sz w:val="21"/>
        </w:rPr>
        <w:t>Clinical breast examinations and referral pathways for mammograms.</w:t>
      </w:r>
    </w:p>
    <w:p>
      <w:pPr>
        <w:spacing w:before="240" w:after="0"/>
      </w:pPr>
    </w:p>
    <w:p>
      <w:pPr>
        <w:keepNext/>
        <w:spacing w:before="240" w:after="160"/>
      </w:pPr>
      <w:r>
        <w:rPr>
          <w:rFonts w:ascii="Segoe UI" w:hAnsi="Segoe UI"/>
          <w:b/>
          <w:color w:val="1A365D"/>
          <w:sz w:val="28"/>
        </w:rPr>
        <w:t>Patient Journey Breakdown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Borders>
              <w:top w:val="none"/>
              <w:left w:val="single" w:sz="36" w:space="0" w:color="2B6CB0"/>
              <w:bottom w:val="none"/>
              <w:right w:val="none"/>
            </w:tcBorders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80" w:line="300" w:lineRule="auto"/>
            </w:pPr>
            <w:r>
              <w:rPr>
                <w:rFonts w:ascii="Segoe UI" w:hAnsi="Segoe UI"/>
                <w:b/>
                <w:color w:val="1A365D"/>
                <w:sz w:val="21"/>
              </w:rPr>
              <w:t xml:space="preserve">•  Initial Assessment: </w:t>
            </w:r>
            <w:r>
              <w:rPr>
                <w:rFonts w:ascii="Segoe UI" w:hAnsi="Segoe UI"/>
                <w:color w:val="2D3748"/>
                <w:sz w:val="21"/>
              </w:rPr>
              <w:t>Discussion of medical history, lifestyle factors, and specific health concerns.</w:t>
            </w:r>
          </w:p>
          <w:p>
            <w:pPr>
              <w:spacing w:before="120" w:after="80" w:line="300" w:lineRule="auto"/>
            </w:pPr>
            <w:r>
              <w:rPr>
                <w:rFonts w:ascii="Segoe UI" w:hAnsi="Segoe UI"/>
                <w:b/>
                <w:color w:val="1A365D"/>
                <w:sz w:val="21"/>
              </w:rPr>
              <w:t xml:space="preserve">•  Targeted Screening/Examination: </w:t>
            </w:r>
            <w:r>
              <w:rPr>
                <w:rFonts w:ascii="Segoe UI" w:hAnsi="Segoe UI"/>
                <w:color w:val="2D3748"/>
                <w:sz w:val="21"/>
              </w:rPr>
              <w:t>Gentle, professional clinical evaluations tailored to the patient's life stage.</w:t>
            </w:r>
          </w:p>
          <w:p>
            <w:pPr>
              <w:spacing w:before="120" w:after="80" w:line="300" w:lineRule="auto"/>
            </w:pPr>
            <w:r>
              <w:rPr>
                <w:rFonts w:ascii="Segoe UI" w:hAnsi="Segoe UI"/>
                <w:b/>
                <w:color w:val="1A365D"/>
                <w:sz w:val="21"/>
              </w:rPr>
              <w:t xml:space="preserve">•  Clinical Guidance &amp; Treatment: </w:t>
            </w:r>
            <w:r>
              <w:rPr>
                <w:rFonts w:ascii="Segoe UI" w:hAnsi="Segoe UI"/>
                <w:color w:val="2D3748"/>
                <w:sz w:val="21"/>
              </w:rPr>
              <w:t>Clear counseling on options, lifestyle advice, or prescriptions.</w:t>
            </w:r>
          </w:p>
          <w:p>
            <w:pPr>
              <w:spacing w:before="120" w:after="80" w:line="300" w:lineRule="auto"/>
            </w:pPr>
            <w:r>
              <w:rPr>
                <w:rFonts w:ascii="Segoe UI" w:hAnsi="Segoe UI"/>
                <w:b/>
                <w:color w:val="1A365D"/>
                <w:sz w:val="21"/>
              </w:rPr>
              <w:t xml:space="preserve">•  Ongoing Care &amp; Follow-Up: </w:t>
            </w:r>
            <w:r>
              <w:rPr>
                <w:rFonts w:ascii="Segoe UI" w:hAnsi="Segoe UI"/>
                <w:color w:val="2D3748"/>
                <w:sz w:val="21"/>
              </w:rPr>
              <w:t>Scheduled monitoring, reminder alerts for routine screenings, and referral support.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