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2"/>
        </w:rPr>
        <w:t>EMPLOYMENT CONTRACT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A controlled agreement between the organisation and employee</w:t>
      </w:r>
    </w:p>
    <w:p>
      <w:pPr>
        <w:spacing w:after="240" w:line="264" w:lineRule="auto"/>
      </w:pPr>
      <w:r>
        <w:rPr>
          <w:rFonts w:ascii="Calibri" w:hAnsi="Calibri"/>
          <w:b w:val="0"/>
          <w:color w:val="163042"/>
          <w:sz w:val="21"/>
        </w:rPr>
        <w:t xml:space="preserve">This Employment Contract is concluded between DRMAP (the “Employer”) and Ayanda Dlamini (the “Employee”) on 23 July 2026.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1. EMPLOYMENT PARTICULARS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264"/>
      </w:tblGrid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Ayanda Dlamini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Identity number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0304155217082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Position title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Receptionist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Department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Administration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Reporting line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2hdjnrtnmst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Contract type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Permanent employment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Work schedule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Full-time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Commencement date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01 January 2026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End date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Not applicable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Probation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3 months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Work location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04 North Avenue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Hours of work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40 hours per week, scheduled according to operational requirements.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Remuneration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R 14 500,00 gross per month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Professional council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Not applicable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Registration number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27257247245725725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Notice period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 xml:space="preserve">As prescribed by the BCEA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2. APPOINTMENT AND DUTIES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 xml:space="preserve">The Employer appoints the Employee as Receptionist. The Employee will perform the duties reasonably associated with the position, follow lawful instructions, maintain professional standards and report to 2hdjnrtnmst.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3. TERM AND PROBATION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 xml:space="preserve">Employment commences on 01 January 2026 under Permanent employment terms. Where the appointment is fixed-term, it ends on Not applicable unless lawfully renewed in writing. The probation period is 3 months and will be managed fairly in accordance with applicable labour law.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4. PLACE AND HOURS OF WORK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 xml:space="preserve">The normal place of work is 04 North Avenue. The agreed schedule is Full-time and the ordinary working arrangement is 40 hours per week, scheduled according to operational requirements.. Reasonable operational changes will be communicated in accordance with law and company policy.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5. REMUNERATION AND BENEFITS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 xml:space="preserve">The Employee’s remuneration package is R 14 500,00 gross per month. Statutory deductions will be made, and any benefits or allowances are governed by the applicable payroll records, benefit rules and written company policies.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6. LEAVE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Annual, sick, family-responsibility, maternity, parental and other leave will be administered in accordance with the Basic Conditions of Employment Act, applicable collective arrangements and the Employer’s approved leave policy.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7. PROFESSIONAL AND REGULATORY COMPLIANCE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 xml:space="preserve">Professional council: Not applicable. Registration number: 27257247245725725. The Employee must maintain every registration, licence and credential required for the role. Additional requirements: Compliance with applicable legislation, ethical rules, POPIA and company policies..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8. CONFIDENTIALITY, INFORMATION SECURITY AND POPIA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The Employee must protect confidential business, employee and patient information; use systems only for authorised purposes; follow information-security controls; and comply with POPIA, healthcare confidentiality obligations and company policy during and after employment.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9. CONDUCT, PERFORMANCE AND POLICIES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The Employee agrees to the Employer’s lawful policies, ethical standards, performance processes, health and safety requirements, disciplinary code and grievance procedures, as amended through fair and lawful processes.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10. TERMINATION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 xml:space="preserve">Either party may terminate employment on As prescribed by the BCEA notice, subject to applicable law. Nothing in this agreement limits lawful termination for misconduct, incapacity, operational requirements, expiry of a fixed term or another recognised legal ground.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11. SPECIAL CONDITIONS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 xml:space="preserve">None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12. ENTIRE AGREEMENT AND GOVERNING LAW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This contract, together with incorporated policies and written annexures, records the employment agreement. Changes must be recorded in writing and authorised. South African law governs this agreement. If a provision is invalid, the remaining provisions continue to apply.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13. SIGNATURES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The parties confirm that they have read, understood and voluntarily accepted this agreement.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/>
              <w:br/>
              <w:t xml:space="preserve">Tlotliso Monareng</w:t>
              <w:br/>
              <w:t xml:space="preserve">Chief Executive Officer</w:t>
              <w:br/>
              <w:t xml:space="preserve">For DRMAP</w:t>
              <w:br/>
              <w:t>Date: ____________________</w:t>
            </w:r>
          </w:p>
        </w:tc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br/>
              <w:t>____________________________</w:t>
              <w:br/>
              <w:t xml:space="preserve">Ayanda Dlamini</w:t>
              <w:br/>
              <w:t>Employee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 xml:space="preserve">DRMAP  •  0662315078  •  tntshabeleng23@gmail.com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drawing>
        <wp:inline distT="0" distB="0" distL="0" distR="0">
          <wp:extent cx="1809750" cy="666750"/>
          <wp:docPr id="1" name="medcnx-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cnx-logo.png"/>
                  <pic:cNvPicPr/>
                </pic:nvPicPr>
                <pic:blipFill>
                  <a:blip xmlns:r="http://schemas.openxmlformats.org/officeDocument/2006/relationships" r:embed="rId-medcnx-logo"/>
                  <a:stretch>
                    <a:fillRect/>
                  </a:stretch>
                </pic:blipFill>
                <pic:spPr>
                  <a:xfrm>
                    <a:off x="0" y="0"/>
                    <a:ext cx="1809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/>
        <w:b/>
        <w:color w:val="163042"/>
        <w:sz w:val="18"/>
      </w:rPr>
      <w:tab/>
      <w:t xml:space="preserve">DRMAP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-medcnx-logo" Type="http://schemas.openxmlformats.org/officeDocument/2006/relationships/image" Target="media/medcnx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MedCNX Master Employment Contract</dc:title>
  <dc:subject/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