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1"/>
          <w:szCs w:val="21"/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SMT (Statistical Machine Translation)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SMT основывается на байесовской теореме для перевода текста с одного языка на другой. Основная идея заключается в том, чтобы максимизировать вероятность правильного перевода исходного предложения на целевой язык.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1"/>
          <w:szCs w:val="21"/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Корпус параллельных текстов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набор предложений на двух языках, где каждое предложение на одном языке соответствует переводу этого предложения на другой язык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Языковая модель (Language Model)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м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одель, которая оценивает вероятность последовательности слов на целевом языке. Она помогает определить, насколько естественно звучит предложенный перевод.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Модель выравнивания (Alignment Model)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о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пределяет соответствие между словами и фразами в исходном тексте и их переводами в целевом тексте. Выравнивание может быть однословным (каждое слово соответствует одному слову) или фразовым (группы слов соответствуют друг другу).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Модель перевода (Translation Model)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о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ценивает вероятность того, что конкретная последовательность слов на исходном языке будет переведена в определенную последовательность слов на целевом языке.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1"/>
          <w:szCs w:val="21"/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Важная терминология: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Байесовская теорема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и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спользуется для вычисления вероятности того, что данное предложение на исходном языке будет переведено в определенное предложение на целевом языке.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EM-алгоритм (Expectation-Maximization Algorithm)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а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лгоритм, используемый для оптимизации параметров моделей SMT. Он состоит из двух этапов: этапа ожидания (expectation) и этапа максимизации (maximization).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Токенизация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п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роцесс разделения текста на отдельные слова или токены.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Векторизация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п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реобразование текстовых данных в числовые представления, которые могут быть использованы алгоритмами машинного обучения.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Корпус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н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абор текстов, используемых для обучения модели.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Параллельные корпуса – к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орпуса, содержащие тексты на разных языках, где каждый текст имеет соответствующий перевод на другой язык.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Оценочная функция – 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ф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ункция, которая оценивает качество перевода, сравнивая его с эталонными переводами.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1"/>
          <w:szCs w:val="21"/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Подготовка данных: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left"/>
        <w:rPr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Загружаются параллельные корпуса текстов.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left"/>
        <w:rPr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Тексты токенизируются и векторизуются.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Обучение модели: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left"/>
        <w:rPr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Языковая модель обучается на целевых текстах.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left"/>
        <w:rPr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Модель выравнивания обучается на параллельных корпусах.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left"/>
        <w:rPr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Модель перевода обучается на основе оценочной функции.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left"/>
        <w:rPr>
          <w:shd w:fill="auto" w:val="clear"/>
        </w:rPr>
      </w:pPr>
      <w:r w:rsidDel="00000000" w:rsidR="00000000" w:rsidRPr="00000000">
        <w:rPr>
          <w:b w:val="1"/>
          <w:sz w:val="21"/>
          <w:szCs w:val="21"/>
          <w:shd w:fill="auto" w:val="clear"/>
          <w:rtl w:val="0"/>
        </w:rPr>
        <w:t xml:space="preserve">Перевод:</w:t>
      </w:r>
      <w:r w:rsidDel="00000000" w:rsidR="00000000" w:rsidRPr="00000000">
        <w:rPr>
          <w:sz w:val="21"/>
          <w:szCs w:val="21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left"/>
        <w:rPr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Исходный текст подается в модель.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left"/>
        <w:rPr>
          <w:shd w:fill="auto" w:val="clear"/>
        </w:rPr>
      </w:pPr>
      <w:r w:rsidDel="00000000" w:rsidR="00000000" w:rsidRPr="00000000">
        <w:rPr>
          <w:sz w:val="21"/>
          <w:szCs w:val="21"/>
          <w:shd w:fill="auto" w:val="clear"/>
          <w:rtl w:val="0"/>
        </w:rPr>
        <w:t xml:space="preserve">Модель генерирует возможные переводы и выбирает наиболее вероятный вариант.</w:t>
      </w:r>
    </w:p>
    <w:p w:rsidR="00000000" w:rsidDel="00000000" w:rsidP="00000000" w:rsidRDefault="00000000" w:rsidRPr="00000000" w14:paraId="0000001B">
      <w:pPr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sz w:val="21"/>
        <w:szCs w:val="21"/>
        <w:u w:val="none"/>
        <w:shd w:fill="15181f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  <w:shd w:fill="15181f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  <w:shd w:fill="15181f" w:val="clear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  <w:shd w:fill="15181f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highlight w:val="white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Roboto" w:cs="Roboto" w:eastAsia="Roboto" w:hAnsi="Roboto"/>
      <w:b w:val="1"/>
      <w:sz w:val="24"/>
      <w:szCs w:val="24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