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80" w:after="480"/>
        <w:rPr/>
      </w:pPr>
    </w:p>
    <w:p>
      <w:pPr>
        <w:pStyle w:val="style0"/>
        <w:spacing w:before="0" w:after="80"/>
        <w:jc w:val="center"/>
        <w:rPr/>
      </w:pPr>
      <w:r>
        <w:rPr>
          <w:rFonts w:ascii="Arial" w:cs="Arial" w:eastAsia="Arial" w:hAnsi="Arial"/>
          <w:b/>
          <w:bCs/>
          <w:color w:val="0d1b2a"/>
          <w:sz w:val="96"/>
          <w:szCs w:val="96"/>
        </w:rPr>
        <w:t>CEOS</w:t>
      </w:r>
    </w:p>
    <w:p>
      <w:pPr>
        <w:pStyle w:val="style0"/>
        <w:spacing w:before="0" w:after="160"/>
        <w:jc w:val="center"/>
        <w:rPr/>
      </w:pPr>
      <w:r>
        <w:rPr>
          <w:rFonts w:ascii="Arial" w:cs="Arial" w:eastAsia="Arial" w:hAnsi="Arial"/>
          <w:b/>
          <w:bCs/>
          <w:color w:val="1a6bff"/>
          <w:sz w:val="24"/>
          <w:szCs w:val="24"/>
        </w:rPr>
        <w:t>CAMPUS ECONOMY OPERATING SYSTEM</w:t>
      </w:r>
    </w:p>
    <w:p>
      <w:pPr>
        <w:pStyle w:val="style0"/>
        <w:spacing w:before="0" w:after="80"/>
        <w:jc w:val="center"/>
        <w:rPr/>
      </w:pPr>
      <w:r>
        <w:rPr>
          <w:rFonts w:ascii="Arial" w:cs="Arial" w:eastAsia="Arial" w:hAnsi="Arial"/>
          <w:i/>
          <w:iCs/>
          <w:color w:val="3a4a5c"/>
          <w:sz w:val="22"/>
          <w:szCs w:val="22"/>
        </w:rPr>
        <w:t>Master Strategy &amp; Execution Document</w:t>
      </w:r>
    </w:p>
    <w:p>
      <w:pPr>
        <w:pStyle w:val="style0"/>
        <w:spacing w:before="0" w:after="640"/>
        <w:jc w:val="center"/>
        <w:rPr/>
      </w:pPr>
      <w:r>
        <w:rPr>
          <w:rFonts w:ascii="Arial" w:cs="Arial" w:eastAsia="Arial" w:hAnsi="Arial"/>
          <w:color w:val="8a9bb0"/>
          <w:sz w:val="20"/>
          <w:szCs w:val="20"/>
        </w:rPr>
        <w:t>Phase 1 — FUNAAB Cluster Deployment</w:t>
      </w:r>
    </w:p>
    <w:p>
      <w:pPr>
        <w:pStyle w:val="style0"/>
        <w:pBdr>
          <w:bottom w:val="single" w:sz="8" w:space="1" w:color="1a6bff"/>
        </w:pBdr>
        <w:spacing w:before="200" w:after="200"/>
        <w:rPr/>
      </w:pPr>
    </w:p>
    <w:p>
      <w:pPr>
        <w:pStyle w:val="style0"/>
        <w:spacing w:before="200" w:after="0"/>
        <w:jc w:val="center"/>
        <w:rPr/>
      </w:pPr>
      <w:r>
        <w:rPr>
          <w:rFonts w:ascii="Arial" w:cs="Arial" w:eastAsia="Arial" w:hAnsi="Arial"/>
          <w:color w:val="8a9bb0"/>
          <w:sz w:val="18"/>
          <w:szCs w:val="18"/>
        </w:rPr>
        <w:t>7 Artifacts  ·  Investment Thesis  ·  Pitch Deck  ·  PRD  ·  Architecture  ·  GTM  ·  Rollout  ·  Naming</w:t>
      </w:r>
    </w:p>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01  </w:t>
      </w:r>
      <w:r>
        <w:rPr>
          <w:rFonts w:ascii="Arial" w:cs="Arial" w:eastAsia="Arial" w:hAnsi="Arial"/>
          <w:b/>
          <w:bCs/>
          <w:color w:val="0d1b2a"/>
          <w:sz w:val="28"/>
          <w:szCs w:val="28"/>
        </w:rPr>
        <w:t>INVESTOR NARRATIVE</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The Verbal Script — Investment Thesis</w:t>
      </w:r>
    </w:p>
    <w:p>
      <w:pPr>
        <w:pStyle w:val="style0"/>
        <w:spacing w:before="80" w:after="80"/>
        <w:rPr/>
      </w:pPr>
    </w:p>
    <w:p>
      <w:pPr>
        <w:pStyle w:val="style0"/>
        <w:spacing w:before="200" w:after="80"/>
        <w:rPr/>
      </w:pPr>
      <w:r>
        <w:rPr>
          <w:rFonts w:ascii="Arial" w:cs="Arial" w:eastAsia="Arial" w:hAnsi="Arial"/>
          <w:b/>
          <w:bCs/>
          <w:color w:val="0d1b2a"/>
          <w:sz w:val="24"/>
          <w:szCs w:val="24"/>
        </w:rPr>
        <w:t>Paragraph I — The Coordination Failure</w:t>
      </w:r>
    </w:p>
    <w:p>
      <w:pPr>
        <w:pStyle w:val="style0"/>
        <w:spacing w:before="60" w:after="60"/>
        <w:rPr/>
      </w:pPr>
      <w:r>
        <w:rPr>
          <w:rFonts w:ascii="Arial" w:cs="Arial" w:eastAsia="Arial" w:hAnsi="Arial"/>
          <w:color w:val="3a4a5c"/>
          <w:sz w:val="20"/>
          <w:szCs w:val="20"/>
        </w:rPr>
        <w:t>Every campus in Nigeria operates as a closed micro-economy: a high-density geographic cluster where thousands of economic agents — students and vendors — transact daily across food, printing, and basic services. Yet despite this density, the coordination infrastructure is completely absent. There is no unified discovery layer. There is no structured payment record. There is no map of capital flow. Students navigate by memory and friction; vendors operate invisibly, with zero data on their own customers. The result is a predictable coordination failure: capital that should circulate efficiently inside the cluster leaks outward through informal cash-out behaviors, lost habits, and friction-induced deferral. This is not a payments problem. It is a systems architecture problem.</w:t>
      </w:r>
    </w:p>
    <w:p>
      <w:pPr>
        <w:pStyle w:val="style0"/>
        <w:spacing w:before="80" w:after="80"/>
        <w:rPr/>
      </w:pPr>
    </w:p>
    <w:p>
      <w:pPr>
        <w:pStyle w:val="style0"/>
        <w:spacing w:before="200" w:after="80"/>
        <w:rPr/>
      </w:pPr>
      <w:r>
        <w:rPr>
          <w:rFonts w:ascii="Arial" w:cs="Arial" w:eastAsia="Arial" w:hAnsi="Arial"/>
          <w:b/>
          <w:bCs/>
          <w:color w:val="0d1b2a"/>
          <w:sz w:val="24"/>
          <w:szCs w:val="24"/>
        </w:rPr>
        <w:t>Paragraph II — The Infrastructure Layer</w:t>
      </w:r>
    </w:p>
    <w:p>
      <w:pPr>
        <w:pStyle w:val="style0"/>
        <w:spacing w:before="60" w:after="60"/>
        <w:rPr/>
      </w:pPr>
      <w:r>
        <w:rPr>
          <w:rFonts w:ascii="Arial" w:cs="Arial" w:eastAsia="Arial" w:hAnsi="Arial"/>
          <w:color w:val="3a4a5c"/>
          <w:sz w:val="20"/>
          <w:szCs w:val="20"/>
        </w:rPr>
        <w:t>CEOS is not a consumer fintech application. It is the coordination layer that has always been missing from the campus economy. By sitting directly above existing payment rails — OPay, PalmPay, Kuda — and deploying a closed-loop Aggregator Wallet sub-ledger, CEOS guarantees instant, zero-fee, zero-network-failure transactions at the point of sale. Every transaction generates structured metadata: vendor category, location, time-stamp, student spend pattern. Over time, this produces the first real-time economic map of a campus cluster — an asset no bank, no fintech, and no operator has ever built. The moat is not the payments technology. The moat is the structural density of transaction data and the behavioral lock-in that frictionless coordination creates.</w:t>
      </w:r>
    </w:p>
    <w:p>
      <w:pPr>
        <w:pStyle w:val="style0"/>
        <w:spacing w:before="80" w:after="80"/>
        <w:rPr/>
      </w:pPr>
    </w:p>
    <w:p>
      <w:pPr>
        <w:pStyle w:val="style0"/>
        <w:spacing w:before="200" w:after="80"/>
        <w:rPr/>
      </w:pPr>
      <w:r>
        <w:rPr>
          <w:rFonts w:ascii="Arial" w:cs="Arial" w:eastAsia="Arial" w:hAnsi="Arial"/>
          <w:b/>
          <w:bCs/>
          <w:color w:val="0d1b2a"/>
          <w:sz w:val="24"/>
          <w:szCs w:val="24"/>
        </w:rPr>
        <w:t>Paragraph III — The Rollout Thesis</w:t>
      </w:r>
    </w:p>
    <w:p>
      <w:pPr>
        <w:pStyle w:val="style0"/>
        <w:spacing w:before="60" w:after="60"/>
        <w:rPr/>
      </w:pPr>
      <w:r>
        <w:rPr>
          <w:rFonts w:ascii="Arial" w:cs="Arial" w:eastAsia="Arial" w:hAnsi="Arial"/>
          <w:color w:val="3a4a5c"/>
          <w:sz w:val="20"/>
          <w:szCs w:val="20"/>
        </w:rPr>
        <w:t>Phase 1 is deliberately vertical. We are not attempting to serve every campus in Nigeria simultaneously; we are mapping a single food court at FUNAAB with enough precision that replication becomes a templated protocol. Fifteen manually onboarded vendors. Five hundred students incentivized with a subsidized 5% discount. A transaction graph dense enough to reveal repeat-use patterns within eight weeks. Once the coordination layer becomes default behavior in one cluster, the playbook is executable in any campus with equivalent density — a replicable infrastructure deployment, not a growth hack. CEOS is the operating system of the informal campus economy. We are raising to deploy the first cluster, prove the ledger, and replicate the system.</w:t>
      </w:r>
    </w:p>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02  </w:t>
      </w:r>
      <w:r>
        <w:rPr>
          <w:rFonts w:ascii="Arial" w:cs="Arial" w:eastAsia="Arial" w:hAnsi="Arial"/>
          <w:b/>
          <w:bCs/>
          <w:color w:val="0d1b2a"/>
          <w:sz w:val="28"/>
          <w:szCs w:val="28"/>
        </w:rPr>
        <w:t>VC PITCH DECK</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10-Slide Deck — Slide Outlines</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1  </w:t>
            </w:r>
            <w:r>
              <w:rPr>
                <w:rFonts w:ascii="Arial" w:cs="Arial" w:eastAsia="Arial" w:hAnsi="Arial"/>
                <w:b/>
                <w:bCs/>
                <w:color w:val="0d1b2a"/>
                <w:sz w:val="22"/>
                <w:szCs w:val="22"/>
              </w:rPr>
              <w:t>The Campus Economy is Broken</w:t>
            </w:r>
          </w:p>
          <w:p>
            <w:pPr>
              <w:pStyle w:val="style0"/>
              <w:spacing w:before="0" w:after="100"/>
              <w:rPr/>
            </w:pPr>
            <w:r>
              <w:rPr>
                <w:rFonts w:ascii="Arial" w:cs="Arial" w:eastAsia="Arial" w:hAnsi="Arial"/>
                <w:i/>
                <w:iCs/>
                <w:color w:val="8a9bb0"/>
                <w:sz w:val="19"/>
                <w:szCs w:val="19"/>
              </w:rPr>
              <w:t>The coordination failure no one has mapped</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Nigeria has 200+ universities — each a closed economic cluster of 5,000–50,000 active agents transacting daily.</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No discovery layer, no structured payment record, no map of capital flow exists for any of them.</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This is a coordination failure, not a payments gap. The rails exist. The system does not.</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2  </w:t>
            </w:r>
            <w:r>
              <w:rPr>
                <w:rFonts w:ascii="Arial" w:cs="Arial" w:eastAsia="Arial" w:hAnsi="Arial"/>
                <w:b/>
                <w:bCs/>
                <w:color w:val="0d1b2a"/>
                <w:sz w:val="22"/>
                <w:szCs w:val="22"/>
              </w:rPr>
              <w:t>We Are the Operating System</w:t>
            </w:r>
          </w:p>
          <w:p>
            <w:pPr>
              <w:pStyle w:val="style0"/>
              <w:spacing w:before="0" w:after="100"/>
              <w:rPr/>
            </w:pPr>
            <w:r>
              <w:rPr>
                <w:rFonts w:ascii="Arial" w:cs="Arial" w:eastAsia="Arial" w:hAnsi="Arial"/>
                <w:i/>
                <w:iCs/>
                <w:color w:val="8a9bb0"/>
                <w:sz w:val="19"/>
                <w:szCs w:val="19"/>
              </w:rPr>
              <w:t>CEOS: The infrastructure layer above existing payment rails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CEOS sits above OPay, PalmPay, and Kuda — it does not replace them. It structures what they cannot.</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Closed-loop Aggregator Wallet sub-ledger: instant, zero-fee, zero-network-failure transactions.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Every transaction generates structured economic metadata — the foundation of a campus intelligence layer.</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3  </w:t>
            </w:r>
            <w:r>
              <w:rPr>
                <w:rFonts w:ascii="Arial" w:cs="Arial" w:eastAsia="Arial" w:hAnsi="Arial"/>
                <w:b/>
                <w:bCs/>
                <w:color w:val="0d1b2a"/>
                <w:sz w:val="22"/>
                <w:szCs w:val="22"/>
              </w:rPr>
              <w:t>The Market Geometry</w:t>
            </w:r>
          </w:p>
          <w:p>
            <w:pPr>
              <w:pStyle w:val="style0"/>
              <w:spacing w:before="0" w:after="100"/>
              <w:rPr/>
            </w:pPr>
            <w:r>
              <w:rPr>
                <w:rFonts w:ascii="Arial" w:cs="Arial" w:eastAsia="Arial" w:hAnsi="Arial"/>
                <w:i/>
                <w:iCs/>
                <w:color w:val="8a9bb0"/>
                <w:sz w:val="19"/>
                <w:szCs w:val="19"/>
              </w:rPr>
              <w:t>Vertical density vs. horizontal expansion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Total addressable market: 200+ federally and state-funded universities, 1M+ daily informal transactions.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Phase 1 thesis is vertical: dominate one cluster completely before horizontal replication.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Gross transaction volume per cluster (est.): ₦10M–₦25M/month at a 500-student, 15-vendor node.</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4  </w:t>
            </w:r>
            <w:r>
              <w:rPr>
                <w:rFonts w:ascii="Arial" w:cs="Arial" w:eastAsia="Arial" w:hAnsi="Arial"/>
                <w:b/>
                <w:bCs/>
                <w:color w:val="0d1b2a"/>
                <w:sz w:val="22"/>
                <w:szCs w:val="22"/>
              </w:rPr>
              <w:t>The Product: Two Roles, One Ledger</w:t>
            </w:r>
          </w:p>
          <w:p>
            <w:pPr>
              <w:pStyle w:val="style0"/>
              <w:spacing w:before="0" w:after="100"/>
              <w:rPr/>
            </w:pPr>
            <w:r>
              <w:rPr>
                <w:rFonts w:ascii="Arial" w:cs="Arial" w:eastAsia="Arial" w:hAnsi="Arial"/>
                <w:i/>
                <w:iCs/>
                <w:color w:val="8a9bb0"/>
                <w:sz w:val="19"/>
                <w:szCs w:val="19"/>
              </w:rPr>
              <w:t>Student Node · Vendor Hub · Internal Sub-Ledger</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Students: frictionless vendor discovery and &lt;500ms payment execution via QR scan.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Vendors: digital transaction history, payout visibility, structured discoverability on campus.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Internal ledger: atomic sub-ledger transfers — no external NIBSS call at point-of-sale.</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5  </w:t>
            </w:r>
            <w:r>
              <w:rPr>
                <w:rFonts w:ascii="Arial" w:cs="Arial" w:eastAsia="Arial" w:hAnsi="Arial"/>
                <w:b/>
                <w:bCs/>
                <w:color w:val="0d1b2a"/>
                <w:sz w:val="22"/>
                <w:szCs w:val="22"/>
              </w:rPr>
              <w:t>The Aggregator Wallet Protocol</w:t>
            </w:r>
          </w:p>
          <w:p>
            <w:pPr>
              <w:pStyle w:val="style0"/>
              <w:spacing w:before="0" w:after="100"/>
              <w:rPr/>
            </w:pPr>
            <w:r>
              <w:rPr>
                <w:rFonts w:ascii="Arial" w:cs="Arial" w:eastAsia="Arial" w:hAnsi="Arial"/>
                <w:i/>
                <w:iCs/>
                <w:color w:val="8a9bb0"/>
                <w:sz w:val="19"/>
                <w:szCs w:val="19"/>
              </w:rPr>
              <w:t>Why the UX works when everything else fails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Students pre-load a Campus Balance from their primary bank via a provisioned virtual account.</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All campus transactions settle internally — removing NFC failure, network drop, and processing delay.</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End-of-day batch settlement to vendor bank accounts via BaaS (Bloc / Monnify / Kuda API).</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6  </w:t>
            </w:r>
            <w:r>
              <w:rPr>
                <w:rFonts w:ascii="Arial" w:cs="Arial" w:eastAsia="Arial" w:hAnsi="Arial"/>
                <w:b/>
                <w:bCs/>
                <w:color w:val="0d1b2a"/>
                <w:sz w:val="22"/>
                <w:szCs w:val="22"/>
              </w:rPr>
              <w:t>The Transaction Graph — The Real Asset</w:t>
            </w:r>
          </w:p>
          <w:p>
            <w:pPr>
              <w:pStyle w:val="style0"/>
              <w:spacing w:before="0" w:after="100"/>
              <w:rPr/>
            </w:pPr>
            <w:r>
              <w:rPr>
                <w:rFonts w:ascii="Arial" w:cs="Arial" w:eastAsia="Arial" w:hAnsi="Arial"/>
                <w:i/>
                <w:iCs/>
                <w:color w:val="8a9bb0"/>
                <w:sz w:val="19"/>
                <w:szCs w:val="19"/>
              </w:rPr>
              <w:t>Metadata is the moat, not the middleware</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Every transaction is tagged: vendor type, location coordinates, timestamp, item-level context (JSONB).</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Within 60 days: a behavioral map of the campus economy — vendor density, student spend cycles, peak demand windows.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No bank, no fintech, no operator has ever produced this data asset for a Nigerian campus cluster.</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7  </w:t>
            </w:r>
            <w:r>
              <w:rPr>
                <w:rFonts w:ascii="Arial" w:cs="Arial" w:eastAsia="Arial" w:hAnsi="Arial"/>
                <w:b/>
                <w:bCs/>
                <w:color w:val="0d1b2a"/>
                <w:sz w:val="22"/>
                <w:szCs w:val="22"/>
              </w:rPr>
              <w:t>GTM: Density Before Distribution</w:t>
            </w:r>
          </w:p>
          <w:p>
            <w:pPr>
              <w:pStyle w:val="style0"/>
              <w:spacing w:before="0" w:after="100"/>
              <w:rPr/>
            </w:pPr>
            <w:r>
              <w:rPr>
                <w:rFonts w:ascii="Arial" w:cs="Arial" w:eastAsia="Arial" w:hAnsi="Arial"/>
                <w:i/>
                <w:iCs/>
                <w:color w:val="8a9bb0"/>
                <w:sz w:val="19"/>
                <w:szCs w:val="19"/>
              </w:rPr>
              <w:t>B2B2C through physical vendor lock-in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Acquire 15 vendors first — not 500 students. Vendors are distribution infrastructure, not customers.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Student adoption is a function of vendor density. Solve supply-side first; demand follows.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Liquidity incentive: 5% subsidy on first-cycle transactions, platform-funded to accelerate habit formation.</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8  </w:t>
            </w:r>
            <w:r>
              <w:rPr>
                <w:rFonts w:ascii="Arial" w:cs="Arial" w:eastAsia="Arial" w:hAnsi="Arial"/>
                <w:b/>
                <w:bCs/>
                <w:color w:val="0d1b2a"/>
                <w:sz w:val="22"/>
                <w:szCs w:val="22"/>
              </w:rPr>
              <w:t>Competitive Landscape</w:t>
            </w:r>
          </w:p>
          <w:p>
            <w:pPr>
              <w:pStyle w:val="style0"/>
              <w:spacing w:before="0" w:after="100"/>
              <w:rPr/>
            </w:pPr>
            <w:r>
              <w:rPr>
                <w:rFonts w:ascii="Arial" w:cs="Arial" w:eastAsia="Arial" w:hAnsi="Arial"/>
                <w:i/>
                <w:iCs/>
                <w:color w:val="8a9bb0"/>
                <w:sz w:val="19"/>
                <w:szCs w:val="19"/>
              </w:rPr>
              <w:t>Why horizontal fintechs cannot replicate this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Flutterwave, Paystack, and OPay all optimize for scale across open economies — not closure within micro-economies.</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A campus-native coordination layer requires physical onboarding, QR infrastructure, and cluster-specific behavioral data.</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The barrier to entry is not the technology stack — it is the willingness to go dense and physical before going wide.</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9  </w:t>
            </w:r>
            <w:r>
              <w:rPr>
                <w:rFonts w:ascii="Arial" w:cs="Arial" w:eastAsia="Arial" w:hAnsi="Arial"/>
                <w:b/>
                <w:bCs/>
                <w:color w:val="0d1b2a"/>
                <w:sz w:val="22"/>
                <w:szCs w:val="22"/>
              </w:rPr>
              <w:t>Traction &amp; Phase 1 Milestones</w:t>
            </w:r>
          </w:p>
          <w:p>
            <w:pPr>
              <w:pStyle w:val="style0"/>
              <w:spacing w:before="0" w:after="100"/>
              <w:rPr/>
            </w:pPr>
            <w:r>
              <w:rPr>
                <w:rFonts w:ascii="Arial" w:cs="Arial" w:eastAsia="Arial" w:hAnsi="Arial"/>
                <w:i/>
                <w:iCs/>
                <w:color w:val="8a9bb0"/>
                <w:sz w:val="19"/>
                <w:szCs w:val="19"/>
              </w:rPr>
              <w:t>FUNAAB Cluster Deployment Plan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Week 1–2: 15 vendors manually onboarded, QR standees installed, backend ledger live.</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Week 3–6: 500 student users acquired through hostel-adjacent activation and 5% incentive campaign.</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Week 7–12: Subsidy removed; retention measured against raw UX. Transaction data produces first economic map output.</w:t>
            </w:r>
          </w:p>
        </w:tc>
      </w:tr>
    </w:tbl>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c5d5e8"/>
              <w:left w:val="single" w:sz="14" w:space="0" w:color="1a6bff"/>
              <w:bottom w:val="single" w:sz="2" w:space="0" w:color="c5d5e8"/>
              <w:right w:val="single" w:sz="2" w:space="0" w:color="c5d5e8"/>
            </w:tcBorders>
            <w:shd w:val="clear" w:color="auto" w:fill="f7fafe"/>
            <w:tcMar>
              <w:top w:w="160" w:type="dxa"/>
              <w:left w:w="240" w:type="dxa"/>
              <w:bottom w:w="160" w:type="dxa"/>
              <w:right w:w="240" w:type="dxa"/>
            </w:tcMar>
          </w:tcPr>
          <w:p>
            <w:pPr>
              <w:pStyle w:val="style0"/>
              <w:spacing w:before="0" w:after="60"/>
              <w:rPr/>
            </w:pPr>
            <w:r>
              <w:rPr>
                <w:rFonts w:ascii="Arial" w:cs="Arial" w:eastAsia="Arial" w:hAnsi="Arial"/>
                <w:b/>
                <w:bCs/>
                <w:color w:val="1a6bff"/>
                <w:sz w:val="19"/>
                <w:szCs w:val="19"/>
              </w:rPr>
              <w:t xml:space="preserve">SLIDE 10  </w:t>
            </w:r>
            <w:r>
              <w:rPr>
                <w:rFonts w:ascii="Arial" w:cs="Arial" w:eastAsia="Arial" w:hAnsi="Arial"/>
                <w:b/>
                <w:bCs/>
                <w:color w:val="0d1b2a"/>
                <w:sz w:val="22"/>
                <w:szCs w:val="22"/>
              </w:rPr>
              <w:t>The Ask</w:t>
            </w:r>
          </w:p>
          <w:p>
            <w:pPr>
              <w:pStyle w:val="style0"/>
              <w:spacing w:before="0" w:after="100"/>
              <w:rPr/>
            </w:pPr>
            <w:r>
              <w:rPr>
                <w:rFonts w:ascii="Arial" w:cs="Arial" w:eastAsia="Arial" w:hAnsi="Arial"/>
                <w:i/>
                <w:iCs/>
                <w:color w:val="8a9bb0"/>
                <w:sz w:val="19"/>
                <w:szCs w:val="19"/>
              </w:rPr>
              <w:t>Seed Round — Infrastructure Deployment Capital</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Use of funds: BaaS integration, physical QR infrastructure, backend engineering, operations team (FUNAAB).</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North Star: one fully mapped, subsidy-free, self-sustaining campus cluster within 90 days of deployment.</w:t>
            </w:r>
          </w:p>
          <w:p>
            <w:pPr>
              <w:pStyle w:val="style0"/>
              <w:spacing w:before="40" w:after="40"/>
              <w:rPr/>
            </w:pPr>
            <w:r>
              <w:rPr>
                <w:rFonts w:ascii="Arial" w:cs="Arial" w:eastAsia="Arial" w:hAnsi="Arial"/>
                <w:b/>
                <w:bCs/>
                <w:color w:val="1a6bff"/>
                <w:sz w:val="19"/>
                <w:szCs w:val="19"/>
              </w:rPr>
              <w:t xml:space="preserve">→  </w:t>
            </w:r>
            <w:r>
              <w:rPr>
                <w:rFonts w:ascii="Arial" w:cs="Arial" w:eastAsia="Arial" w:hAnsi="Arial"/>
                <w:color w:val="3a4a5c"/>
                <w:sz w:val="19"/>
                <w:szCs w:val="19"/>
              </w:rPr>
              <w:t>Replication protocol: every additional campus cluster is a template execution, not a product iteration.</w:t>
            </w:r>
          </w:p>
        </w:tc>
      </w:tr>
    </w:tbl>
    <w:p>
      <w:pPr>
        <w:pStyle w:val="style0"/>
        <w:spacing w:before="80" w:after="80"/>
        <w:rPr/>
      </w:pPr>
    </w:p>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03  </w:t>
      </w:r>
      <w:r>
        <w:rPr>
          <w:rFonts w:ascii="Arial" w:cs="Arial" w:eastAsia="Arial" w:hAnsi="Arial"/>
          <w:b/>
          <w:bCs/>
          <w:color w:val="0d1b2a"/>
          <w:sz w:val="28"/>
          <w:szCs w:val="28"/>
        </w:rPr>
        <w:t>PRODUCT SPECIFICATION (PRD)</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MVP Requirements — Phase 1</w:t>
      </w:r>
    </w:p>
    <w:p>
      <w:pPr>
        <w:pStyle w:val="style0"/>
        <w:spacing w:before="80" w:after="80"/>
        <w:rPr/>
      </w:pPr>
    </w:p>
    <w:p>
      <w:pPr>
        <w:pStyle w:val="style0"/>
        <w:spacing w:before="200" w:after="80"/>
        <w:rPr/>
      </w:pPr>
      <w:r>
        <w:rPr>
          <w:rFonts w:ascii="Arial" w:cs="Arial" w:eastAsia="Arial" w:hAnsi="Arial"/>
          <w:b/>
          <w:bCs/>
          <w:color w:val="0d1b2a"/>
          <w:sz w:val="24"/>
          <w:szCs w:val="24"/>
        </w:rPr>
        <w:t>3.1 User Roles</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trPr/>
        <w:tc>
          <w:tcPr>
            <w:tcW w:w="312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Role</w:t>
            </w:r>
          </w:p>
        </w:tc>
        <w:tc>
          <w:tcPr>
            <w:tcW w:w="624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Definition &amp; Primary Need</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The Student (Node)</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Requires frictionless discovery of local vendors and instantaneous payment execution. Primary interaction: scan QR → input amount → confirm. Receives instant (&lt;500ms) confirmation with contextual receipt.</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The Vendor (Hub)</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Requires organized, digital tracking of inbound student capital, immediate settlement visibility, and structural discoverability on campus. Receives real-time notification on each incoming transaction. Daily settlement to linked bank account.</w:t>
            </w:r>
          </w:p>
        </w:tc>
      </w:tr>
    </w:tbl>
    <w:p>
      <w:pPr>
        <w:pStyle w:val="style0"/>
        <w:spacing w:before="160" w:after="160"/>
        <w:rPr/>
      </w:pPr>
    </w:p>
    <w:p>
      <w:pPr>
        <w:pStyle w:val="style0"/>
        <w:spacing w:before="200" w:after="80"/>
        <w:rPr/>
      </w:pPr>
      <w:r>
        <w:rPr>
          <w:rFonts w:ascii="Arial" w:cs="Arial" w:eastAsia="Arial" w:hAnsi="Arial"/>
          <w:b/>
          <w:bCs/>
          <w:color w:val="0d1b2a"/>
          <w:sz w:val="24"/>
          <w:szCs w:val="24"/>
        </w:rPr>
        <w:t>3.2 Core User Flows</w:t>
      </w:r>
    </w:p>
    <w:p>
      <w:pPr>
        <w:pStyle w:val="style0"/>
        <w:spacing w:before="40" w:after="40"/>
        <w:rPr/>
      </w:pPr>
    </w:p>
    <w:p>
      <w:pPr>
        <w:pStyle w:val="style0"/>
        <w:spacing w:before="160" w:after="60"/>
        <w:rPr/>
      </w:pPr>
      <w:r>
        <w:rPr>
          <w:rFonts w:ascii="Arial" w:cs="Arial" w:eastAsia="Arial" w:hAnsi="Arial"/>
          <w:b/>
          <w:bCs/>
          <w:color w:val="3a4a5c"/>
          <w:sz w:val="22"/>
          <w:szCs w:val="22"/>
        </w:rPr>
        <w:t>Student Onboarding Flow</w:t>
      </w:r>
    </w:p>
    <w:p>
      <w:pPr>
        <w:pStyle w:val="style179"/>
        <w:numPr>
          <w:ilvl w:val="0"/>
          <w:numId w:val="1"/>
        </w:numPr>
        <w:spacing w:before="40" w:after="40"/>
        <w:rPr/>
      </w:pPr>
      <w:r>
        <w:rPr>
          <w:rFonts w:ascii="Arial" w:cs="Arial" w:eastAsia="Arial" w:hAnsi="Arial"/>
          <w:color w:val="3a4a5c"/>
          <w:sz w:val="20"/>
          <w:szCs w:val="20"/>
        </w:rPr>
        <w:t>Authenticate via phone number + OTP verification.</w:t>
      </w:r>
    </w:p>
    <w:p>
      <w:pPr>
        <w:pStyle w:val="style179"/>
        <w:numPr>
          <w:ilvl w:val="0"/>
          <w:numId w:val="1"/>
        </w:numPr>
        <w:spacing w:before="40" w:after="40"/>
        <w:rPr/>
      </w:pPr>
      <w:r>
        <w:rPr>
          <w:rFonts w:ascii="Arial" w:cs="Arial" w:eastAsia="Arial" w:hAnsi="Arial"/>
          <w:color w:val="3a4a5c"/>
          <w:sz w:val="20"/>
          <w:szCs w:val="20"/>
        </w:rPr>
        <w:t>System provisions a virtual bank account (BaaS layer) tied to student profile.</w:t>
      </w:r>
    </w:p>
    <w:p>
      <w:pPr>
        <w:pStyle w:val="style179"/>
        <w:numPr>
          <w:ilvl w:val="0"/>
          <w:numId w:val="1"/>
        </w:numPr>
        <w:spacing w:before="40" w:after="40"/>
        <w:rPr/>
      </w:pPr>
      <w:r>
        <w:rPr>
          <w:rFonts w:ascii="Arial" w:cs="Arial" w:eastAsia="Arial" w:hAnsi="Arial"/>
          <w:color w:val="3a4a5c"/>
          <w:sz w:val="20"/>
          <w:szCs w:val="20"/>
        </w:rPr>
        <w:t>Student transfers budget from primary bank to CEOS virtual account.</w:t>
      </w:r>
    </w:p>
    <w:p>
      <w:pPr>
        <w:pStyle w:val="style179"/>
        <w:numPr>
          <w:ilvl w:val="0"/>
          <w:numId w:val="1"/>
        </w:numPr>
        <w:spacing w:before="40" w:after="40"/>
        <w:rPr/>
      </w:pPr>
      <w:r>
        <w:rPr>
          <w:rFonts w:ascii="Arial" w:cs="Arial" w:eastAsia="Arial" w:hAnsi="Arial"/>
          <w:color w:val="3a4a5c"/>
          <w:sz w:val="20"/>
          <w:szCs w:val="20"/>
        </w:rPr>
        <w:t>Funds reflect instantly as native 'Campus Balance' — no processing delay.</w:t>
      </w:r>
    </w:p>
    <w:p>
      <w:pPr>
        <w:pStyle w:val="style179"/>
        <w:numPr>
          <w:ilvl w:val="0"/>
          <w:numId w:val="1"/>
        </w:numPr>
        <w:spacing w:before="40" w:after="40"/>
        <w:rPr/>
      </w:pPr>
      <w:r>
        <w:rPr>
          <w:rFonts w:ascii="Arial" w:cs="Arial" w:eastAsia="Arial" w:hAnsi="Arial"/>
          <w:color w:val="3a4a5c"/>
          <w:sz w:val="20"/>
          <w:szCs w:val="20"/>
        </w:rPr>
        <w:t>Student profile is active and discoverable within the campus node.</w:t>
      </w:r>
    </w:p>
    <w:p>
      <w:pPr>
        <w:pStyle w:val="style0"/>
        <w:spacing w:before="80" w:after="80"/>
        <w:rPr/>
      </w:pPr>
    </w:p>
    <w:p>
      <w:pPr>
        <w:pStyle w:val="style0"/>
        <w:spacing w:before="160" w:after="60"/>
        <w:rPr/>
      </w:pPr>
      <w:r>
        <w:rPr>
          <w:rFonts w:ascii="Arial" w:cs="Arial" w:eastAsia="Arial" w:hAnsi="Arial"/>
          <w:b/>
          <w:bCs/>
          <w:color w:val="3a4a5c"/>
          <w:sz w:val="22"/>
          <w:szCs w:val="22"/>
        </w:rPr>
        <w:t>Point-of-Sale (POS) Execution Protocol</w:t>
      </w:r>
    </w:p>
    <w:p>
      <w:pPr>
        <w:pStyle w:val="style179"/>
        <w:numPr>
          <w:ilvl w:val="0"/>
          <w:numId w:val="1"/>
        </w:numPr>
        <w:spacing w:before="40" w:after="40"/>
        <w:rPr/>
      </w:pPr>
      <w:r>
        <w:rPr>
          <w:rFonts w:ascii="Arial" w:cs="Arial" w:eastAsia="Arial" w:hAnsi="Arial"/>
          <w:color w:val="3a4a5c"/>
          <w:sz w:val="20"/>
          <w:szCs w:val="20"/>
        </w:rPr>
        <w:t>Student opens app → taps 'Scan to Pay.'</w:t>
      </w:r>
    </w:p>
    <w:p>
      <w:pPr>
        <w:pStyle w:val="style179"/>
        <w:numPr>
          <w:ilvl w:val="0"/>
          <w:numId w:val="1"/>
        </w:numPr>
        <w:spacing w:before="40" w:after="40"/>
        <w:rPr/>
      </w:pPr>
      <w:r>
        <w:rPr>
          <w:rFonts w:ascii="Arial" w:cs="Arial" w:eastAsia="Arial" w:hAnsi="Arial"/>
          <w:color w:val="3a4a5c"/>
          <w:sz w:val="20"/>
          <w:szCs w:val="20"/>
        </w:rPr>
        <w:t>Student scans Vendor's unique physical or digital QR code.</w:t>
      </w:r>
    </w:p>
    <w:p>
      <w:pPr>
        <w:pStyle w:val="style179"/>
        <w:numPr>
          <w:ilvl w:val="0"/>
          <w:numId w:val="1"/>
        </w:numPr>
        <w:spacing w:before="40" w:after="40"/>
        <w:rPr/>
      </w:pPr>
      <w:r>
        <w:rPr>
          <w:rFonts w:ascii="Arial" w:cs="Arial" w:eastAsia="Arial" w:hAnsi="Arial"/>
          <w:color w:val="3a4a5c"/>
          <w:sz w:val="20"/>
          <w:szCs w:val="20"/>
        </w:rPr>
        <w:t>Student inputs transaction amount and confirms.</w:t>
      </w:r>
    </w:p>
    <w:p>
      <w:pPr>
        <w:pStyle w:val="style179"/>
        <w:numPr>
          <w:ilvl w:val="0"/>
          <w:numId w:val="1"/>
        </w:numPr>
        <w:spacing w:before="40" w:after="40"/>
        <w:rPr/>
      </w:pPr>
      <w:r>
        <w:rPr>
          <w:rFonts w:ascii="Arial" w:cs="Arial" w:eastAsia="Arial" w:hAnsi="Arial"/>
          <w:color w:val="3a4a5c"/>
          <w:sz w:val="20"/>
          <w:szCs w:val="20"/>
        </w:rPr>
        <w:t>Backend executes atomic internal sub-ledger transfer — no external NIBSS call made.</w:t>
      </w:r>
    </w:p>
    <w:p>
      <w:pPr>
        <w:pStyle w:val="style179"/>
        <w:numPr>
          <w:ilvl w:val="0"/>
          <w:numId w:val="1"/>
        </w:numPr>
        <w:spacing w:before="40" w:after="40"/>
        <w:rPr/>
      </w:pPr>
      <w:r>
        <w:rPr>
          <w:rFonts w:ascii="Arial" w:cs="Arial" w:eastAsia="Arial" w:hAnsi="Arial"/>
          <w:color w:val="3a4a5c"/>
          <w:sz w:val="20"/>
          <w:szCs w:val="20"/>
        </w:rPr>
        <w:t>Both Student and Vendor receive instant (&lt;500ms) push confirmation.</w:t>
      </w:r>
    </w:p>
    <w:p>
      <w:pPr>
        <w:pStyle w:val="style179"/>
        <w:numPr>
          <w:ilvl w:val="0"/>
          <w:numId w:val="1"/>
        </w:numPr>
        <w:spacing w:before="40" w:after="40"/>
        <w:rPr/>
      </w:pPr>
      <w:r>
        <w:rPr>
          <w:rFonts w:ascii="Arial" w:cs="Arial" w:eastAsia="Arial" w:hAnsi="Arial"/>
          <w:color w:val="3a4a5c"/>
          <w:sz w:val="20"/>
          <w:szCs w:val="20"/>
        </w:rPr>
        <w:t>System maps contextual metadata to transaction: timestamp, vendor category, location.</w:t>
      </w:r>
    </w:p>
    <w:p>
      <w:pPr>
        <w:pStyle w:val="style0"/>
        <w:spacing w:before="160" w:after="160"/>
        <w:rPr/>
      </w:pPr>
    </w:p>
    <w:p>
      <w:pPr>
        <w:pStyle w:val="style0"/>
        <w:spacing w:before="200" w:after="80"/>
        <w:rPr/>
      </w:pPr>
      <w:r>
        <w:rPr>
          <w:rFonts w:ascii="Arial" w:cs="Arial" w:eastAsia="Arial" w:hAnsi="Arial"/>
          <w:b/>
          <w:bCs/>
          <w:color w:val="0d1b2a"/>
          <w:sz w:val="24"/>
          <w:szCs w:val="24"/>
        </w:rPr>
        <w:t>3.3 UI/UX Design Directives</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6" w:space="0" w:color="1a6bff"/>
              <w:left w:val="single" w:sz="18" w:space="0" w:color="1a6bff"/>
              <w:bottom w:val="single" w:sz="6" w:space="0" w:color="1a6bff"/>
              <w:right w:val="single" w:sz="6" w:space="0" w:color="1a6bff"/>
            </w:tcBorders>
            <w:shd w:val="clear" w:color="auto" w:fill="ebf2ff"/>
            <w:tcMar>
              <w:top w:w="120" w:type="dxa"/>
              <w:left w:w="200" w:type="dxa"/>
              <w:bottom w:w="120" w:type="dxa"/>
              <w:right w:w="200" w:type="dxa"/>
            </w:tcMar>
          </w:tcPr>
          <w:p>
            <w:pPr>
              <w:pStyle w:val="style0"/>
              <w:spacing w:before="0" w:after="60"/>
              <w:rPr/>
            </w:pPr>
            <w:r>
              <w:rPr>
                <w:rFonts w:ascii="Arial" w:cs="Arial" w:eastAsia="Arial" w:hAnsi="Arial"/>
                <w:b/>
                <w:bCs/>
                <w:color w:val="1a6bff"/>
                <w:sz w:val="18"/>
                <w:szCs w:val="18"/>
              </w:rPr>
              <w:t>DESIGN PHILOSOPHY</w:t>
            </w:r>
          </w:p>
          <w:p>
            <w:pPr>
              <w:pStyle w:val="style0"/>
              <w:spacing w:before="0" w:after="0"/>
              <w:rPr/>
            </w:pPr>
            <w:r>
              <w:rPr>
                <w:rFonts w:ascii="Arial" w:cs="Arial" w:eastAsia="Arial" w:hAnsi="Arial"/>
                <w:color w:val="0d1b2a"/>
                <w:sz w:val="20"/>
                <w:szCs w:val="20"/>
              </w:rPr>
              <w:t>The interface must reflect the precision of an infrastructure layer, not a consumer app. Every visual decision signals system authority — not playfulness.</w:t>
            </w:r>
          </w:p>
        </w:tc>
      </w:tr>
    </w:tbl>
    <w:p>
      <w:pPr>
        <w:pStyle w:val="style0"/>
        <w:spacing w:before="120"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trPr/>
        <w:tc>
          <w:tcPr>
            <w:tcW w:w="312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Component</w:t>
            </w:r>
          </w:p>
        </w:tc>
        <w:tc>
          <w:tcPr>
            <w:tcW w:w="624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Specification</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Typography</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Clean, sans-serif grid dominance: Inter, Satoshi, or Space Grotesk. Maximum readability for financial data at all text sizes.</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Theme &amp; Palette</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Deep navy (#0D1B2A) or charcoal primary backgrounds. Glowing gradient borders for active states. Dark neon accent colors for transaction success indicators.</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Glassmorphism</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Applied exclusively to modal overlays — payment confirmation screens, vendor previews — to maintain visual context of the underlying vendor registry map.</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Layout System</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Strict structural grid. No floating or unstructured elements. Every component aligns to a modular 8px or 12px baseline grid.</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Interaction States</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Active state: gradient neon border pulse. Success state: accent glow with haptic confirmation. Error state: high-contrast red edge with explicit instruction text.</w:t>
            </w:r>
          </w:p>
        </w:tc>
      </w:tr>
    </w:tbl>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04  </w:t>
      </w:r>
      <w:r>
        <w:rPr>
          <w:rFonts w:ascii="Arial" w:cs="Arial" w:eastAsia="Arial" w:hAnsi="Arial"/>
          <w:b/>
          <w:bCs/>
          <w:color w:val="0d1b2a"/>
          <w:sz w:val="28"/>
          <w:szCs w:val="28"/>
        </w:rPr>
        <w:t>TECHNICAL ARCHITECTURE</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MVP Stack &amp; Aggregator Wallet Sub-Ledger Protocol</w:t>
      </w:r>
    </w:p>
    <w:p>
      <w:pPr>
        <w:pStyle w:val="style0"/>
        <w:spacing w:before="80" w:after="80"/>
        <w:rPr/>
      </w:pPr>
    </w:p>
    <w:p>
      <w:pPr>
        <w:pStyle w:val="style0"/>
        <w:spacing w:before="200" w:after="80"/>
        <w:rPr/>
      </w:pPr>
      <w:r>
        <w:rPr>
          <w:rFonts w:ascii="Arial" w:cs="Arial" w:eastAsia="Arial" w:hAnsi="Arial"/>
          <w:b/>
          <w:bCs/>
          <w:color w:val="0d1b2a"/>
          <w:sz w:val="24"/>
          <w:szCs w:val="24"/>
        </w:rPr>
        <w:t>4.1 Core Infrastructure Stack</w:t>
      </w:r>
    </w:p>
    <w:p>
      <w:pPr>
        <w:pStyle w:val="style0"/>
        <w:spacing w:before="40" w:after="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trPr/>
        <w:tc>
          <w:tcPr>
            <w:tcW w:w="312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Layer</w:t>
            </w:r>
          </w:p>
        </w:tc>
        <w:tc>
          <w:tcPr>
            <w:tcW w:w="624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Specification</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Frontend</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React Native / Expo — single codebase with conditional rendering based on user role (Student vs. Vendor). Enables simultaneous iOS and Android deployment from one repository.</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Backend &amp; API Layer</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Node.js with Express or NestJS for structured module boundaries. NestJS preferred for enforced module architecture as the system scales to new campus nodes.</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Database</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PostgreSQL — ACID compliance is non-negotiable for the internal wallet ledger. Every sub-ledger transfer must be transactionally atomic.</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BaaS Integration</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Bloc, Monnify, or Kuda API for virtual account provisioning and end-of-day vendor payouts. Evaluated on uptime SLA and virtual account issuance speed.</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Internal Ledger</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Closed-loop sub-ledger protocol: all campus transactions are internal balance transfers — no real-time external network call at point of sale.</w:t>
            </w:r>
          </w:p>
        </w:tc>
      </w:tr>
    </w:tbl>
    <w:p>
      <w:pPr>
        <w:pStyle w:val="style0"/>
        <w:spacing w:before="160" w:after="160"/>
        <w:rPr/>
      </w:pPr>
    </w:p>
    <w:p>
      <w:pPr>
        <w:pStyle w:val="style0"/>
        <w:spacing w:before="200" w:after="80"/>
        <w:rPr/>
      </w:pPr>
      <w:r>
        <w:rPr>
          <w:rFonts w:ascii="Arial" w:cs="Arial" w:eastAsia="Arial" w:hAnsi="Arial"/>
          <w:b/>
          <w:bCs/>
          <w:color w:val="0d1b2a"/>
          <w:sz w:val="24"/>
          <w:szCs w:val="24"/>
        </w:rPr>
        <w:t>4.2 The Aggregator Wallet Sub-Ledger Protocol</w:t>
      </w:r>
    </w:p>
    <w:p>
      <w:pPr>
        <w:pStyle w:val="style0"/>
        <w:spacing w:before="40" w:after="40"/>
        <w:rPr/>
      </w:pPr>
    </w:p>
    <w:p>
      <w:pPr>
        <w:pStyle w:val="style0"/>
        <w:spacing w:before="60" w:after="60"/>
        <w:rPr/>
      </w:pPr>
      <w:r>
        <w:rPr>
          <w:rFonts w:ascii="Arial" w:cs="Arial" w:eastAsia="Arial" w:hAnsi="Arial"/>
          <w:color w:val="3a4a5c"/>
          <w:sz w:val="20"/>
          <w:szCs w:val="20"/>
        </w:rPr>
        <w:t>The architectural insight is simple but decisive: by pre-loading student funds into a CEOS-controlled sub-ledger and settling vendor accounts via end-of-day batch, the system completely removes the dependency on NIBSS or any external payment network during the actual point-of-sale transaction. This eliminates network failure, processing latency, and inter-bank settlement delays from the checkout experience entirely.</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6" w:space="0" w:color="1a6bff"/>
              <w:left w:val="single" w:sz="18" w:space="0" w:color="1a6bff"/>
              <w:bottom w:val="single" w:sz="6" w:space="0" w:color="1a6bff"/>
              <w:right w:val="single" w:sz="6" w:space="0" w:color="1a6bff"/>
            </w:tcBorders>
            <w:shd w:val="clear" w:color="auto" w:fill="ebf2ff"/>
            <w:tcMar>
              <w:top w:w="120" w:type="dxa"/>
              <w:left w:w="200" w:type="dxa"/>
              <w:bottom w:w="120" w:type="dxa"/>
              <w:right w:w="200" w:type="dxa"/>
            </w:tcMar>
          </w:tcPr>
          <w:p>
            <w:pPr>
              <w:pStyle w:val="style0"/>
              <w:spacing w:before="0" w:after="60"/>
              <w:rPr/>
            </w:pPr>
            <w:r>
              <w:rPr>
                <w:rFonts w:ascii="Arial" w:cs="Arial" w:eastAsia="Arial" w:hAnsi="Arial"/>
                <w:b/>
                <w:bCs/>
                <w:color w:val="1a6bff"/>
                <w:sz w:val="18"/>
                <w:szCs w:val="18"/>
              </w:rPr>
              <w:t>PROTOCOL LOGIC</w:t>
            </w:r>
          </w:p>
          <w:p>
            <w:pPr>
              <w:pStyle w:val="style0"/>
              <w:spacing w:before="0" w:after="0"/>
              <w:rPr/>
            </w:pPr>
            <w:r>
              <w:rPr>
                <w:rFonts w:ascii="Arial" w:cs="Arial" w:eastAsia="Arial" w:hAnsi="Arial"/>
                <w:color w:val="0d1b2a"/>
                <w:sz w:val="20"/>
                <w:szCs w:val="20"/>
              </w:rPr>
              <w:t>Student pre-loads → Funds sit in CEOS sub-ledger → Transaction = internal balance transfer (atomic, instant) → End of day: batch payout to vendor bank account via BaaS → Students and vendors never experience an external payment failure.</w:t>
            </w:r>
          </w:p>
        </w:tc>
      </w:tr>
    </w:tbl>
    <w:p>
      <w:pPr>
        <w:pStyle w:val="style0"/>
        <w:spacing w:before="160" w:after="160"/>
        <w:rPr/>
      </w:pPr>
    </w:p>
    <w:p>
      <w:pPr>
        <w:pStyle w:val="style0"/>
        <w:spacing w:before="200" w:after="80"/>
        <w:rPr/>
      </w:pPr>
      <w:r>
        <w:rPr>
          <w:rFonts w:ascii="Arial" w:cs="Arial" w:eastAsia="Arial" w:hAnsi="Arial"/>
          <w:b/>
          <w:bCs/>
          <w:color w:val="0d1b2a"/>
          <w:sz w:val="24"/>
          <w:szCs w:val="24"/>
        </w:rPr>
        <w:t>4.3 Database Schema — Internal Ledger</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2" w:space="0" w:color="1e3a5f"/>
              <w:left w:val="single" w:sz="2" w:space="0" w:color="1e3a5f"/>
              <w:bottom w:val="single" w:sz="2" w:space="0" w:color="1e3a5f"/>
              <w:right w:val="single" w:sz="2" w:space="0" w:color="1e3a5f"/>
            </w:tcBorders>
            <w:shd w:val="clear" w:color="auto" w:fill="0d1b2a"/>
            <w:tcMar>
              <w:top w:w="160" w:type="dxa"/>
              <w:left w:w="240" w:type="dxa"/>
              <w:bottom w:w="160" w:type="dxa"/>
              <w:right w:w="240" w:type="dxa"/>
            </w:tcMar>
          </w:tcPr>
          <w:p>
            <w:pPr>
              <w:pStyle w:val="style0"/>
              <w:spacing w:before="20" w:after="20"/>
              <w:rPr/>
            </w:pPr>
            <w:r>
              <w:rPr>
                <w:rFonts w:ascii="Courier New" w:cs="Courier New" w:eastAsia="Courier New" w:hAnsi="Courier New"/>
                <w:color w:val="7ec8e3"/>
                <w:sz w:val="18"/>
                <w:szCs w:val="18"/>
              </w:rPr>
              <w:t>-- USERS</w:t>
            </w:r>
          </w:p>
          <w:p>
            <w:pPr>
              <w:pStyle w:val="style0"/>
              <w:spacing w:before="20" w:after="20"/>
              <w:rPr/>
            </w:pPr>
            <w:r>
              <w:rPr>
                <w:rFonts w:ascii="Courier New" w:cs="Courier New" w:eastAsia="Courier New" w:hAnsi="Courier New"/>
                <w:color w:val="7ec8e3"/>
                <w:sz w:val="18"/>
                <w:szCs w:val="18"/>
              </w:rPr>
              <w:t>CREATE TABLE users (</w:t>
            </w:r>
          </w:p>
          <w:p>
            <w:pPr>
              <w:pStyle w:val="style0"/>
              <w:spacing w:before="20" w:after="20"/>
              <w:rPr/>
            </w:pPr>
            <w:r>
              <w:rPr>
                <w:rFonts w:ascii="Courier New" w:cs="Courier New" w:eastAsia="Courier New" w:hAnsi="Courier New"/>
                <w:color w:val="7ec8e3"/>
                <w:sz w:val="18"/>
                <w:szCs w:val="18"/>
              </w:rPr>
              <w:t xml:space="preserve">  id                    UUID PRIMARY KEY DEFAULT gen_random_uuid(),</w:t>
            </w:r>
          </w:p>
          <w:p>
            <w:pPr>
              <w:pStyle w:val="style0"/>
              <w:spacing w:before="20" w:after="20"/>
              <w:rPr/>
            </w:pPr>
            <w:r>
              <w:rPr>
                <w:rFonts w:ascii="Courier New" w:cs="Courier New" w:eastAsia="Courier New" w:hAnsi="Courier New"/>
                <w:color w:val="7ec8e3"/>
                <w:sz w:val="18"/>
                <w:szCs w:val="18"/>
              </w:rPr>
              <w:t xml:space="preserve">  role                  ENUM('student', 'vendor') NOT NULL,</w:t>
            </w:r>
          </w:p>
          <w:p>
            <w:pPr>
              <w:pStyle w:val="style0"/>
              <w:spacing w:before="20" w:after="20"/>
              <w:rPr/>
            </w:pPr>
            <w:r>
              <w:rPr>
                <w:rFonts w:ascii="Courier New" w:cs="Courier New" w:eastAsia="Courier New" w:hAnsi="Courier New"/>
                <w:color w:val="7ec8e3"/>
                <w:sz w:val="18"/>
                <w:szCs w:val="18"/>
              </w:rPr>
              <w:t xml:space="preserve">  phone_number          VARCHAR(15) UNIQUE NOT NULL,</w:t>
            </w:r>
          </w:p>
          <w:p>
            <w:pPr>
              <w:pStyle w:val="style0"/>
              <w:spacing w:before="20" w:after="20"/>
              <w:rPr/>
            </w:pPr>
            <w:r>
              <w:rPr>
                <w:rFonts w:ascii="Courier New" w:cs="Courier New" w:eastAsia="Courier New" w:hAnsi="Courier New"/>
                <w:color w:val="7ec8e3"/>
                <w:sz w:val="18"/>
                <w:szCs w:val="18"/>
              </w:rPr>
              <w:t xml:space="preserve">  virtual_account_no    VARCHAR(20),</w:t>
            </w:r>
          </w:p>
          <w:p>
            <w:pPr>
              <w:pStyle w:val="style0"/>
              <w:spacing w:before="20" w:after="20"/>
              <w:rPr/>
            </w:pPr>
            <w:r>
              <w:rPr>
                <w:rFonts w:ascii="Courier New" w:cs="Courier New" w:eastAsia="Courier New" w:hAnsi="Courier New"/>
                <w:color w:val="7ec8e3"/>
                <w:sz w:val="18"/>
                <w:szCs w:val="18"/>
              </w:rPr>
              <w:t xml:space="preserve">  created_at            TIMESTAMP DEFAULT NOW()</w:t>
            </w:r>
          </w:p>
          <w:p>
            <w:pPr>
              <w:pStyle w:val="style0"/>
              <w:spacing w:before="20" w:after="20"/>
              <w:rPr/>
            </w:pPr>
            <w:r>
              <w:rPr>
                <w:rFonts w:ascii="Courier New" w:cs="Courier New" w:eastAsia="Courier New" w:hAnsi="Courier New"/>
                <w:color w:val="7ec8e3"/>
                <w:sz w:val="18"/>
                <w:szCs w:val="18"/>
              </w:rPr>
              <w:t>);</w:t>
            </w:r>
          </w:p>
          <w:p>
            <w:pPr>
              <w:pStyle w:val="style0"/>
              <w:spacing w:before="20" w:after="20"/>
              <w:rPr/>
            </w:pPr>
            <w:r>
              <w:rPr>
                <w:rFonts w:ascii="Courier New" w:cs="Courier New" w:eastAsia="Courier New" w:hAnsi="Courier New"/>
                <w:color w:val="7ec8e3"/>
                <w:sz w:val="18"/>
                <w:szCs w:val="18"/>
              </w:rPr>
              <w:t xml:space="preserve"> </w:t>
            </w:r>
          </w:p>
          <w:p>
            <w:pPr>
              <w:pStyle w:val="style0"/>
              <w:spacing w:before="20" w:after="20"/>
              <w:rPr/>
            </w:pPr>
            <w:r>
              <w:rPr>
                <w:rFonts w:ascii="Courier New" w:cs="Courier New" w:eastAsia="Courier New" w:hAnsi="Courier New"/>
                <w:color w:val="7ec8e3"/>
                <w:sz w:val="18"/>
                <w:szCs w:val="18"/>
              </w:rPr>
              <w:t>-- WALLETS</w:t>
            </w:r>
          </w:p>
          <w:p>
            <w:pPr>
              <w:pStyle w:val="style0"/>
              <w:spacing w:before="20" w:after="20"/>
              <w:rPr/>
            </w:pPr>
            <w:r>
              <w:rPr>
                <w:rFonts w:ascii="Courier New" w:cs="Courier New" w:eastAsia="Courier New" w:hAnsi="Courier New"/>
                <w:color w:val="7ec8e3"/>
                <w:sz w:val="18"/>
                <w:szCs w:val="18"/>
              </w:rPr>
              <w:t>CREATE TABLE wallets (</w:t>
            </w:r>
          </w:p>
          <w:p>
            <w:pPr>
              <w:pStyle w:val="style0"/>
              <w:spacing w:before="20" w:after="20"/>
              <w:rPr/>
            </w:pPr>
            <w:r>
              <w:rPr>
                <w:rFonts w:ascii="Courier New" w:cs="Courier New" w:eastAsia="Courier New" w:hAnsi="Courier New"/>
                <w:color w:val="7ec8e3"/>
                <w:sz w:val="18"/>
                <w:szCs w:val="18"/>
              </w:rPr>
              <w:t xml:space="preserve">  user_id    UUID REFERENCES users(id) ON DELETE CASCADE,</w:t>
            </w:r>
          </w:p>
          <w:p>
            <w:pPr>
              <w:pStyle w:val="style0"/>
              <w:spacing w:before="20" w:after="20"/>
              <w:rPr/>
            </w:pPr>
            <w:r>
              <w:rPr>
                <w:rFonts w:ascii="Courier New" w:cs="Courier New" w:eastAsia="Courier New" w:hAnsi="Courier New"/>
                <w:color w:val="7ec8e3"/>
                <w:sz w:val="18"/>
                <w:szCs w:val="18"/>
              </w:rPr>
              <w:t xml:space="preserve">  balance    DECIMAL(12, 2) DEFAULT 0.00 NOT NULL,</w:t>
            </w:r>
          </w:p>
          <w:p>
            <w:pPr>
              <w:pStyle w:val="style0"/>
              <w:spacing w:before="20" w:after="20"/>
              <w:rPr/>
            </w:pPr>
            <w:r>
              <w:rPr>
                <w:rFonts w:ascii="Courier New" w:cs="Courier New" w:eastAsia="Courier New" w:hAnsi="Courier New"/>
                <w:color w:val="7ec8e3"/>
                <w:sz w:val="18"/>
                <w:szCs w:val="18"/>
              </w:rPr>
              <w:t xml:space="preserve">  status     ENUM('active', 'frozen') DEFAULT 'active',</w:t>
            </w:r>
          </w:p>
          <w:p>
            <w:pPr>
              <w:pStyle w:val="style0"/>
              <w:spacing w:before="20" w:after="20"/>
              <w:rPr/>
            </w:pPr>
            <w:r>
              <w:rPr>
                <w:rFonts w:ascii="Courier New" w:cs="Courier New" w:eastAsia="Courier New" w:hAnsi="Courier New"/>
                <w:color w:val="7ec8e3"/>
                <w:sz w:val="18"/>
                <w:szCs w:val="18"/>
              </w:rPr>
              <w:t xml:space="preserve">  updated_at TIMESTAMP DEFAULT NOW()</w:t>
            </w:r>
          </w:p>
          <w:p>
            <w:pPr>
              <w:pStyle w:val="style0"/>
              <w:spacing w:before="20" w:after="20"/>
              <w:rPr/>
            </w:pPr>
            <w:r>
              <w:rPr>
                <w:rFonts w:ascii="Courier New" w:cs="Courier New" w:eastAsia="Courier New" w:hAnsi="Courier New"/>
                <w:color w:val="7ec8e3"/>
                <w:sz w:val="18"/>
                <w:szCs w:val="18"/>
              </w:rPr>
              <w:t>);</w:t>
            </w:r>
          </w:p>
          <w:p>
            <w:pPr>
              <w:pStyle w:val="style0"/>
              <w:spacing w:before="20" w:after="20"/>
              <w:rPr/>
            </w:pPr>
            <w:r>
              <w:rPr>
                <w:rFonts w:ascii="Courier New" w:cs="Courier New" w:eastAsia="Courier New" w:hAnsi="Courier New"/>
                <w:color w:val="7ec8e3"/>
                <w:sz w:val="18"/>
                <w:szCs w:val="18"/>
              </w:rPr>
              <w:t xml:space="preserve"> </w:t>
            </w:r>
          </w:p>
          <w:p>
            <w:pPr>
              <w:pStyle w:val="style0"/>
              <w:spacing w:before="20" w:after="20"/>
              <w:rPr/>
            </w:pPr>
            <w:r>
              <w:rPr>
                <w:rFonts w:ascii="Courier New" w:cs="Courier New" w:eastAsia="Courier New" w:hAnsi="Courier New"/>
                <w:color w:val="7ec8e3"/>
                <w:sz w:val="18"/>
                <w:szCs w:val="18"/>
              </w:rPr>
              <w:t>-- TRANSACTIONS (The Coordination Layer)</w:t>
            </w:r>
          </w:p>
          <w:p>
            <w:pPr>
              <w:pStyle w:val="style0"/>
              <w:spacing w:before="20" w:after="20"/>
              <w:rPr/>
            </w:pPr>
            <w:r>
              <w:rPr>
                <w:rFonts w:ascii="Courier New" w:cs="Courier New" w:eastAsia="Courier New" w:hAnsi="Courier New"/>
                <w:color w:val="7ec8e3"/>
                <w:sz w:val="18"/>
                <w:szCs w:val="18"/>
              </w:rPr>
              <w:t>CREATE TABLE transactions (</w:t>
            </w:r>
          </w:p>
          <w:p>
            <w:pPr>
              <w:pStyle w:val="style0"/>
              <w:spacing w:before="20" w:after="20"/>
              <w:rPr/>
            </w:pPr>
            <w:r>
              <w:rPr>
                <w:rFonts w:ascii="Courier New" w:cs="Courier New" w:eastAsia="Courier New" w:hAnsi="Courier New"/>
                <w:color w:val="7ec8e3"/>
                <w:sz w:val="18"/>
                <w:szCs w:val="18"/>
              </w:rPr>
              <w:t xml:space="preserve">  tx_id             UUID PRIMARY KEY DEFAULT gen_random_uuid(),</w:t>
            </w:r>
          </w:p>
          <w:p>
            <w:pPr>
              <w:pStyle w:val="style0"/>
              <w:spacing w:before="20" w:after="20"/>
              <w:rPr/>
            </w:pPr>
            <w:r>
              <w:rPr>
                <w:rFonts w:ascii="Courier New" w:cs="Courier New" w:eastAsia="Courier New" w:hAnsi="Courier New"/>
                <w:color w:val="7ec8e3"/>
                <w:sz w:val="18"/>
                <w:szCs w:val="18"/>
              </w:rPr>
              <w:t xml:space="preserve">  sender_id         UUID REFERENCES users(id),</w:t>
            </w:r>
          </w:p>
          <w:p>
            <w:pPr>
              <w:pStyle w:val="style0"/>
              <w:spacing w:before="20" w:after="20"/>
              <w:rPr/>
            </w:pPr>
            <w:r>
              <w:rPr>
                <w:rFonts w:ascii="Courier New" w:cs="Courier New" w:eastAsia="Courier New" w:hAnsi="Courier New"/>
                <w:color w:val="7ec8e3"/>
                <w:sz w:val="18"/>
                <w:szCs w:val="18"/>
              </w:rPr>
              <w:t xml:space="preserve">  receiver_id       UUID REFERENCES users(id),</w:t>
            </w:r>
          </w:p>
          <w:p>
            <w:pPr>
              <w:pStyle w:val="style0"/>
              <w:spacing w:before="20" w:after="20"/>
              <w:rPr/>
            </w:pPr>
            <w:r>
              <w:rPr>
                <w:rFonts w:ascii="Courier New" w:cs="Courier New" w:eastAsia="Courier New" w:hAnsi="Courier New"/>
                <w:color w:val="7ec8e3"/>
                <w:sz w:val="18"/>
                <w:szCs w:val="18"/>
              </w:rPr>
              <w:t xml:space="preserve">  amount            DECIMAL(12, 2) NOT NULL,</w:t>
            </w:r>
          </w:p>
          <w:p>
            <w:pPr>
              <w:pStyle w:val="style0"/>
              <w:spacing w:before="20" w:after="20"/>
              <w:rPr/>
            </w:pPr>
            <w:r>
              <w:rPr>
                <w:rFonts w:ascii="Courier New" w:cs="Courier New" w:eastAsia="Courier New" w:hAnsi="Courier New"/>
                <w:color w:val="7ec8e3"/>
                <w:sz w:val="18"/>
                <w:szCs w:val="18"/>
              </w:rPr>
              <w:t xml:space="preserve">  context_metadata  JSONB,</w:t>
            </w:r>
          </w:p>
          <w:p>
            <w:pPr>
              <w:pStyle w:val="style0"/>
              <w:spacing w:before="20" w:after="20"/>
              <w:rPr/>
            </w:pPr>
            <w:r>
              <w:rPr>
                <w:rFonts w:ascii="Courier New" w:cs="Courier New" w:eastAsia="Courier New" w:hAnsi="Courier New"/>
                <w:color w:val="7ec8e3"/>
                <w:sz w:val="18"/>
                <w:szCs w:val="18"/>
              </w:rPr>
              <w:t xml:space="preserve">  -- Stores: { location, vendor_type, items[], campus_node }</w:t>
            </w:r>
          </w:p>
          <w:p>
            <w:pPr>
              <w:pStyle w:val="style0"/>
              <w:spacing w:before="20" w:after="20"/>
              <w:rPr/>
            </w:pPr>
            <w:r>
              <w:rPr>
                <w:rFonts w:ascii="Courier New" w:cs="Courier New" w:eastAsia="Courier New" w:hAnsi="Courier New"/>
                <w:color w:val="7ec8e3"/>
                <w:sz w:val="18"/>
                <w:szCs w:val="18"/>
              </w:rPr>
              <w:t xml:space="preserve">  status            ENUM('success', 'failed', 'pending') DEFAULT 'pending',</w:t>
            </w:r>
          </w:p>
          <w:p>
            <w:pPr>
              <w:pStyle w:val="style0"/>
              <w:spacing w:before="20" w:after="20"/>
              <w:rPr/>
            </w:pPr>
            <w:r>
              <w:rPr>
                <w:rFonts w:ascii="Courier New" w:cs="Courier New" w:eastAsia="Courier New" w:hAnsi="Courier New"/>
                <w:color w:val="7ec8e3"/>
                <w:sz w:val="18"/>
                <w:szCs w:val="18"/>
              </w:rPr>
              <w:t xml:space="preserve">  timestamp         TIMESTAMP DEFAULT NOW()</w:t>
            </w:r>
          </w:p>
          <w:p>
            <w:pPr>
              <w:pStyle w:val="style0"/>
              <w:spacing w:before="20" w:after="20"/>
              <w:rPr/>
            </w:pPr>
            <w:r>
              <w:rPr>
                <w:rFonts w:ascii="Courier New" w:cs="Courier New" w:eastAsia="Courier New" w:hAnsi="Courier New"/>
                <w:color w:val="7ec8e3"/>
                <w:sz w:val="18"/>
                <w:szCs w:val="18"/>
              </w:rPr>
              <w:t>);</w:t>
            </w:r>
          </w:p>
          <w:p>
            <w:pPr>
              <w:pStyle w:val="style0"/>
              <w:spacing w:before="20" w:after="20"/>
              <w:rPr/>
            </w:pPr>
            <w:r>
              <w:rPr>
                <w:rFonts w:ascii="Courier New" w:cs="Courier New" w:eastAsia="Courier New" w:hAnsi="Courier New"/>
                <w:color w:val="7ec8e3"/>
                <w:sz w:val="18"/>
                <w:szCs w:val="18"/>
              </w:rPr>
              <w:t xml:space="preserve"> </w:t>
            </w:r>
          </w:p>
          <w:p>
            <w:pPr>
              <w:pStyle w:val="style0"/>
              <w:spacing w:before="20" w:after="20"/>
              <w:rPr/>
            </w:pPr>
            <w:r>
              <w:rPr>
                <w:rFonts w:ascii="Courier New" w:cs="Courier New" w:eastAsia="Courier New" w:hAnsi="Courier New"/>
                <w:color w:val="7ec8e3"/>
                <w:sz w:val="18"/>
                <w:szCs w:val="18"/>
              </w:rPr>
              <w:t>-- ATOMIC TRANSFER FUNCTION (Enforces ledger integrity)</w:t>
            </w:r>
          </w:p>
          <w:p>
            <w:pPr>
              <w:pStyle w:val="style0"/>
              <w:spacing w:before="20" w:after="20"/>
              <w:rPr/>
            </w:pPr>
            <w:r>
              <w:rPr>
                <w:rFonts w:ascii="Courier New" w:cs="Courier New" w:eastAsia="Courier New" w:hAnsi="Courier New"/>
                <w:color w:val="7ec8e3"/>
                <w:sz w:val="18"/>
                <w:szCs w:val="18"/>
              </w:rPr>
              <w:t>CREATE OR REPLACE FUNCTION execute_transfer(</w:t>
            </w:r>
          </w:p>
          <w:p>
            <w:pPr>
              <w:pStyle w:val="style0"/>
              <w:spacing w:before="20" w:after="20"/>
              <w:rPr/>
            </w:pPr>
            <w:r>
              <w:rPr>
                <w:rFonts w:ascii="Courier New" w:cs="Courier New" w:eastAsia="Courier New" w:hAnsi="Courier New"/>
                <w:color w:val="7ec8e3"/>
                <w:sz w:val="18"/>
                <w:szCs w:val="18"/>
              </w:rPr>
              <w:t xml:space="preserve">  p_sender UUID, p_receiver UUID, p_amount DECIMAL</w:t>
            </w:r>
          </w:p>
          <w:p>
            <w:pPr>
              <w:pStyle w:val="style0"/>
              <w:spacing w:before="20" w:after="20"/>
              <w:rPr/>
            </w:pPr>
            <w:r>
              <w:rPr>
                <w:rFonts w:ascii="Courier New" w:cs="Courier New" w:eastAsia="Courier New" w:hAnsi="Courier New"/>
                <w:color w:val="7ec8e3"/>
                <w:sz w:val="18"/>
                <w:szCs w:val="18"/>
              </w:rPr>
              <w:t>) RETURNS VOID AS $$</w:t>
            </w:r>
          </w:p>
          <w:p>
            <w:pPr>
              <w:pStyle w:val="style0"/>
              <w:spacing w:before="20" w:after="20"/>
              <w:rPr/>
            </w:pPr>
            <w:r>
              <w:rPr>
                <w:rFonts w:ascii="Courier New" w:cs="Courier New" w:eastAsia="Courier New" w:hAnsi="Courier New"/>
                <w:color w:val="7ec8e3"/>
                <w:sz w:val="18"/>
                <w:szCs w:val="18"/>
              </w:rPr>
              <w:t>BEGIN</w:t>
            </w:r>
          </w:p>
          <w:p>
            <w:pPr>
              <w:pStyle w:val="style0"/>
              <w:spacing w:before="20" w:after="20"/>
              <w:rPr/>
            </w:pPr>
            <w:r>
              <w:rPr>
                <w:rFonts w:ascii="Courier New" w:cs="Courier New" w:eastAsia="Courier New" w:hAnsi="Courier New"/>
                <w:color w:val="7ec8e3"/>
                <w:sz w:val="18"/>
                <w:szCs w:val="18"/>
              </w:rPr>
              <w:t xml:space="preserve">  UPDATE wallets SET balance = balance - p_amount</w:t>
            </w:r>
          </w:p>
          <w:p>
            <w:pPr>
              <w:pStyle w:val="style0"/>
              <w:spacing w:before="20" w:after="20"/>
              <w:rPr/>
            </w:pPr>
            <w:r>
              <w:rPr>
                <w:rFonts w:ascii="Courier New" w:cs="Courier New" w:eastAsia="Courier New" w:hAnsi="Courier New"/>
                <w:color w:val="7ec8e3"/>
                <w:sz w:val="18"/>
                <w:szCs w:val="18"/>
              </w:rPr>
              <w:t xml:space="preserve">    WHERE user_id = p_sender AND balance &gt;= p_amount;</w:t>
            </w:r>
          </w:p>
          <w:p>
            <w:pPr>
              <w:pStyle w:val="style0"/>
              <w:spacing w:before="20" w:after="20"/>
              <w:rPr/>
            </w:pPr>
            <w:r>
              <w:rPr>
                <w:rFonts w:ascii="Courier New" w:cs="Courier New" w:eastAsia="Courier New" w:hAnsi="Courier New"/>
                <w:color w:val="7ec8e3"/>
                <w:sz w:val="18"/>
                <w:szCs w:val="18"/>
              </w:rPr>
              <w:t xml:space="preserve">  IF NOT FOUND THEN</w:t>
            </w:r>
          </w:p>
          <w:p>
            <w:pPr>
              <w:pStyle w:val="style0"/>
              <w:spacing w:before="20" w:after="20"/>
              <w:rPr/>
            </w:pPr>
            <w:r>
              <w:rPr>
                <w:rFonts w:ascii="Courier New" w:cs="Courier New" w:eastAsia="Courier New" w:hAnsi="Courier New"/>
                <w:color w:val="7ec8e3"/>
                <w:sz w:val="18"/>
                <w:szCs w:val="18"/>
              </w:rPr>
              <w:t xml:space="preserve">    RAISE EXCEPTION 'Insufficient balance';</w:t>
            </w:r>
          </w:p>
          <w:p>
            <w:pPr>
              <w:pStyle w:val="style0"/>
              <w:spacing w:before="20" w:after="20"/>
              <w:rPr/>
            </w:pPr>
            <w:r>
              <w:rPr>
                <w:rFonts w:ascii="Courier New" w:cs="Courier New" w:eastAsia="Courier New" w:hAnsi="Courier New"/>
                <w:color w:val="7ec8e3"/>
                <w:sz w:val="18"/>
                <w:szCs w:val="18"/>
              </w:rPr>
              <w:t xml:space="preserve">  END IF;</w:t>
            </w:r>
          </w:p>
          <w:p>
            <w:pPr>
              <w:pStyle w:val="style0"/>
              <w:spacing w:before="20" w:after="20"/>
              <w:rPr/>
            </w:pPr>
            <w:r>
              <w:rPr>
                <w:rFonts w:ascii="Courier New" w:cs="Courier New" w:eastAsia="Courier New" w:hAnsi="Courier New"/>
                <w:color w:val="7ec8e3"/>
                <w:sz w:val="18"/>
                <w:szCs w:val="18"/>
              </w:rPr>
              <w:t xml:space="preserve">  UPDATE wallets SET balance = balance + p_amount</w:t>
            </w:r>
          </w:p>
          <w:p>
            <w:pPr>
              <w:pStyle w:val="style0"/>
              <w:spacing w:before="20" w:after="20"/>
              <w:rPr/>
            </w:pPr>
            <w:r>
              <w:rPr>
                <w:rFonts w:ascii="Courier New" w:cs="Courier New" w:eastAsia="Courier New" w:hAnsi="Courier New"/>
                <w:color w:val="7ec8e3"/>
                <w:sz w:val="18"/>
                <w:szCs w:val="18"/>
              </w:rPr>
              <w:t xml:space="preserve">    WHERE user_id = p_receiver;</w:t>
            </w:r>
          </w:p>
          <w:p>
            <w:pPr>
              <w:pStyle w:val="style0"/>
              <w:spacing w:before="20" w:after="20"/>
              <w:rPr/>
            </w:pPr>
            <w:r>
              <w:rPr>
                <w:rFonts w:ascii="Courier New" w:cs="Courier New" w:eastAsia="Courier New" w:hAnsi="Courier New"/>
                <w:color w:val="7ec8e3"/>
                <w:sz w:val="18"/>
                <w:szCs w:val="18"/>
              </w:rPr>
              <w:t>END;</w:t>
            </w:r>
          </w:p>
          <w:p>
            <w:pPr>
              <w:pStyle w:val="style0"/>
              <w:spacing w:before="20" w:after="20"/>
              <w:rPr/>
            </w:pPr>
            <w:r>
              <w:rPr>
                <w:rFonts w:ascii="Courier New" w:cs="Courier New" w:eastAsia="Courier New" w:hAnsi="Courier New"/>
                <w:color w:val="7ec8e3"/>
                <w:sz w:val="18"/>
                <w:szCs w:val="18"/>
              </w:rPr>
              <w:t>$$ LANGUAGE plpgsql;</w:t>
            </w:r>
          </w:p>
        </w:tc>
      </w:tr>
    </w:tbl>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05  </w:t>
      </w:r>
      <w:r>
        <w:rPr>
          <w:rFonts w:ascii="Arial" w:cs="Arial" w:eastAsia="Arial" w:hAnsi="Arial"/>
          <w:b/>
          <w:bCs/>
          <w:color w:val="0d1b2a"/>
          <w:sz w:val="28"/>
          <w:szCs w:val="28"/>
        </w:rPr>
        <w:t>GO-TO-MARKET STRATEGY</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Acquisition Philosophy &amp; Structural Moat</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6" w:space="0" w:color="1a6bff"/>
              <w:left w:val="single" w:sz="18" w:space="0" w:color="1a6bff"/>
              <w:bottom w:val="single" w:sz="6" w:space="0" w:color="1a6bff"/>
              <w:right w:val="single" w:sz="6" w:space="0" w:color="1a6bff"/>
            </w:tcBorders>
            <w:shd w:val="clear" w:color="auto" w:fill="ebf2ff"/>
            <w:tcMar>
              <w:top w:w="120" w:type="dxa"/>
              <w:left w:w="200" w:type="dxa"/>
              <w:bottom w:w="120" w:type="dxa"/>
              <w:right w:w="200" w:type="dxa"/>
            </w:tcMar>
          </w:tcPr>
          <w:p>
            <w:pPr>
              <w:pStyle w:val="style0"/>
              <w:spacing w:before="0" w:after="60"/>
              <w:rPr/>
            </w:pPr>
            <w:r>
              <w:rPr>
                <w:rFonts w:ascii="Arial" w:cs="Arial" w:eastAsia="Arial" w:hAnsi="Arial"/>
                <w:b/>
                <w:bCs/>
                <w:color w:val="1a6bff"/>
                <w:sz w:val="18"/>
                <w:szCs w:val="18"/>
              </w:rPr>
              <w:t>CORE GTM THESIS</w:t>
            </w:r>
          </w:p>
          <w:p>
            <w:pPr>
              <w:pStyle w:val="style0"/>
              <w:spacing w:before="0" w:after="0"/>
              <w:rPr/>
            </w:pPr>
            <w:r>
              <w:rPr>
                <w:rFonts w:ascii="Arial" w:cs="Arial" w:eastAsia="Arial" w:hAnsi="Arial"/>
                <w:color w:val="0d1b2a"/>
                <w:sz w:val="20"/>
                <w:szCs w:val="20"/>
              </w:rPr>
              <w:t>Growth is driven by local density, not digital ad spend. The objective is to map a single physical cluster with enough precision that the coordination layer becomes default campus behavior.</w:t>
            </w:r>
          </w:p>
        </w:tc>
      </w:tr>
    </w:tbl>
    <w:p>
      <w:pPr>
        <w:pStyle w:val="style0"/>
        <w:spacing w:before="160" w:after="160"/>
        <w:rPr/>
      </w:pPr>
    </w:p>
    <w:p>
      <w:pPr>
        <w:pStyle w:val="style0"/>
        <w:spacing w:before="200" w:after="80"/>
        <w:rPr/>
      </w:pPr>
      <w:r>
        <w:rPr>
          <w:rFonts w:ascii="Arial" w:cs="Arial" w:eastAsia="Arial" w:hAnsi="Arial"/>
          <w:b/>
          <w:bCs/>
          <w:color w:val="0d1b2a"/>
          <w:sz w:val="24"/>
          <w:szCs w:val="24"/>
        </w:rPr>
        <w:t>5.1 Why Density Before Distribution</w:t>
      </w:r>
    </w:p>
    <w:p>
      <w:pPr>
        <w:pStyle w:val="style0"/>
        <w:spacing w:before="60" w:after="60"/>
        <w:rPr/>
      </w:pPr>
      <w:r>
        <w:rPr>
          <w:rFonts w:ascii="Arial" w:cs="Arial" w:eastAsia="Arial" w:hAnsi="Arial"/>
          <w:color w:val="3a4a5c"/>
          <w:sz w:val="20"/>
          <w:szCs w:val="20"/>
        </w:rPr>
        <w:t>Horizontal fintech strategies optimize for user count across open environments. CEOS operates in a fundamentally different geometry: a geographically bounded cluster where every additional vendor onboarded increases the utility of the network for every existing student. This is a local network effect — not a platform network effect. The correct acquisition sequence is: map the cluster fully, not acquire users broadly.</w:t>
      </w:r>
    </w:p>
    <w:p>
      <w:pPr>
        <w:pStyle w:val="style0"/>
        <w:spacing w:before="80" w:after="80"/>
        <w:rPr/>
      </w:pPr>
    </w:p>
    <w:p>
      <w:pPr>
        <w:pStyle w:val="style0"/>
        <w:spacing w:before="60" w:after="60"/>
        <w:rPr/>
      </w:pPr>
      <w:r>
        <w:rPr>
          <w:rFonts w:ascii="Arial" w:cs="Arial" w:eastAsia="Arial" w:hAnsi="Arial"/>
          <w:color w:val="3a4a5c"/>
          <w:sz w:val="20"/>
          <w:szCs w:val="20"/>
        </w:rPr>
        <w:t>The implication is that vendor density is the primary growth lever. Every vendor onboarded is a distribution node. When the density of vendor coverage within a cluster reaches a critical threshold — where a student cannot transact with a key food or service vendor without using CEOS — the switching cost becomes behavioral, not contractual.</w:t>
      </w:r>
    </w:p>
    <w:p>
      <w:pPr>
        <w:pStyle w:val="style0"/>
        <w:spacing w:before="160" w:after="160"/>
        <w:rPr/>
      </w:pPr>
    </w:p>
    <w:p>
      <w:pPr>
        <w:pStyle w:val="style0"/>
        <w:spacing w:before="200" w:after="80"/>
        <w:rPr/>
      </w:pPr>
      <w:r>
        <w:rPr>
          <w:rFonts w:ascii="Arial" w:cs="Arial" w:eastAsia="Arial" w:hAnsi="Arial"/>
          <w:b/>
          <w:bCs/>
          <w:color w:val="0d1b2a"/>
          <w:sz w:val="24"/>
          <w:szCs w:val="24"/>
        </w:rPr>
        <w:t>5.2 B2B2C: Vendor-Driven Adoption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trPr/>
        <w:tc>
          <w:tcPr>
            <w:tcW w:w="312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Channel</w:t>
            </w:r>
          </w:p>
        </w:tc>
        <w:tc>
          <w:tcPr>
            <w:tcW w:w="6240" w:type="dxa"/>
            <w:tcBorders>
              <w:top w:val="single" w:sz="2" w:space="0" w:color="c5d5e8"/>
              <w:left w:val="single" w:sz="2" w:space="0" w:color="c5d5e8"/>
              <w:bottom w:val="single" w:sz="2" w:space="0" w:color="c5d5e8"/>
              <w:right w:val="single" w:sz="2" w:space="0" w:color="c5d5e8"/>
            </w:tcBorders>
            <w:shd w:val="clear" w:color="auto" w:fill="0d1b2a"/>
            <w:tcMar>
              <w:top w:w="100" w:type="dxa"/>
              <w:left w:w="160" w:type="dxa"/>
              <w:bottom w:w="100" w:type="dxa"/>
              <w:right w:w="160" w:type="dxa"/>
            </w:tcMar>
          </w:tcPr>
          <w:p>
            <w:pPr>
              <w:pStyle w:val="style0"/>
              <w:rPr/>
            </w:pPr>
            <w:r>
              <w:rPr>
                <w:rFonts w:ascii="Arial" w:cs="Arial" w:eastAsia="Arial" w:hAnsi="Arial"/>
                <w:b/>
                <w:bCs/>
                <w:color w:val="ffffff"/>
                <w:sz w:val="20"/>
                <w:szCs w:val="20"/>
              </w:rPr>
              <w:t>Logic</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Phase 1 Acquisition</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Direct-to-vendor outreach. Manual onboarding. Physical installation of QR standees. Vendors are acquired first — students follow.</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Vendor Value Proposition</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Digital transaction history. Settlement visibility. Structured campus discoverability. Zero hardware cost. Platform-provided QR standee.</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Student Acquisition</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Follows vendor density. Students are motivated by access to the vendors they already use — not by a fintech loyalty programme.</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Subsidy Mechanic</w:t>
            </w:r>
          </w:p>
        </w:tc>
        <w:tc>
          <w:tcPr>
            <w:tcW w:w="6240" w:type="dxa"/>
            <w:tcBorders>
              <w:top w:val="single" w:sz="2" w:space="0" w:color="c5d5e8"/>
              <w:left w:val="single" w:sz="2" w:space="0" w:color="c5d5e8"/>
              <w:bottom w:val="single" w:sz="2" w:space="0" w:color="c5d5e8"/>
              <w:right w:val="single" w:sz="2" w:space="0" w:color="c5d5e8"/>
            </w:tcBorders>
            <w:shd w:val="clear" w:color="auto" w:fill="f0f5fb"/>
            <w:tcMar>
              <w:top w:w="80" w:type="dxa"/>
              <w:left w:w="160" w:type="dxa"/>
              <w:bottom w:w="80" w:type="dxa"/>
              <w:right w:w="160" w:type="dxa"/>
            </w:tcMar>
          </w:tcPr>
          <w:p>
            <w:pPr>
              <w:pStyle w:val="style0"/>
              <w:rPr/>
            </w:pPr>
            <w:r>
              <w:rPr>
                <w:rFonts w:ascii="Arial" w:cs="Arial" w:eastAsia="Arial" w:hAnsi="Arial"/>
                <w:color w:val="3a4a5c"/>
                <w:sz w:val="19"/>
                <w:szCs w:val="19"/>
              </w:rPr>
              <w:t>5% discount on first-cycle transactions, platform-funded. Time-limited. Designed to initiate habit, not sustain it. Removed once repeat behavior is confirmed.</w:t>
            </w:r>
          </w:p>
        </w:tc>
      </w:tr>
      <w:tr>
        <w:tblPrEx/>
        <w:trPr/>
        <w:tc>
          <w:tcPr>
            <w:tcW w:w="312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Retention Driver</w:t>
            </w:r>
          </w:p>
        </w:tc>
        <w:tc>
          <w:tcPr>
            <w:tcW w:w="6240" w:type="dxa"/>
            <w:tcBorders>
              <w:top w:val="single" w:sz="2" w:space="0" w:color="c5d5e8"/>
              <w:left w:val="single" w:sz="2" w:space="0" w:color="c5d5e8"/>
              <w:bottom w:val="single" w:sz="2" w:space="0" w:color="c5d5e8"/>
              <w:right w:val="single" w:sz="2" w:space="0" w:color="c5d5e8"/>
            </w:tcBorders>
            <w:shd w:val="clear" w:color="auto" w:fill="ffffff"/>
            <w:tcMar>
              <w:top w:w="80" w:type="dxa"/>
              <w:left w:w="160" w:type="dxa"/>
              <w:bottom w:w="80" w:type="dxa"/>
              <w:right w:w="160" w:type="dxa"/>
            </w:tcMar>
          </w:tcPr>
          <w:p>
            <w:pPr>
              <w:pStyle w:val="style0"/>
              <w:rPr/>
            </w:pPr>
            <w:r>
              <w:rPr>
                <w:rFonts w:ascii="Arial" w:cs="Arial" w:eastAsia="Arial" w:hAnsi="Arial"/>
                <w:color w:val="3a4a5c"/>
                <w:sz w:val="19"/>
                <w:szCs w:val="19"/>
              </w:rPr>
              <w:t>Raw UX speed. &lt;500ms transaction confirmation removes every psychological hesitation at the point of sale. Habit replaces incentive.</w:t>
            </w:r>
          </w:p>
        </w:tc>
      </w:tr>
    </w:tbl>
    <w:p>
      <w:pPr>
        <w:pStyle w:val="style0"/>
        <w:spacing w:before="160" w:after="160"/>
        <w:rPr/>
      </w:pPr>
    </w:p>
    <w:p>
      <w:pPr>
        <w:pStyle w:val="style0"/>
        <w:spacing w:before="200" w:after="80"/>
        <w:rPr/>
      </w:pPr>
      <w:r>
        <w:rPr>
          <w:rFonts w:ascii="Arial" w:cs="Arial" w:eastAsia="Arial" w:hAnsi="Arial"/>
          <w:b/>
          <w:bCs/>
          <w:color w:val="0d1b2a"/>
          <w:sz w:val="24"/>
          <w:szCs w:val="24"/>
        </w:rPr>
        <w:t>5.3 Why Not Digital Ad Spend</w:t>
      </w:r>
    </w:p>
    <w:p>
      <w:pPr>
        <w:pStyle w:val="style0"/>
        <w:spacing w:before="60" w:after="60"/>
        <w:rPr/>
      </w:pPr>
      <w:r>
        <w:rPr>
          <w:rFonts w:ascii="Arial" w:cs="Arial" w:eastAsia="Arial" w:hAnsi="Arial"/>
          <w:color w:val="3a4a5c"/>
          <w:sz w:val="20"/>
          <w:szCs w:val="20"/>
        </w:rPr>
        <w:t>Digital advertising acquires intent but cannot build habit in a physical environment. The coordination failure in a campus micro-economy is experienced physically — at the food court counter, at the printing shop, at the gate vendor. Solving it requires physical infrastructure deployment: QR codes, vendor presence, on-site activation. Ad spend cannot install a QR standee or train a suya vendor to prompt 'scan first.' The only GTM strategy that can convert a physical coordination failure is one that operates at the physical layer.</w:t>
      </w:r>
    </w:p>
    <w:p>
      <w:pPr>
        <w:pStyle w:val="style0"/>
        <w:rPr/>
      </w:pPr>
      <w:r>
        <w:br w:type="page"/>
      </w:r>
    </w:p>
    <w:p>
      <w:pPr>
        <w:pStyle w:val="style0"/>
        <w:spacing w:before="320" w:after="320"/>
        <w:rPr/>
      </w:pPr>
    </w:p>
    <w:p>
      <w:pPr>
        <w:pStyle w:val="style0"/>
        <w:spacing w:before="0" w:after="60"/>
        <w:rPr/>
      </w:pPr>
      <w:r>
        <w:rPr>
          <w:rFonts w:ascii="Arial" w:cs="Arial" w:eastAsia="Arial" w:hAnsi="Arial"/>
          <w:b/>
          <w:bCs/>
          <w:color w:val="1a6bff"/>
          <w:sz w:val="28"/>
          <w:szCs w:val="28"/>
        </w:rPr>
        <w:t xml:space="preserve">06  </w:t>
      </w:r>
      <w:r>
        <w:rPr>
          <w:rFonts w:ascii="Arial" w:cs="Arial" w:eastAsia="Arial" w:hAnsi="Arial"/>
          <w:b/>
          <w:bCs/>
          <w:color w:val="0d1b2a"/>
          <w:sz w:val="28"/>
          <w:szCs w:val="28"/>
        </w:rPr>
        <w:t>CAMPUS ROLLOUT PLAN</w:t>
      </w:r>
    </w:p>
    <w:p>
      <w:pPr>
        <w:pStyle w:val="style0"/>
        <w:pBdr>
          <w:bottom w:val="single" w:sz="8" w:space="1" w:color="1a6bff"/>
        </w:pBdr>
        <w:spacing w:before="200" w:after="200"/>
        <w:rPr/>
      </w:pPr>
    </w:p>
    <w:p>
      <w:pPr>
        <w:pStyle w:val="style0"/>
        <w:spacing w:before="80" w:after="80"/>
        <w:rPr/>
      </w:pPr>
    </w:p>
    <w:p>
      <w:pPr>
        <w:pStyle w:val="style0"/>
        <w:spacing w:before="240" w:after="60"/>
        <w:rPr/>
      </w:pPr>
      <w:r>
        <w:rPr>
          <w:rFonts w:ascii="Arial" w:cs="Arial" w:eastAsia="Arial" w:hAnsi="Arial"/>
          <w:b/>
          <w:bCs/>
          <w:color w:val="1a6bff"/>
          <w:sz w:val="18"/>
          <w:szCs w:val="18"/>
        </w:rPr>
        <w:t>— The FUNAAB Playbook — Step-by-Step Execution</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6" w:space="0" w:color="1a6bff"/>
              <w:left w:val="single" w:sz="18" w:space="0" w:color="1a6bff"/>
              <w:bottom w:val="single" w:sz="6" w:space="0" w:color="1a6bff"/>
              <w:right w:val="single" w:sz="6" w:space="0" w:color="1a6bff"/>
            </w:tcBorders>
            <w:shd w:val="clear" w:color="auto" w:fill="ebf2ff"/>
            <w:tcMar>
              <w:top w:w="120" w:type="dxa"/>
              <w:left w:w="200" w:type="dxa"/>
              <w:bottom w:w="120" w:type="dxa"/>
              <w:right w:w="200" w:type="dxa"/>
            </w:tcMar>
          </w:tcPr>
          <w:p>
            <w:pPr>
              <w:pStyle w:val="style0"/>
              <w:spacing w:before="0" w:after="60"/>
              <w:rPr/>
            </w:pPr>
            <w:r>
              <w:rPr>
                <w:rFonts w:ascii="Arial" w:cs="Arial" w:eastAsia="Arial" w:hAnsi="Arial"/>
                <w:b/>
                <w:bCs/>
                <w:color w:val="1a6bff"/>
                <w:sz w:val="18"/>
                <w:szCs w:val="18"/>
              </w:rPr>
              <w:t>TARGET ENVIRONMENT</w:t>
            </w:r>
          </w:p>
          <w:p>
            <w:pPr>
              <w:pStyle w:val="style0"/>
              <w:spacing w:before="0" w:after="0"/>
              <w:rPr/>
            </w:pPr>
            <w:r>
              <w:rPr>
                <w:rFonts w:ascii="Arial" w:cs="Arial" w:eastAsia="Arial" w:hAnsi="Arial"/>
                <w:color w:val="0d1b2a"/>
                <w:sz w:val="20"/>
                <w:szCs w:val="20"/>
              </w:rPr>
              <w:t>The highest-density hostel food court at FUNAAB. Selection criteria: maximum simultaneous transaction frequency, minimum vendor count for full coverage (target: 15 vendors), student foot traffic density exceeding 500 unique daily visits.</w:t>
            </w:r>
          </w:p>
        </w:tc>
      </w:tr>
    </w:tbl>
    <w:p>
      <w:pPr>
        <w:pStyle w:val="style0"/>
        <w:spacing w:before="160" w:after="160"/>
        <w:rPr/>
      </w:pPr>
    </w:p>
    <w:p>
      <w:pPr>
        <w:pStyle w:val="style0"/>
        <w:spacing w:before="200" w:after="80"/>
        <w:rPr/>
      </w:pPr>
      <w:r>
        <w:rPr>
          <w:rFonts w:ascii="Arial" w:cs="Arial" w:eastAsia="Arial" w:hAnsi="Arial"/>
          <w:b/>
          <w:bCs/>
          <w:color w:val="0d1b2a"/>
          <w:sz w:val="24"/>
          <w:szCs w:val="24"/>
        </w:rPr>
        <w:t>Phase 0 — Pre-Deployment (Week 0)</w:t>
      </w:r>
    </w:p>
    <w:p>
      <w:pPr>
        <w:pStyle w:val="style0"/>
        <w:spacing w:before="40" w:after="40"/>
        <w:rPr/>
      </w:pPr>
    </w:p>
    <w:p>
      <w:pPr>
        <w:pStyle w:val="style179"/>
        <w:numPr>
          <w:ilvl w:val="0"/>
          <w:numId w:val="1"/>
        </w:numPr>
        <w:spacing w:before="40" w:after="40"/>
        <w:rPr/>
      </w:pPr>
      <w:r>
        <w:rPr>
          <w:rFonts w:ascii="Arial" w:cs="Arial" w:eastAsia="Arial" w:hAnsi="Arial"/>
          <w:color w:val="3a4a5c"/>
          <w:sz w:val="20"/>
          <w:szCs w:val="20"/>
        </w:rPr>
        <w:t>Conduct a physical audit of the target food court. Map every vendor stall, identify the 15 highest-frequency transaction points (food, printing, provisions, phone accessories).</w:t>
      </w:r>
    </w:p>
    <w:p>
      <w:pPr>
        <w:pStyle w:val="style179"/>
        <w:numPr>
          <w:ilvl w:val="0"/>
          <w:numId w:val="1"/>
        </w:numPr>
        <w:spacing w:before="40" w:after="40"/>
        <w:rPr/>
      </w:pPr>
      <w:r>
        <w:rPr>
          <w:rFonts w:ascii="Arial" w:cs="Arial" w:eastAsia="Arial" w:hAnsi="Arial"/>
          <w:color w:val="3a4a5c"/>
          <w:sz w:val="20"/>
          <w:szCs w:val="20"/>
        </w:rPr>
        <w:t>Classify vendor types: Tier 1 (daily necessity: food, water), Tier 2 (weekly necessity: printing, provisions), Tier 3 (periodic: accessories, snacks). Onboard Tier 1 vendors first.</w:t>
      </w:r>
    </w:p>
    <w:p>
      <w:pPr>
        <w:pStyle w:val="style179"/>
        <w:numPr>
          <w:ilvl w:val="0"/>
          <w:numId w:val="1"/>
        </w:numPr>
        <w:spacing w:before="40" w:after="40"/>
        <w:rPr/>
      </w:pPr>
      <w:r>
        <w:rPr>
          <w:rFonts w:ascii="Arial" w:cs="Arial" w:eastAsia="Arial" w:hAnsi="Arial"/>
          <w:color w:val="3a4a5c"/>
          <w:sz w:val="20"/>
          <w:szCs w:val="20"/>
        </w:rPr>
        <w:t>Set up BaaS integration: provision test virtual accounts via Bloc or Monnify. Validate sub-ledger atomic transfer function in staging environment.</w:t>
      </w:r>
    </w:p>
    <w:p>
      <w:pPr>
        <w:pStyle w:val="style179"/>
        <w:numPr>
          <w:ilvl w:val="0"/>
          <w:numId w:val="1"/>
        </w:numPr>
        <w:spacing w:before="40" w:after="40"/>
        <w:rPr/>
      </w:pPr>
      <w:r>
        <w:rPr>
          <w:rFonts w:ascii="Arial" w:cs="Arial" w:eastAsia="Arial" w:hAnsi="Arial"/>
          <w:color w:val="3a4a5c"/>
          <w:sz w:val="20"/>
          <w:szCs w:val="20"/>
        </w:rPr>
        <w:t>Print and laminate 15 high-quality, weather-resistant QR standees — branded with the CEOS mark and a short onboarding instruction line.</w:t>
      </w:r>
    </w:p>
    <w:p>
      <w:pPr>
        <w:pStyle w:val="style0"/>
        <w:spacing w:before="120" w:after="120"/>
        <w:rPr/>
      </w:pPr>
    </w:p>
    <w:p>
      <w:pPr>
        <w:pStyle w:val="style0"/>
        <w:spacing w:before="200" w:after="80"/>
        <w:rPr/>
      </w:pPr>
      <w:r>
        <w:rPr>
          <w:rFonts w:ascii="Arial" w:cs="Arial" w:eastAsia="Arial" w:hAnsi="Arial"/>
          <w:b/>
          <w:bCs/>
          <w:color w:val="0d1b2a"/>
          <w:sz w:val="24"/>
          <w:szCs w:val="24"/>
        </w:rPr>
        <w:t>Phase 1 — Vendor Lock-In (Week 1–2)</w:t>
      </w:r>
    </w:p>
    <w:p>
      <w:pPr>
        <w:pStyle w:val="style0"/>
        <w:spacing w:before="40" w:after="40"/>
        <w:rPr/>
      </w:pPr>
    </w:p>
    <w:p>
      <w:pPr>
        <w:pStyle w:val="style179"/>
        <w:numPr>
          <w:ilvl w:val="0"/>
          <w:numId w:val="1"/>
        </w:numPr>
        <w:spacing w:before="40" w:after="40"/>
        <w:rPr/>
      </w:pPr>
      <w:r>
        <w:rPr>
          <w:rFonts w:ascii="Arial" w:cs="Arial" w:eastAsia="Arial" w:hAnsi="Arial"/>
          <w:color w:val="3a4a5c"/>
          <w:sz w:val="20"/>
          <w:szCs w:val="20"/>
        </w:rPr>
        <w:t>Visit each Tier 1 and Tier 2 vendor in person. Frame proposition: 'We track your sales digitally, settle your money daily, and put your stall on the campus map.' No technical language.</w:t>
      </w:r>
    </w:p>
    <w:p>
      <w:pPr>
        <w:pStyle w:val="style179"/>
        <w:numPr>
          <w:ilvl w:val="0"/>
          <w:numId w:val="1"/>
        </w:numPr>
        <w:spacing w:before="40" w:after="40"/>
        <w:rPr/>
      </w:pPr>
      <w:r>
        <w:rPr>
          <w:rFonts w:ascii="Arial" w:cs="Arial" w:eastAsia="Arial" w:hAnsi="Arial"/>
          <w:color w:val="3a4a5c"/>
          <w:sz w:val="20"/>
          <w:szCs w:val="20"/>
        </w:rPr>
        <w:t>Complete vendor KYC: phone number, BaaS bank account linkage, and role provisioning in the CEOS backend.</w:t>
      </w:r>
    </w:p>
    <w:p>
      <w:pPr>
        <w:pStyle w:val="style179"/>
        <w:numPr>
          <w:ilvl w:val="0"/>
          <w:numId w:val="1"/>
        </w:numPr>
        <w:spacing w:before="40" w:after="40"/>
        <w:rPr/>
      </w:pPr>
      <w:r>
        <w:rPr>
          <w:rFonts w:ascii="Arial" w:cs="Arial" w:eastAsia="Arial" w:hAnsi="Arial"/>
          <w:color w:val="3a4a5c"/>
          <w:sz w:val="20"/>
          <w:szCs w:val="20"/>
        </w:rPr>
        <w:t>Install QR standee at each vendor point. Train vendor on: (a) how to verify incoming payment notification, (b) how to read their daily settlement report.</w:t>
      </w:r>
    </w:p>
    <w:p>
      <w:pPr>
        <w:pStyle w:val="style179"/>
        <w:numPr>
          <w:ilvl w:val="0"/>
          <w:numId w:val="1"/>
        </w:numPr>
        <w:spacing w:before="40" w:after="40"/>
        <w:rPr/>
      </w:pPr>
      <w:r>
        <w:rPr>
          <w:rFonts w:ascii="Arial" w:cs="Arial" w:eastAsia="Arial" w:hAnsi="Arial"/>
          <w:color w:val="3a4a5c"/>
          <w:sz w:val="20"/>
          <w:szCs w:val="20"/>
        </w:rPr>
        <w:t>Conduct a live test transaction at each stall before leaving. Vendor must see the notification before you leave. This is the trust moment.</w:t>
      </w:r>
    </w:p>
    <w:p>
      <w:pPr>
        <w:pStyle w:val="style179"/>
        <w:numPr>
          <w:ilvl w:val="0"/>
          <w:numId w:val="1"/>
        </w:numPr>
        <w:spacing w:before="40" w:after="40"/>
        <w:rPr/>
      </w:pPr>
      <w:r>
        <w:rPr>
          <w:rFonts w:ascii="Arial" w:cs="Arial" w:eastAsia="Arial" w:hAnsi="Arial"/>
          <w:color w:val="3a4a5c"/>
          <w:sz w:val="20"/>
          <w:szCs w:val="20"/>
        </w:rPr>
        <w:t>Target: 15 vendors fully onboarded, QR infrastructure deployed, and all stalls live on the vendor registry map by end of Week 2.</w:t>
      </w:r>
    </w:p>
    <w:p>
      <w:pPr>
        <w:pStyle w:val="style0"/>
        <w:spacing w:before="120" w:after="120"/>
        <w:rPr/>
      </w:pPr>
    </w:p>
    <w:p>
      <w:pPr>
        <w:pStyle w:val="style0"/>
        <w:spacing w:before="200" w:after="80"/>
        <w:rPr/>
      </w:pPr>
      <w:r>
        <w:rPr>
          <w:rFonts w:ascii="Arial" w:cs="Arial" w:eastAsia="Arial" w:hAnsi="Arial"/>
          <w:b/>
          <w:bCs/>
          <w:color w:val="0d1b2a"/>
          <w:sz w:val="24"/>
          <w:szCs w:val="24"/>
        </w:rPr>
        <w:t>Phase 2 — Student Liquidity Injection (Week 3–6)</w:t>
      </w:r>
    </w:p>
    <w:p>
      <w:pPr>
        <w:pStyle w:val="style0"/>
        <w:spacing w:before="40" w:after="40"/>
        <w:rPr/>
      </w:pPr>
    </w:p>
    <w:p>
      <w:pPr>
        <w:pStyle w:val="style179"/>
        <w:numPr>
          <w:ilvl w:val="0"/>
          <w:numId w:val="1"/>
        </w:numPr>
        <w:spacing w:before="40" w:after="40"/>
        <w:rPr/>
      </w:pPr>
      <w:r>
        <w:rPr>
          <w:rFonts w:ascii="Arial" w:cs="Arial" w:eastAsia="Arial" w:hAnsi="Arial"/>
          <w:color w:val="3a4a5c"/>
          <w:sz w:val="20"/>
          <w:szCs w:val="20"/>
        </w:rPr>
        <w:t>Activate on-ground student acquisition: position at hostel gates, lecture hall exits, and the food court entrance during peak hours (12pm–2pm, 6pm–8pm).</w:t>
      </w:r>
    </w:p>
    <w:p>
      <w:pPr>
        <w:pStyle w:val="style179"/>
        <w:numPr>
          <w:ilvl w:val="0"/>
          <w:numId w:val="1"/>
        </w:numPr>
        <w:spacing w:before="40" w:after="40"/>
        <w:rPr/>
      </w:pPr>
      <w:r>
        <w:rPr>
          <w:rFonts w:ascii="Arial" w:cs="Arial" w:eastAsia="Arial" w:hAnsi="Arial"/>
          <w:color w:val="3a4a5c"/>
          <w:sz w:val="20"/>
          <w:szCs w:val="20"/>
        </w:rPr>
        <w:t>Demo the app live. Show the scan → confirm → &lt;500ms sequence in real time. The speed is the pitch.</w:t>
      </w:r>
    </w:p>
    <w:p>
      <w:pPr>
        <w:pStyle w:val="style179"/>
        <w:numPr>
          <w:ilvl w:val="0"/>
          <w:numId w:val="1"/>
        </w:numPr>
        <w:spacing w:before="40" w:after="40"/>
        <w:rPr/>
      </w:pPr>
      <w:r>
        <w:rPr>
          <w:rFonts w:ascii="Arial" w:cs="Arial" w:eastAsia="Arial" w:hAnsi="Arial"/>
          <w:color w:val="3a4a5c"/>
          <w:sz w:val="20"/>
          <w:szCs w:val="20"/>
        </w:rPr>
        <w:t>First 500 students who load a Campus Balance and complete a transaction receive a 5% subsidy on that transaction — automatically applied, no codes, no friction.</w:t>
      </w:r>
    </w:p>
    <w:p>
      <w:pPr>
        <w:pStyle w:val="style179"/>
        <w:numPr>
          <w:ilvl w:val="0"/>
          <w:numId w:val="1"/>
        </w:numPr>
        <w:spacing w:before="40" w:after="40"/>
        <w:rPr/>
      </w:pPr>
      <w:r>
        <w:rPr>
          <w:rFonts w:ascii="Arial" w:cs="Arial" w:eastAsia="Arial" w:hAnsi="Arial"/>
          <w:color w:val="3a4a5c"/>
          <w:sz w:val="20"/>
          <w:szCs w:val="20"/>
        </w:rPr>
        <w:t>Target acquisition rate: 80–100 students per day during activation week. 500-student threshold should be reached by end of Week 4.</w:t>
      </w:r>
    </w:p>
    <w:p>
      <w:pPr>
        <w:pStyle w:val="style179"/>
        <w:numPr>
          <w:ilvl w:val="0"/>
          <w:numId w:val="1"/>
        </w:numPr>
        <w:spacing w:before="40" w:after="40"/>
        <w:rPr/>
      </w:pPr>
      <w:r>
        <w:rPr>
          <w:rFonts w:ascii="Arial" w:cs="Arial" w:eastAsia="Arial" w:hAnsi="Arial"/>
          <w:color w:val="3a4a5c"/>
          <w:sz w:val="20"/>
          <w:szCs w:val="20"/>
        </w:rPr>
        <w:t>Track onboarding source (which vendor stall drove the first scan) to understand which vendor relationships generate the highest student acquisition rate.</w:t>
      </w:r>
    </w:p>
    <w:p>
      <w:pPr>
        <w:pStyle w:val="style0"/>
        <w:spacing w:before="120" w:after="120"/>
        <w:rPr/>
      </w:pPr>
    </w:p>
    <w:p>
      <w:pPr>
        <w:pStyle w:val="style0"/>
        <w:spacing w:before="200" w:after="80"/>
        <w:rPr/>
      </w:pPr>
      <w:r>
        <w:rPr>
          <w:rFonts w:ascii="Arial" w:cs="Arial" w:eastAsia="Arial" w:hAnsi="Arial"/>
          <w:b/>
          <w:bCs/>
          <w:color w:val="0d1b2a"/>
          <w:sz w:val="24"/>
          <w:szCs w:val="24"/>
        </w:rPr>
        <w:t>Phase 3 — Observe &amp; Reinforce (Week 7–12)</w:t>
      </w:r>
    </w:p>
    <w:p>
      <w:pPr>
        <w:pStyle w:val="style0"/>
        <w:spacing w:before="40" w:after="40"/>
        <w:rPr/>
      </w:pPr>
    </w:p>
    <w:p>
      <w:pPr>
        <w:pStyle w:val="style179"/>
        <w:numPr>
          <w:ilvl w:val="0"/>
          <w:numId w:val="1"/>
        </w:numPr>
        <w:spacing w:before="40" w:after="40"/>
        <w:rPr/>
      </w:pPr>
      <w:r>
        <w:rPr>
          <w:rFonts w:ascii="Arial" w:cs="Arial" w:eastAsia="Arial" w:hAnsi="Arial"/>
          <w:color w:val="3a4a5c"/>
          <w:sz w:val="20"/>
          <w:szCs w:val="20"/>
        </w:rPr>
        <w:t>Remove subsidy at the start of Week 7. Do not announce removal proactively. Observe transaction volume change within 48 hours.</w:t>
      </w:r>
    </w:p>
    <w:p>
      <w:pPr>
        <w:pStyle w:val="style179"/>
        <w:numPr>
          <w:ilvl w:val="0"/>
          <w:numId w:val="1"/>
        </w:numPr>
        <w:spacing w:before="40" w:after="40"/>
        <w:rPr/>
      </w:pPr>
      <w:r>
        <w:rPr>
          <w:rFonts w:ascii="Arial" w:cs="Arial" w:eastAsia="Arial" w:hAnsi="Arial"/>
          <w:color w:val="3a4a5c"/>
          <w:sz w:val="20"/>
          <w:szCs w:val="20"/>
        </w:rPr>
        <w:t>Monitor transaction metadata: repeat usage rate, average transaction frequency per student per week, peak transaction windows, and vendor-level volume distribution.</w:t>
      </w:r>
    </w:p>
    <w:p>
      <w:pPr>
        <w:pStyle w:val="style179"/>
        <w:numPr>
          <w:ilvl w:val="0"/>
          <w:numId w:val="1"/>
        </w:numPr>
        <w:spacing w:before="40" w:after="40"/>
        <w:rPr/>
      </w:pPr>
      <w:r>
        <w:rPr>
          <w:rFonts w:ascii="Arial" w:cs="Arial" w:eastAsia="Arial" w:hAnsi="Arial"/>
          <w:color w:val="3a4a5c"/>
          <w:sz w:val="20"/>
          <w:szCs w:val="20"/>
        </w:rPr>
        <w:t>Identify the top 3 vendors by transaction volume — these are your density anchors. Protect their reliability above all others.</w:t>
      </w:r>
    </w:p>
    <w:p>
      <w:pPr>
        <w:pStyle w:val="style179"/>
        <w:numPr>
          <w:ilvl w:val="0"/>
          <w:numId w:val="1"/>
        </w:numPr>
        <w:spacing w:before="40" w:after="40"/>
        <w:rPr/>
      </w:pPr>
      <w:r>
        <w:rPr>
          <w:rFonts w:ascii="Arial" w:cs="Arial" w:eastAsia="Arial" w:hAnsi="Arial"/>
          <w:color w:val="3a4a5c"/>
          <w:sz w:val="20"/>
          <w:szCs w:val="20"/>
        </w:rPr>
        <w:t>Identify students with zero transactions post-subsidy removal — re-engage with a direct notification highlighting the two vendors they used most. Do not offer another subsidy.</w:t>
      </w:r>
    </w:p>
    <w:p>
      <w:pPr>
        <w:pStyle w:val="style179"/>
        <w:numPr>
          <w:ilvl w:val="0"/>
          <w:numId w:val="1"/>
        </w:numPr>
        <w:spacing w:before="40" w:after="40"/>
        <w:rPr/>
      </w:pPr>
      <w:r>
        <w:rPr>
          <w:rFonts w:ascii="Arial" w:cs="Arial" w:eastAsia="Arial" w:hAnsi="Arial"/>
          <w:color w:val="3a4a5c"/>
          <w:sz w:val="20"/>
          <w:szCs w:val="20"/>
        </w:rPr>
        <w:t>At Week 12: compile first Economic Map output — a structured report on the FUNAAB food court transaction graph. This is the proof-of-concept deliverable for investor reporting and campus expansion conversations.</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6" w:space="0" w:color="1a6bff"/>
              <w:left w:val="single" w:sz="18" w:space="0" w:color="1a6bff"/>
              <w:bottom w:val="single" w:sz="6" w:space="0" w:color="1a6bff"/>
              <w:right w:val="single" w:sz="6" w:space="0" w:color="1a6bff"/>
            </w:tcBorders>
            <w:shd w:val="clear" w:color="auto" w:fill="ebf2ff"/>
            <w:tcMar>
              <w:top w:w="120" w:type="dxa"/>
              <w:left w:w="200" w:type="dxa"/>
              <w:bottom w:w="120" w:type="dxa"/>
              <w:right w:w="200" w:type="dxa"/>
            </w:tcMar>
          </w:tcPr>
          <w:p>
            <w:pPr>
              <w:pStyle w:val="style0"/>
              <w:spacing w:before="0" w:after="60"/>
              <w:rPr/>
            </w:pPr>
            <w:r>
              <w:rPr>
                <w:rFonts w:ascii="Arial" w:cs="Arial" w:eastAsia="Arial" w:hAnsi="Arial"/>
                <w:b/>
                <w:bCs/>
                <w:color w:val="1a6bff"/>
                <w:sz w:val="18"/>
                <w:szCs w:val="18"/>
              </w:rPr>
              <w:t>DEFINITION OF SUCCESS AT WEEK 12</w:t>
            </w:r>
          </w:p>
          <w:p>
            <w:pPr>
              <w:pStyle w:val="style0"/>
              <w:spacing w:before="0" w:after="0"/>
              <w:rPr/>
            </w:pPr>
            <w:r>
              <w:rPr>
                <w:rFonts w:ascii="Arial" w:cs="Arial" w:eastAsia="Arial" w:hAnsi="Arial"/>
                <w:color w:val="0d1b2a"/>
                <w:sz w:val="20"/>
                <w:szCs w:val="20"/>
              </w:rPr>
              <w:t>A self-sustaining transaction cluster with &gt;60% weekly retention among the initial 500 students, zero dependency on subsidies, and a vendor-confirmed preference for CEOS over cash collection. The coordination layer has become default behavior.</w:t>
            </w:r>
          </w:p>
        </w:tc>
      </w:tr>
    </w:tbl>
    <w:p>
      <w:pPr>
        <w:pStyle w:val="style0"/>
        <w:rPr/>
      </w:pPr>
    </w:p>
    <w:sectPr>
      <w:pgSz w:w="12240" w:h="15840" w:orient="portrait"/>
      <w:pgMar w:top="1080" w:right="1260" w:bottom="108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3a4a5c"/>
        <w:sz w:val="20"/>
        <w:szCs w:val="20"/>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40" w:after="120"/>
      <w:outlineLvl w:val="0"/>
    </w:pPr>
    <w:rPr>
      <w:rFonts w:ascii="Arial" w:cs="Arial" w:eastAsia="Arial" w:hAnsi="Arial"/>
      <w:b/>
      <w:bCs/>
      <w:color w:val="0d1b2a"/>
      <w:sz w:val="32"/>
      <w:szCs w:val="32"/>
    </w:rPr>
  </w:style>
  <w:style w:type="paragraph" w:customStyle="1" w:styleId="style4107">
    <w:name w:val="Heading 2"/>
    <w:next w:val="style4107"/>
    <w:qFormat/>
    <w:pPr>
      <w:spacing w:before="200" w:after="80"/>
      <w:outlineLvl w:val="1"/>
    </w:pPr>
    <w:rPr>
      <w:rFonts w:ascii="Arial" w:cs="Arial" w:eastAsia="Arial" w:hAnsi="Arial"/>
      <w:b/>
      <w:bCs/>
      <w:color w:val="0d1b2a"/>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cfe93a24-6201-44a8-a637-b7cb1b5fc630"/>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11</TotalTime>
  <Words>2592</Words>
  <Characters>15503</Characters>
  <Application>WPS Office</Application>
  <Paragraphs>325</Paragraphs>
  <CharactersWithSpaces>18179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2026-04-27T22:20:42Z</dcterms:created>
  <dc:creator>Un-named</dc:creator>
  <lastModifiedBy>2409BRN2CA</lastModifiedBy>
  <dcterms:modified xsi:type="dcterms:W3CDTF">2026-04-27T22:20:42Z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f6468b315f224c29846390bd59ba7d2f</vt:lpwstr>
  </property>
</Properties>
</file>