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527A26"/>
          <w:sz w:val="18"/>
        </w:rPr>
        <w:t>EDITOR-READY RUN OF SHOW</w:t>
      </w:r>
    </w:p>
    <w:p>
      <w:pPr>
        <w:spacing w:after="120"/>
      </w:pPr>
      <w:r>
        <w:rPr>
          <w:rFonts w:ascii="Arial" w:hAnsi="Arial"/>
          <w:b/>
          <w:color w:val="102018"/>
          <w:sz w:val="56"/>
        </w:rPr>
        <w:t>DeltaZero Demo Video Script</w:t>
      </w:r>
    </w:p>
    <w:p>
      <w:pPr>
        <w:spacing w:after="280"/>
      </w:pPr>
      <w:r>
        <w:rPr>
          <w:rFonts w:ascii="Arial" w:hAnsi="Arial"/>
          <w:color w:val="66736B"/>
          <w:sz w:val="28"/>
        </w:rPr>
        <w:t>A 100-second product walkthrough for the OKX.AI hackathon - updated production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53"/>
            <w:tcMar>
              <w:top w:w="120" w:type="dxa"/>
              <w:start w:w="140" w:type="dxa"/>
              <w:bottom w:w="120" w:type="dxa"/>
              <w:end w:w="140" w:type="dxa"/>
            </w:tcMar>
            <w:shd w:fill="EEF5F0"/>
          </w:tcPr>
          <w:p>
            <w:pPr>
              <w:spacing w:after="40"/>
            </w:pPr>
            <w:r>
              <w:rPr>
                <w:b/>
                <w:color w:val="527A26"/>
                <w:sz w:val="15"/>
              </w:rPr>
              <w:t>TARGET LENGTH</w:t>
            </w:r>
          </w:p>
          <w:p>
            <w:pPr>
              <w:spacing w:after="0"/>
            </w:pPr>
            <w:r>
              <w:rPr>
                <w:b/>
                <w:sz w:val="19"/>
              </w:rPr>
              <w:t>90-110 seconds</w:t>
            </w:r>
          </w:p>
        </w:tc>
        <w:tc>
          <w:tcPr>
            <w:tcW w:type="dxa" w:w="3053"/>
            <w:tcMar>
              <w:top w:w="120" w:type="dxa"/>
              <w:start w:w="140" w:type="dxa"/>
              <w:bottom w:w="120" w:type="dxa"/>
              <w:end w:w="140" w:type="dxa"/>
            </w:tcMar>
            <w:shd w:fill="F7FAF8"/>
          </w:tcPr>
          <w:p>
            <w:pPr>
              <w:spacing w:after="40"/>
            </w:pPr>
            <w:r>
              <w:rPr>
                <w:b/>
                <w:color w:val="527A26"/>
                <w:sz w:val="15"/>
              </w:rPr>
              <w:t>FORMAT</w:t>
            </w:r>
          </w:p>
          <w:p>
            <w:pPr>
              <w:spacing w:after="0"/>
            </w:pPr>
            <w:r>
              <w:rPr>
                <w:b/>
                <w:sz w:val="19"/>
              </w:rPr>
              <w:t>16:9, 1080p MP4</w:t>
            </w:r>
          </w:p>
        </w:tc>
        <w:tc>
          <w:tcPr>
            <w:tcW w:type="dxa" w:w="3053"/>
            <w:tcMar>
              <w:top w:w="120" w:type="dxa"/>
              <w:start w:w="140" w:type="dxa"/>
              <w:bottom w:w="120" w:type="dxa"/>
              <w:end w:w="140" w:type="dxa"/>
            </w:tcMar>
            <w:shd w:fill="EEF5F0"/>
          </w:tcPr>
          <w:p>
            <w:pPr>
              <w:spacing w:after="40"/>
            </w:pPr>
            <w:r>
              <w:rPr>
                <w:b/>
                <w:color w:val="527A26"/>
                <w:sz w:val="15"/>
              </w:rPr>
              <w:t>TONE</w:t>
            </w:r>
          </w:p>
          <w:p>
            <w:pPr>
              <w:spacing w:after="0"/>
            </w:pPr>
            <w:r>
              <w:rPr>
                <w:b/>
                <w:sz w:val="19"/>
              </w:rPr>
              <w:t>Institutional, calm, precise</w:t>
            </w:r>
          </w:p>
        </w:tc>
      </w:tr>
      <w:tr>
        <w:tc>
          <w:tcPr>
            <w:tcW w:type="dxa" w:w="3053"/>
            <w:tcMar>
              <w:top w:w="120" w:type="dxa"/>
              <w:start w:w="140" w:type="dxa"/>
              <w:bottom w:w="120" w:type="dxa"/>
              <w:end w:w="140" w:type="dxa"/>
            </w:tcMar>
            <w:shd w:fill="F7FAF8"/>
          </w:tcPr>
          <w:p>
            <w:pPr>
              <w:spacing w:after="40"/>
            </w:pPr>
            <w:r>
              <w:rPr>
                <w:b/>
                <w:color w:val="527A26"/>
                <w:sz w:val="15"/>
              </w:rPr>
              <w:t>PRIMARY URL</w:t>
            </w:r>
          </w:p>
          <w:p>
            <w:pPr>
              <w:spacing w:after="0"/>
            </w:pPr>
            <w:r>
              <w:rPr>
                <w:b/>
                <w:sz w:val="19"/>
              </w:rPr>
              <w:t>delta-zero-alpha.vercel.app</w:t>
            </w:r>
          </w:p>
        </w:tc>
        <w:tc>
          <w:tcPr>
            <w:tcW w:type="dxa" w:w="3053"/>
            <w:tcMar>
              <w:top w:w="120" w:type="dxa"/>
              <w:start w:w="140" w:type="dxa"/>
              <w:bottom w:w="120" w:type="dxa"/>
              <w:end w:w="140" w:type="dxa"/>
            </w:tcMar>
            <w:shd w:fill="EEF5F0"/>
          </w:tcPr>
          <w:p>
            <w:pPr>
              <w:spacing w:after="40"/>
            </w:pPr>
            <w:r>
              <w:rPr>
                <w:b/>
                <w:color w:val="527A26"/>
                <w:sz w:val="15"/>
              </w:rPr>
              <w:t>LIVE PRICE</w:t>
            </w:r>
          </w:p>
          <w:p>
            <w:pPr>
              <w:spacing w:after="0"/>
            </w:pPr>
            <w:r>
              <w:rPr>
                <w:b/>
                <w:sz w:val="19"/>
              </w:rPr>
              <w:t>1 USDT per paid call</w:t>
            </w:r>
          </w:p>
        </w:tc>
        <w:tc>
          <w:tcPr>
            <w:tcW w:type="dxa" w:w="3053"/>
            <w:tcMar>
              <w:top w:w="120" w:type="dxa"/>
              <w:start w:w="140" w:type="dxa"/>
              <w:bottom w:w="120" w:type="dxa"/>
              <w:end w:w="140" w:type="dxa"/>
            </w:tcMar>
            <w:shd w:fill="F7FAF8"/>
          </w:tcPr>
          <w:p>
            <w:pPr>
              <w:spacing w:after="40"/>
            </w:pPr>
            <w:r>
              <w:rPr>
                <w:b/>
                <w:color w:val="527A26"/>
                <w:sz w:val="15"/>
              </w:rPr>
              <w:t>AGENT</w:t>
            </w:r>
          </w:p>
          <w:p>
            <w:pPr>
              <w:spacing w:after="0"/>
            </w:pPr>
            <w:r>
              <w:rPr>
                <w:b/>
                <w:sz w:val="19"/>
              </w:rPr>
              <w:t>OKX Agent #5739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tcMar>
              <w:top w:w="150" w:type="dxa"/>
              <w:start w:w="180" w:type="dxa"/>
              <w:bottom w:w="150" w:type="dxa"/>
              <w:end w:w="180" w:type="dxa"/>
            </w:tcMar>
            <w:shd w:fill="EEF5F0"/>
          </w:tcPr>
          <w:p>
            <w:pPr>
              <w:spacing w:after="60"/>
            </w:pPr>
            <w:r>
              <w:rPr>
                <w:b/>
                <w:color w:val="527A26"/>
                <w:sz w:val="18"/>
              </w:rPr>
              <w:t>CORE STORY</w:t>
            </w:r>
          </w:p>
          <w:p>
            <w:pPr>
              <w:spacing w:after="0" w:line="276" w:lineRule="auto"/>
            </w:pPr>
            <w:r>
              <w:t>DeltaZero converts complex pseudo-delta-neutral risk into deterministic operator decisions, then proves monetization through a real OKX x402 payment and an independently verifiable on-chain receipt.</w:t>
            </w:r>
          </w:p>
        </w:tc>
      </w:tr>
    </w:tbl>
    <w:p>
      <w:pPr>
        <w:pStyle w:val="Heading1"/>
      </w:pPr>
      <w:r>
        <w:t>What the finished video must prove</w:t>
      </w:r>
    </w:p>
    <w:p>
      <w:pPr>
        <w:pStyle w:val="ListBullet"/>
      </w:pPr>
      <w:r>
        <w:t>The product works end to end, not just as a collection of screens.</w:t>
      </w:r>
    </w:p>
    <w:p>
      <w:pPr>
        <w:pStyle w:val="ListBullet"/>
      </w:pPr>
      <w:r>
        <w:t>The free Judge Demo explains value before asking the reviewer to fund a wallet.</w:t>
      </w:r>
    </w:p>
    <w:p>
      <w:pPr>
        <w:pStyle w:val="ListBullet"/>
      </w:pPr>
      <w:r>
        <w:t>The live Risk Engine protects paid calculations behind a 1 USDT OKX x402 boundary.</w:t>
      </w:r>
    </w:p>
    <w:p>
      <w:pPr>
        <w:pStyle w:val="ListBullet"/>
      </w:pPr>
      <w:r>
        <w:t>A completed payment produces a real X Layer transaction hash and receipt evidence.</w:t>
      </w:r>
    </w:p>
    <w:p>
      <w:pPr>
        <w:pStyle w:val="ListBullet"/>
      </w:pPr>
      <w:r>
        <w:t>DeltaZero is read-only decision support: no custody, approvals, signatures, or automatic trade execution.</w:t>
      </w:r>
    </w:p>
    <w:p>
      <w:pPr>
        <w:pStyle w:val="Heading1"/>
      </w:pPr>
      <w:r>
        <w:t>Recording preparation</w:t>
      </w:r>
    </w:p>
    <w:p>
      <w:pPr>
        <w:pStyle w:val="ListBullet"/>
      </w:pPr>
      <w:r>
        <w:t>Use Chrome at 1440 x 900 or 1920 x 1080. Set browser zoom to 100% and use dark mode.</w:t>
      </w:r>
    </w:p>
    <w:p>
      <w:pPr>
        <w:pStyle w:val="ListBullet"/>
      </w:pPr>
      <w:r>
        <w:t>Close unrelated tabs, notifications, password managers, email, developer consoles, and terminal windows.</w:t>
      </w:r>
    </w:p>
    <w:p>
      <w:pPr>
        <w:pStyle w:val="ListBullet"/>
      </w:pPr>
      <w:r>
        <w:t>Never show API credentials, admin keys, seed phrases, private wallet information, Railway variables, or browser autofill suggestions.</w:t>
      </w:r>
    </w:p>
    <w:p>
      <w:pPr>
        <w:pStyle w:val="ListBullet"/>
      </w:pPr>
      <w:r>
        <w:t>Prepare an OKX Wallet funded on X Layer with at least 1 USD₮0 plus enough OKB for gas.</w:t>
      </w:r>
    </w:p>
    <w:p>
      <w:pPr>
        <w:pStyle w:val="ListBullet"/>
      </w:pPr>
      <w:r>
        <w:t>Open these tabs in advance: Homepage, Judge Demo, Risk Engine, Agent Console, Hyperliquid Live, the production MCP endpoint, and the X Layer transaction explorer.</w:t>
      </w:r>
    </w:p>
    <w:p>
      <w:pPr>
        <w:pStyle w:val="ListBullet"/>
      </w:pPr>
      <w:r>
        <w:t>Use one stable reference scenario: SOL, 5,000 USD capital, medium risk, 14% long yield, 3% short funding, and 1% fee drag.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527A26"/>
          <w:sz w:val="18"/>
        </w:rPr>
        <w:t>RUN OF SHOW</w:t>
      </w:r>
    </w:p>
    <w:p>
      <w:pPr>
        <w:spacing w:after="120"/>
      </w:pPr>
      <w:r>
        <w:rPr>
          <w:rFonts w:ascii="Arial" w:hAnsi="Arial"/>
          <w:b/>
          <w:color w:val="102018"/>
          <w:sz w:val="46"/>
        </w:rPr>
        <w:t>Shot-by-Shot 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10201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Shot</w:t>
            </w:r>
          </w:p>
        </w:tc>
        <w:tc>
          <w:tcPr>
            <w:tcW w:type="dxa" w:w="1123"/>
            <w:shd w:fill="10201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40"/>
            <w:shd w:fill="10201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Screen action</w:t>
            </w:r>
          </w:p>
        </w:tc>
        <w:tc>
          <w:tcPr>
            <w:tcW w:type="dxa" w:w="3989"/>
            <w:shd w:fill="10201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Voiceover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01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0:00-0:07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Homepage. Hold on the headline, then move toward Judge Demo.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DeltaZero is deterministic DeFi risk intelligence for agents and users running pseudo-delta-neutral strategies.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02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0:07-0:18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Open Judge Demo. Show the four reference workflows and one verdict. Keep the 'No payment required' label visible.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The free Judge Demo explains the workflow through verified reference scenarios: strategy construction, hedge-drift auditing, funding stress testing, and Monte Carlo sensitivity.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03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0:18-0:27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Return to the homepage and open Launch Risk Engine. Show all four service cards.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For live inputs, DeltaZero's Risk Engine applies transparent formulas and produces a clear operator verdict, Safety Buffer, and risk zone.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04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0:27-0:40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Select Strategy Build. Enter the prepared SOL assumptions and submit. Pause on the 1 USDT payment screen.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Live calculations are protected by OKX x402. One paid call costs one USDT and returns a verifiable payment challenge before analysis runs.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05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0:40-0:55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Connect OKX Wallet, review network/asset/receiver, approve payment, and wait for the result. Do not cut away during the confirmation state.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The user reviews the X Layer payment, authorizes it in their own wallet, and the protected endpoint verifies settlement before returning the analysis.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06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0:55-1:08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Show the completed DeltaZero Verdict, allocation, net carry, hedge drift, Safety Buffer, and operator action.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The result is deterministic decision support. DeltaZero does not invent financial numbers and never requests custody or trade execution.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07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1:08-1:20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Open the On-chain Payment Receipt panel. Show status, transaction hash, payer, receiver, amount, asset, block, and verified transfer event.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Every successful payment produces evidence: the transaction hash, payer, receiver, asset, amount, block number, and verified token transfer event.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08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1:20-1:29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Click View on OKLink, then return. Briefly show Copy receipt and Download JSON.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The receipt can be checked independently on the X Layer explorer or exported as raw JSON for audit and automation.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09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1:29-1:38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Open Agent Console from the header. Show the monitoring state, drift detection, and deterministic execution payload without claiming a real trade executed.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Agents can discover DeltaZero tools through the live MCP endpoint, read free Hyperliquid context, and unlock premium deterministic risk calls through x402. Execution remains controlled by the operator.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10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1:38-1:47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r>
              <w:t>Next open Hyperliquid Live and briefly show the free SOL market context, timestamp, funding, volume, and open interest. Then return to the homepage.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Free Hyperliquid context complements the premium Risk Engine, helping users inspect current conditions before running paid analysis.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527A26"/>
                <w:sz w:val="17"/>
              </w:rPr>
              <w:t>11</w:t>
            </w:r>
          </w:p>
        </w:tc>
        <w:tc>
          <w:tcPr>
            <w:tcW w:type="dxa" w:w="1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1:47-1:52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End on the homepage headline and logo.</w:t>
            </w:r>
          </w:p>
        </w:tc>
        <w:tc>
          <w:tcPr>
            <w:tcW w:type="dxa" w:w="3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DeltaZero. Know your hedge. Protect your capital.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527A26"/>
          <w:sz w:val="18"/>
        </w:rPr>
        <w:t>NARRATION</w:t>
      </w:r>
    </w:p>
    <w:p>
      <w:pPr>
        <w:spacing w:after="120"/>
      </w:pPr>
      <w:r>
        <w:rPr>
          <w:rFonts w:ascii="Arial" w:hAnsi="Arial"/>
          <w:b/>
          <w:color w:val="102018"/>
          <w:sz w:val="46"/>
        </w:rPr>
        <w:t>Clean Voiceover Script</w:t>
      </w:r>
    </w:p>
    <w:p>
      <w:pPr>
        <w:spacing w:after="160" w:line="300" w:lineRule="auto"/>
      </w:pPr>
      <w:r>
        <w:t>DeltaZero is deterministic DeFi risk intelligence for agents and users running pseudo-delta-neutral strategies.</w:t>
      </w:r>
    </w:p>
    <w:p>
      <w:pPr>
        <w:spacing w:after="160" w:line="300" w:lineRule="auto"/>
      </w:pPr>
      <w:r>
        <w:t>The free Judge Demo explains the workflow through verified reference scenarios: strategy construction, hedge-drift auditing, funding stress testing, and Monte Carlo sensitivity.</w:t>
      </w:r>
    </w:p>
    <w:p>
      <w:pPr>
        <w:spacing w:after="160" w:line="300" w:lineRule="auto"/>
      </w:pPr>
      <w:r>
        <w:t>For live inputs, DeltaZero's Risk Engine applies transparent formulas and produces a clear operator verdict, Safety Buffer, and risk zone.</w:t>
      </w:r>
    </w:p>
    <w:p>
      <w:pPr>
        <w:spacing w:after="160" w:line="300" w:lineRule="auto"/>
      </w:pPr>
      <w:r>
        <w:t>Live calculations are protected by OKX x402. One paid call costs one USDT and returns a verifiable payment challenge before analysis runs.</w:t>
      </w:r>
    </w:p>
    <w:p>
      <w:pPr>
        <w:spacing w:after="160" w:line="300" w:lineRule="auto"/>
      </w:pPr>
      <w:r>
        <w:t>The user reviews the X Layer payment, authorizes it in their own wallet, and the protected endpoint verifies settlement before returning the analysis.</w:t>
      </w:r>
    </w:p>
    <w:p>
      <w:pPr>
        <w:spacing w:after="160" w:line="300" w:lineRule="auto"/>
      </w:pPr>
      <w:r>
        <w:t>The result is deterministic decision support. DeltaZero does not invent financial numbers and never requests custody or trade execution.</w:t>
      </w:r>
    </w:p>
    <w:p>
      <w:pPr>
        <w:spacing w:after="160" w:line="300" w:lineRule="auto"/>
      </w:pPr>
      <w:r>
        <w:t>Every successful payment produces evidence: the transaction hash, payer, receiver, asset, amount, block number, and verified token transfer event.</w:t>
      </w:r>
    </w:p>
    <w:p>
      <w:pPr>
        <w:spacing w:after="160" w:line="300" w:lineRule="auto"/>
      </w:pPr>
      <w:r>
        <w:t>The receipt can be checked independently on the X Layer explorer or exported as raw JSON for audit and automation.</w:t>
      </w:r>
    </w:p>
    <w:p>
      <w:pPr>
        <w:spacing w:after="160" w:line="300" w:lineRule="auto"/>
      </w:pPr>
      <w:r>
        <w:t>Agents can discover DeltaZero tools through the live MCP endpoint, read free Hyperliquid context, and unlock premium deterministic risk calls through x402. Execution remains controlled by the operator.</w:t>
      </w:r>
    </w:p>
    <w:p>
      <w:pPr>
        <w:spacing w:after="160" w:line="300" w:lineRule="auto"/>
      </w:pPr>
      <w:r>
        <w:t>Free Hyperliquid context complements the premium Risk Engine, helping users inspect current conditions before running paid analysis.</w:t>
      </w:r>
    </w:p>
    <w:p>
      <w:pPr>
        <w:spacing w:after="160" w:line="300" w:lineRule="auto"/>
      </w:pPr>
      <w:r>
        <w:t>DeltaZero. Know your hedge. Protect your capital.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tcMar>
              <w:top w:w="150" w:type="dxa"/>
              <w:start w:w="180" w:type="dxa"/>
              <w:bottom w:w="150" w:type="dxa"/>
              <w:end w:w="180" w:type="dxa"/>
            </w:tcMar>
            <w:shd w:fill="EEF5F0"/>
          </w:tcPr>
          <w:p>
            <w:pPr>
              <w:spacing w:after="60"/>
            </w:pPr>
            <w:r>
              <w:rPr>
                <w:b/>
                <w:color w:val="527A26"/>
                <w:sz w:val="18"/>
              </w:rPr>
              <w:t>NARRATION RULE</w:t>
            </w:r>
          </w:p>
          <w:p>
            <w:pPr>
              <w:spacing w:after="0" w:line="276" w:lineRule="auto"/>
            </w:pPr>
            <w:r>
              <w:t>Use a confident, measured voice at approximately 135-145 words per minute. Avoid hype, exaggerated claims, and language suggesting guaranteed profitability or autonomous trade execution.</w:t>
            </w:r>
          </w:p>
        </w:tc>
      </w:tr>
    </w:tbl>
    <w:p>
      <w:pPr>
        <w:pStyle w:val="Heading1"/>
      </w:pPr>
      <w:r>
        <w:t>On-screen labels</w:t>
      </w:r>
    </w:p>
    <w:p>
      <w:pPr>
        <w:pStyle w:val="ListBullet"/>
      </w:pPr>
      <w:r>
        <w:t>FREE JUDGE PREVIEW - VERIFIED REFERENCE SCENARIOS</w:t>
      </w:r>
    </w:p>
    <w:p>
      <w:pPr>
        <w:pStyle w:val="ListBullet"/>
      </w:pPr>
      <w:r>
        <w:t>LIVE RISK ENGINE - 1 USDT VIA OKX x402</w:t>
      </w:r>
    </w:p>
    <w:p>
      <w:pPr>
        <w:pStyle w:val="ListBullet"/>
      </w:pPr>
      <w:r>
        <w:t>DETERMINISTIC CALCULATIONS - NO LLM-GENERATED NUMBERS</w:t>
      </w:r>
    </w:p>
    <w:p>
      <w:pPr>
        <w:pStyle w:val="ListBullet"/>
      </w:pPr>
      <w:r>
        <w:t>READ ONLY - NO CUSTODY - NO TRADE EXECUTION</w:t>
      </w:r>
    </w:p>
    <w:p>
      <w:pPr>
        <w:pStyle w:val="ListBullet"/>
      </w:pPr>
      <w:r>
        <w:t>VERIFIABLE X LAYER PAYMENT RECEIPT</w:t>
      </w:r>
    </w:p>
    <w:p>
      <w:pPr>
        <w:pStyle w:val="ListBullet"/>
      </w:pPr>
      <w:r>
        <w:t>LIVE MCP ENDPOINT - FREE DISCOVERY + x402 PREMIUM CALLS</w:t>
      </w:r>
    </w:p>
    <w:p>
      <w:pPr>
        <w:pStyle w:val="Heading1"/>
      </w:pPr>
      <w:r>
        <w:t>Editing direction</w:t>
      </w:r>
    </w:p>
    <w:p>
      <w:pPr>
        <w:pStyle w:val="ListBullet"/>
      </w:pPr>
      <w:r>
        <w:t>Use straight cuts or subtle 150-250 ms dissolves. No dramatic zooms, glitch effects, neon overlays, or fast cursor circles.</w:t>
      </w:r>
    </w:p>
    <w:p>
      <w:pPr>
        <w:pStyle w:val="ListBullet"/>
      </w:pPr>
      <w:r>
        <w:t>Keep background music optional and below -24 LUFS so narration remains dominant.</w:t>
      </w:r>
    </w:p>
    <w:p>
      <w:pPr>
        <w:pStyle w:val="ListBullet"/>
      </w:pPr>
      <w:r>
        <w:t>Add captions in a clean sans-serif font. Use white text with restrained lime emphasis for product terms only.</w:t>
      </w:r>
    </w:p>
    <w:p>
      <w:pPr>
        <w:pStyle w:val="ListBullet"/>
      </w:pPr>
      <w:r>
        <w:t>Zoom only when needed to make payment and receipt fields legible. Keep the real transaction hash visible long enough to pause and verify.</w:t>
      </w:r>
    </w:p>
    <w:p>
      <w:pPr>
        <w:pStyle w:val="ListBullet"/>
      </w:pPr>
      <w:r>
        <w:t>Do not fabricate a settled payment. If settlement has not succeeded, postpone the final recording rather than replacing it with a mock receipt.</w:t>
      </w:r>
    </w:p>
    <w:p>
      <w:pPr>
        <w:spacing w:after="80"/>
      </w:pPr>
      <w:r>
        <w:rPr>
          <w:rFonts w:ascii="Arial" w:hAnsi="Arial"/>
          <w:b/>
          <w:color w:val="527A26"/>
          <w:sz w:val="18"/>
        </w:rPr>
        <w:t>QUALITY GATE</w:t>
      </w:r>
    </w:p>
    <w:p>
      <w:pPr>
        <w:spacing w:after="120"/>
      </w:pPr>
      <w:r>
        <w:rPr>
          <w:rFonts w:ascii="Arial" w:hAnsi="Arial"/>
          <w:b/>
          <w:color w:val="102018"/>
          <w:sz w:val="46"/>
        </w:rPr>
        <w:t>Final Recording Checklist</w:t>
      </w:r>
    </w:p>
    <w:p>
      <w:pPr>
        <w:pStyle w:val="Heading2"/>
      </w:pPr>
      <w:r>
        <w:t>Product</w:t>
      </w:r>
    </w:p>
    <w:p>
      <w:pPr>
        <w:pStyle w:val="ListBullet"/>
      </w:pPr>
      <w:r>
        <w:t>[ ] Judge Demo is accessible without payment and is clearly labelled as reference output.</w:t>
      </w:r>
    </w:p>
    <w:p>
      <w:pPr>
        <w:pStyle w:val="ListBullet"/>
      </w:pPr>
      <w:r>
        <w:t>[ ] Risk Engine requests exactly 1 USDT on X Layer.</w:t>
      </w:r>
    </w:p>
    <w:p>
      <w:pPr>
        <w:pStyle w:val="ListBullet"/>
      </w:pPr>
      <w:r>
        <w:t>[ ] The paid result unlocks after wallet settlement.</w:t>
      </w:r>
    </w:p>
    <w:p>
      <w:pPr>
        <w:pStyle w:val="ListBullet"/>
      </w:pPr>
      <w:r>
        <w:t>[ ] The receipt panel shows a real transaction hash and verified transfer event.</w:t>
      </w:r>
    </w:p>
    <w:p>
      <w:pPr>
        <w:pStyle w:val="Heading2"/>
      </w:pPr>
      <w:r>
        <w:t>Evidence</w:t>
      </w:r>
    </w:p>
    <w:p>
      <w:pPr>
        <w:pStyle w:val="ListBullet"/>
      </w:pPr>
      <w:r>
        <w:t>[ ] Transaction opens successfully on OKLink.</w:t>
      </w:r>
    </w:p>
    <w:p>
      <w:pPr>
        <w:pStyle w:val="ListBullet"/>
      </w:pPr>
      <w:r>
        <w:t>[ ] Receiver matches 0x2cc85ed0c35fc2e4e7ad28592a52a4cda96b44da.</w:t>
      </w:r>
    </w:p>
    <w:p>
      <w:pPr>
        <w:pStyle w:val="ListBullet"/>
      </w:pPr>
      <w:r>
        <w:t>[ ] Receipt JSON downloads and contains the settlement evidence.</w:t>
      </w:r>
    </w:p>
    <w:p>
      <w:pPr>
        <w:pStyle w:val="ListBullet"/>
      </w:pPr>
      <w:r>
        <w:t>[ ] No admin or demo-access bypass is used in the paid segment.</w:t>
      </w:r>
    </w:p>
    <w:p>
      <w:pPr>
        <w:pStyle w:val="Heading2"/>
      </w:pPr>
      <w:r>
        <w:t>Safety and accuracy</w:t>
      </w:r>
    </w:p>
    <w:p>
      <w:pPr>
        <w:pStyle w:val="ListBullet"/>
      </w:pPr>
      <w:r>
        <w:t>[ ] No private keys, credentials, wallet recovery phrases, or personal notifications appear.</w:t>
      </w:r>
    </w:p>
    <w:p>
      <w:pPr>
        <w:pStyle w:val="ListBullet"/>
      </w:pPr>
      <w:r>
        <w:t>[ ] No claim of guaranteed profit, prediction accuracy, custody, or automatic execution.</w:t>
      </w:r>
    </w:p>
    <w:p>
      <w:pPr>
        <w:pStyle w:val="ListBullet"/>
      </w:pPr>
      <w:r>
        <w:t>[ ] Judge Demo values are described as reference scenarios, not live customer results.</w:t>
      </w:r>
    </w:p>
    <w:p>
      <w:pPr>
        <w:pStyle w:val="ListBullet"/>
      </w:pPr>
      <w:r>
        <w:t>[ ] Agent Console is described as monitoring and structured recommendation output, not automatic trade execution.</w:t>
      </w:r>
    </w:p>
    <w:p>
      <w:pPr>
        <w:pStyle w:val="Heading2"/>
      </w:pPr>
      <w:r>
        <w:t>Export</w:t>
      </w:r>
    </w:p>
    <w:p>
      <w:pPr>
        <w:pStyle w:val="ListBullet"/>
      </w:pPr>
      <w:r>
        <w:t>[ ] Final duration is between 90 and 110 seconds.</w:t>
      </w:r>
    </w:p>
    <w:p>
      <w:pPr>
        <w:pStyle w:val="ListBullet"/>
      </w:pPr>
      <w:r>
        <w:t>[ ] Export is 1920 x 1080, 16:9, H.264 MP4.</w:t>
      </w:r>
    </w:p>
    <w:p>
      <w:pPr>
        <w:pStyle w:val="ListBullet"/>
      </w:pPr>
      <w:r>
        <w:t>[ ] Audio is normalized, captions are checked, and no UI is cropped.</w:t>
      </w:r>
    </w:p>
    <w:p>
      <w:pPr>
        <w:pStyle w:val="Heading2"/>
      </w:pPr>
      <w:r>
        <w:t>Release decision</w:t>
      </w:r>
    </w:p>
    <w:p>
      <w:pPr>
        <w:keepLines/>
      </w:pPr>
      <w:r>
        <w:t>Do not publish until the real 1 USDT settlement and downloadable receipt are verified in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36B"/>
        <w:sz w:val="16"/>
      </w:rPr>
      <w:t>DeltaZero - Know your hedge. Protect your capital.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36B"/>
        <w:sz w:val="16"/>
      </w:rPr>
      <w:t>DELTAZERO  /  DEMO PRODUCTION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020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0201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551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3551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DeltaZero Demo Video Script v2</dc:title>
  <dc:subject>Editor-ready OKX.AI hackathon product walkthrough</dc:subject>
  <dc:creator>Akanbi Labs</dc:creator>
  <cp:keywords>DeltaZero, OKX, x402, DeFi, demo 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