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both"/>
      </w:pPr>
      <w:r>
        <w:rPr>
          <w:rFonts w:ascii="Times New Roman" w:hAnsi="Times New Roman"/>
          <w:b w:val="0"/>
          <w:sz w:val="18"/>
        </w:rPr>
        <w:t>Summary</w:t>
      </w:r>
    </w:p>
    <w:p>
      <w:pPr>
        <w:spacing w:before="0" w:after="80"/>
        <w:jc w:val="both"/>
      </w:pPr>
      <w:r>
        <w:rPr>
          <w:rFonts w:ascii="Times New Roman" w:hAnsi="Times New Roman"/>
          <w:sz w:val="18"/>
        </w:rPr>
        <w:t>Patient Robert Miller is here for a follow-up assessment interview.</w:t>
      </w:r>
    </w:p>
    <w:p>
      <w:pPr>
        <w:spacing w:before="40" w:after="0"/>
        <w:jc w:val="left"/>
      </w:pPr>
      <w:r>
        <w:rPr>
          <w:rFonts w:ascii="Times New Roman" w:hAnsi="Times New Roman"/>
          <w:b/>
          <w:sz w:val="18"/>
        </w:rPr>
        <w:t>Patient Reports Ongoing Challenges</w:t>
      </w:r>
    </w:p>
    <w:p>
      <w:pPr>
        <w:spacing w:before="0" w:after="40"/>
        <w:jc w:val="both"/>
      </w:pPr>
      <w:r>
        <w:rPr>
          <w:rFonts w:ascii="Times New Roman" w:hAnsi="Times New Roman"/>
          <w:sz w:val="18"/>
        </w:rPr>
        <w:t>Robert reports ongoing challenges with sleep hygiene and minor difficulties maintaining focus during afternoon work hours.</w:t>
      </w:r>
    </w:p>
    <w:p/>
    <w:p>
      <w:pPr>
        <w:spacing w:after="0"/>
        <w:jc w:val="both"/>
      </w:pPr>
      <w:r>
        <w:rPr>
          <w:rFonts w:ascii="Times New Roman" w:hAnsi="Times New Roman"/>
          <w:b w:val="0"/>
          <w:sz w:val="18"/>
        </w:rPr>
        <w:t>Details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Current Health and Core Symptoms </w:t>
      </w:r>
      <w:r>
        <w:rPr>
          <w:rFonts w:ascii="Times New Roman" w:hAnsi="Times New Roman"/>
          <w:sz w:val="18"/>
        </w:rPr>
        <w:t>Morning productivity has improved, but Robert experiences significant cognitive fatigue after 2:00 PM. He wakes up frequently between 3:00 AM and 5:00 AM and struggles to return to sleep.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Medication Management </w:t>
      </w:r>
      <w:r>
        <w:rPr>
          <w:rFonts w:ascii="Times New Roman" w:hAnsi="Times New Roman"/>
          <w:sz w:val="18"/>
        </w:rPr>
        <w:t>Robert is currently prescribed 15mg of a generic stimulant, taken daily at 8:00 AM. He reports no adverse cardiovascular side effects but has noticed a slight decrease in appetite during lunch.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Workplace Environment </w:t>
      </w:r>
      <w:r>
        <w:rPr>
          <w:rFonts w:ascii="Times New Roman" w:hAnsi="Times New Roman"/>
          <w:sz w:val="18"/>
        </w:rPr>
        <w:t>He recently transitioned to a hybrid work model, spending three days in an open-plan office. The ambient noise is distracting and he started wearing noise-canceling headphones to cope.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Personal Life </w:t>
      </w:r>
      <w:r>
        <w:rPr>
          <w:rFonts w:ascii="Times New Roman" w:hAnsi="Times New Roman"/>
          <w:sz w:val="18"/>
        </w:rPr>
        <w:t>Robert mentioned recent mild stress regarding an upcoming cross-country move scheduled for next month.</w:t>
      </w:r>
    </w:p>
    <w:p/>
    <w:p>
      <w:pPr>
        <w:spacing w:after="0"/>
        <w:jc w:val="both"/>
      </w:pPr>
      <w:r>
        <w:rPr>
          <w:rFonts w:ascii="Times New Roman" w:hAnsi="Times New Roman"/>
          <w:b w:val="0"/>
          <w:sz w:val="18"/>
        </w:rPr>
        <w:t>Suggested next steps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sz w:val="18"/>
        </w:rPr>
        <w:t>Begin a trial of taking his medication slightly later in the morning to extend its efficacy into the afternoon.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sz w:val="18"/>
        </w:rPr>
        <w:t>Keep a sleep diary for the next two weeks to identify any specific nighttime awakenings.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sz w:val="18"/>
        </w:rPr>
        <w:t>Schedule a follow-up virtual appointment for April 14,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Times New Roman" w:hAnsi="Times New Roman"/>
        <w:sz w:val="18"/>
      </w:rPr>
      <w:t>G. Maynard MSc. (Sup. Prac.)</w:t>
    </w:r>
  </w:p>
  <w:p>
    <w:pPr>
      <w:spacing w:before="0" w:after="0" w:line="240" w:lineRule="auto"/>
      <w:jc w:val="left"/>
    </w:pPr>
    <w:r>
      <w:rPr>
        <w:rFonts w:ascii="Times New Roman" w:hAnsi="Times New Roman"/>
        <w:sz w:val="18"/>
      </w:rPr>
      <w:t>G. Townsend, MSc. C. Psych. PsyD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tabs>
        <w:tab w:val="right" w:pos="9360"/>
      </w:tabs>
    </w:pPr>
    <w:r>
      <w:rPr>
        <w:rFonts w:ascii="Times New Roman" w:hAnsi="Times New Roman"/>
        <w:b w:val="0"/>
        <w:sz w:val="18"/>
      </w:rPr>
      <w:t>Robert Miller (N/A)</w:t>
    </w:r>
    <w:r>
      <w:tab/>
    </w:r>
    <w:r>
      <w:rPr>
        <w:rFonts w:ascii="Times New Roman" w:hAnsi="Times New Roman"/>
        <w:b w:val="0"/>
        <w:sz w:val="18"/>
      </w:rPr>
      <w:t>March 20, 2026; 10:00am</w:t>
    </w:r>
  </w:p>
  <w:p>
    <w:pPr>
      <w:spacing w:before="0" w:after="0" w:line="240" w:lineRule="auto"/>
    </w:pPr>
    <w:r>
      <w:rPr>
        <w:rFonts w:ascii="Times New Roman" w:hAnsi="Times New Roman"/>
        <w:b/>
        <w:sz w:val="18"/>
      </w:rPr>
      <w:t>Follow-up Assessment Interview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