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p>
    <w:p>
      <w:pPr>
        <w:spacing w:before="0" w:after="240" w:line="276" w:lineRule="auto"/>
      </w:pPr>
    </w:p>
    <w:p>
      <w:pPr>
        <w:spacing w:before="0" w:after="240" w:line="276" w:lineRule="auto"/>
      </w:pPr>
    </w:p>
    <w:p>
      <w:pPr>
        <w:spacing w:before="0" w:after="360" w:line="276" w:lineRule="auto"/>
        <w:jc w:val="center"/>
      </w:pPr>
      <w:r>
        <w:rPr>
          <w:rFonts w:ascii="Segoe UI" w:hAnsi="Segoe UI"/>
          <w:b/>
          <w:color w:val="1E3A8A"/>
          <w:sz w:val="44"/>
        </w:rPr>
        <w:t>Personalized Federated Learning for Explainable and Privacy-Preserving Disease Risk Prediction in Heterogeneous Healthcare Systems</w:t>
      </w:r>
    </w:p>
    <w:p>
      <w:pPr>
        <w:spacing w:before="0" w:after="720" w:line="276" w:lineRule="auto"/>
        <w:jc w:val="center"/>
      </w:pPr>
      <w:r>
        <w:rPr>
          <w:rFonts w:ascii="Segoe UI" w:hAnsi="Segoe UI"/>
          <w:b/>
          <w:color w:val="475569"/>
          <w:sz w:val="32"/>
        </w:rPr>
        <w:t>Literature Survey — Reference Table</w:t>
      </w:r>
    </w:p>
    <w:p>
      <w:pPr>
        <w:spacing w:before="0" w:after="240" w:line="276" w:lineRule="auto"/>
      </w:pPr>
    </w:p>
    <w:p>
      <w:pPr>
        <w:spacing w:before="0" w:after="240" w:line="276" w:lineRule="auto"/>
      </w:pPr>
    </w:p>
    <w:p>
      <w:pPr>
        <w:spacing w:before="0" w:after="240" w:line="276" w:lineRule="auto"/>
      </w:pPr>
    </w:p>
    <w:p>
      <w:pPr>
        <w:spacing w:before="0" w:after="240" w:line="276" w:lineRule="auto"/>
      </w:pPr>
    </w:p>
    <w:p>
      <w:pPr>
        <w:spacing w:before="0" w:after="240" w:line="276" w:lineRule="auto"/>
      </w:pPr>
    </w:p>
    <w:p>
      <w:pPr>
        <w:spacing w:before="0" w:after="240" w:line="276" w:lineRule="auto"/>
      </w:pPr>
    </w:p>
    <w:p>
      <w:pPr>
        <w:spacing w:before="0" w:after="240" w:line="276" w:lineRule="auto"/>
        <w:jc w:val="center"/>
      </w:pPr>
      <w:r>
        <w:rPr>
          <w:rFonts w:ascii="Segoe UI" w:hAnsi="Segoe UI"/>
          <w:color w:val="64748B"/>
          <w:sz w:val="21"/>
        </w:rPr>
        <w:t>Prepared for PBL-3 Rubric #R0 Evaluation</w:t>
        <w:br/>
        <w:t>Date: August 2026</w:t>
        <w:br/>
        <w:br/>
        <w:t>Project Team Members:</w:t>
        <w:br/>
        <w:t>Role A: [Assign Team Member Name - Data Engineer]</w:t>
        <w:br/>
        <w:t>Role B: [Assign Team Member Name - FL Engineer]</w:t>
        <w:br/>
        <w:t>Role C: [Assign Team Member Name - ML/Personalization Specialist]</w:t>
        <w:br/>
        <w:t>Role D: [Assign Team Member Name - Full-Stack &amp; XAI Developer]</w:t>
      </w:r>
    </w:p>
    <w:p>
      <w:r>
        <w:br w:type="page"/>
      </w:r>
    </w:p>
    <w:p>
      <w:pPr>
        <w:pStyle w:val="Heading1"/>
        <w:keepNext/>
        <w:spacing w:before="360" w:after="120"/>
      </w:pPr>
      <w:r>
        <w:t>Section A: Federated Learning Fundamentals (aggregation protocols, privacy trade-offs, optimization)</w:t>
      </w:r>
    </w:p>
    <w:p>
      <w:pPr>
        <w:spacing w:before="0" w:after="240" w:line="276" w:lineRule="auto"/>
      </w:pPr>
      <w:r>
        <w:t>The following table compiles the reviewed papers classified under the theme of Federated Learning Fundamentals. These papers are arranged logically, starting with foundational surveys and reviews, followed by core methodology implementations, and concluding with critical evaluation or threat-modeling publications.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tblHeader/>
        </w:trPr>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IEEE Citation Number</w:t>
            </w:r>
          </w:p>
        </w:tc>
        <w:tc>
          <w:tcPr>
            <w:tcW w:type="dxa" w:w="3456"/>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Full IEEE Citation</w:t>
            </w:r>
          </w:p>
        </w:tc>
        <w:tc>
          <w:tcPr>
            <w:tcW w:type="dxa" w:w="4320"/>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What Information/Contribution This Paper Provides</w:t>
            </w:r>
          </w:p>
        </w:tc>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Category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[1]</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M. Duan, Q. Li, L. Jiang, et al., "Towards Open Federated Learning Platforms: Survey and Vision from Technical and Legal Perspectives,"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Traditional Federated Learning (FL) follows a server-dominated cooperation paradigm which narrows the application scenarios of FL and decreases the enthusiasm of data holders to participate. To fully unleash the potential of FL, we advocate rethinking the design of current FL frameworks and extending it to a more generalized concept: Open Federated Learning Platforms, positioned as a crowdsourcing collaborative machine learning infrastructure for all Internet users. This study provides foundational insights into federated architectures and optimization techniques, which help inform the baseline collaborative server-client setup in Layer 1 of our framework.</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[2]</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M. Sen, S. Aparna, R. Agarwal, et al., "Overcoming Challenges of Partial Client Participation in Federated Learning : A Comprehensive Review,"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is a learning mechanism that falls under the distributed training umbrella, which collaboratively trains a shared global model without disclosing the raw data from different clients. This paper presents an extensive survey on the impact of partial client participation in federated learning. This study provides foundational insights into federated architectures and optimization techniques, which help inform the baseline collaborative server-client setup in Layer 1 of our framework.</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[3]</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M. Hayashitani, J. Mori, and I. Teranishi, "Survey of Privacy Threats and Countermeasures in Federated Learning," arXiv preprint, 2024.</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is widely considered to be as a privacy-aware learning method because no training data is exchanged directly between clients. Nevertheless, there are threats to privacy in federated learning, and privacy countermeasures have been studied. This study provides foundational insights into federated architectures and optimization techniques, which help inform the baseline collaborative server-client setup in Layer 1 of our framework.</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[4]</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C. Briggs, Z. Fan, and P. Andras, "A Review of Privacy-preserving Federated Learning for the Internet-of-Things," arXiv preprint, 2020.</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The Internet-of-Things (IoT) generates vast quantities of data, much of it attributable to individuals' activity and behaviour. Gathering personal data and performing machine learning tasks on this data in a central location presents a significant privacy risk to individuals as well as challenges with communicating this data to the cloud. This study provides foundational insights into federated architectures and optimization techniques, which help inform the baseline collaborative server-client setup in Layer 1 of our framework.</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[5]</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L. Cao, H. Chen, X. Fan, et al., "Bayesian Federated Learning: A Survey,"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demonstrates its advantages in integrating distributed infrastructure, communication, computing and learning in a privacy-preserving manner. However, the robustness and capabilities of existing FL methods are challenged by limited and dynamic data and conditions, complexities including heterogeneities and uncertainties, and analytical explainability. This study provides foundational insights into federated architectures and optimization techniques, which help inform the baseline collaborative server-client setup in Layer 1 of our framework.</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[6]</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Y. Jin, Y. Liu, K. Chen, et al., "Federated Learning without Full Labels: A Survey," arXiv preprint, 2023.</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Data privacy has become an increasingly important concern in real-world big data applications such as machine learning. To address the problem, federated learning (FL) has been a promising solution to building effective machine learning models from decentralized and private data. This study provides foundational insights into federated architectures and optimization techniques, which help inform the baseline collaborative server-client setup in Layer 1 of our framework.</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[7]</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J. Bian, Y. Peng, L. Wang, et al., "A Survey on Parameter-Efficient Fine-Tuning for Foundation Models in Federated Learning," arXiv preprint, 2025.</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Foundation models have revolutionized artificial intelligence by providing robust, versatile architectures pre-trained on large-scale datasets. However, adapting these massive models to specific downstream tasks requires fine-tuning, which can be prohibitively expensive in computational resources. This study provides foundational insights into federated architectures and optimization techniques, which help inform the baseline collaborative server-client setup in Layer 1 of our framework.</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[8]</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A. Li, R. Liu, M. Hu, et al., "Towards Interpretable Federated Learning," arXiv preprint, 2023.</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enables multiple data owners to build machine learning models collaboratively without exposing their private local data. In order for FL to achieve widespread adoption, it is important to balance the need for performance, privacy-preservation and interpretability, especially in mission critical applications such as finance and healthcare. This study provides foundational insights into federated architectures and optimization techniques, which help inform the baseline collaborative server-client setup in Layer 1 of our framework.</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[9]</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C. He, C. Tan, H. Tang, et al., "Central Server Free Federated Learning over Single-sided Trust Social Networks," arXiv preprint, 2019.</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has become increasingly important for modern machine learning, especially for data privacy-sensitive scenarios. Existing federated learning mostly adopts the central server-based architecture or centralized architecture. This study provides foundational insights into federated architectures and optimization techniques, which help inform the baseline collaborative server-client setup in Layer 1 of our framework.</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[10]</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C. Ren, R. Yan, H. Zhu, et al., "Towards Quantum Federated Learning," arXiv preprint, 2023.</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Quantum Federated Learning (QFL) is an emerging interdisciplinary field that merges the principles of Quantum Computing (QC) and Federated Learning (FL), with the goal of leveraging quantum technologies to enhance privacy, security, and efficiency in the learning process. Currently, there is no comprehensive survey for this interdisciplinary field. This study provides foundational insights into federated architectures and optimization techniques, which help inform the baseline collaborative server-client setup in Layer 1 of our framework.</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[11]</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C. A. S. H. Kaluannakkage and R. Buyya, "Incentive-Based Federated Learning: Architectural Elements and Future Directions," arXiv preprint, 2025.</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promises to revolutionize machine learning by enabling collaborative model training without compromising data privacy. However, practical adaptability can be limited by critical factors, such as the participation dilemma. This study provides foundational insights into federated architectures and optimization techniques, which help inform the baseline collaborative server-client setup in Layer 1 of our framework.</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[12]</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M. Rangwala, K. Venugopal, and R. Buyya, "Blockchain-Enabled Federated Learning,"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Blockchain-enabled federated learning (BCFL) addresses fundamental challenges of trust, privacy, and coordination in collaborative AI systems. This chapter provides comprehensive architectural analysis of BCFL systems through a systematic four-dimensional taxonomy examining coordination structures, consensus mechanisms, storage architectures, and trust models. This study provides foundational insights into federated architectures and optimization techniques, which help inform the baseline collaborative server-client setup in Layer 1 of our framework.</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[13]</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A. Riess, A. Ziller, S. Kolek, et al., "Complex-valued Federated Learning with Differential Privacy and MRI Applications," arXiv preprint, 2021.</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enhanced with Differential Privacy (DP) is a powerful privacy-preserving strategy to protect individuals sharing their sensitive data for processing in fields such as medicine and healthcare. Many medical applications, for example magnetic resonance imaging (MRI), rely on complex-valued signal processing techniques for data acquisition and analysis. This study provides foundational insights into federated architectures and optimization techniques, which help inform the baseline collaborative server-client setup in Layer 1 of our framework.</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bl>
    <w:p>
      <w:pPr>
        <w:spacing w:before="0" w:after="240" w:line="276" w:lineRule="auto"/>
      </w:pPr>
    </w:p>
    <w:p>
      <w:pPr>
        <w:pStyle w:val="Heading1"/>
        <w:keepNext/>
        <w:spacing w:before="360" w:after="120"/>
      </w:pPr>
      <w:r>
        <w:t>Section B: Federated Learning in Healthcare (clinical deployment, medical imaging FL, healthcare-specific frameworks)</w:t>
      </w:r>
    </w:p>
    <w:p>
      <w:pPr>
        <w:spacing w:before="0" w:after="240" w:line="276" w:lineRule="auto"/>
      </w:pPr>
      <w:r>
        <w:t>The following table compiles the reviewed papers classified under the theme of Federated Learning in Healthcare. These papers are arranged logically, starting with foundational surveys and reviews, followed by core methodology implementations, and concluding with critical evaluation or threat-modeling publications.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tblHeader/>
        </w:trPr>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IEEE Citation Number</w:t>
            </w:r>
          </w:p>
        </w:tc>
        <w:tc>
          <w:tcPr>
            <w:tcW w:type="dxa" w:w="3456"/>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Full IEEE Citation</w:t>
            </w:r>
          </w:p>
        </w:tc>
        <w:tc>
          <w:tcPr>
            <w:tcW w:type="dxa" w:w="4320"/>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What Information/Contribution This Paper Provides</w:t>
            </w:r>
          </w:p>
        </w:tc>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Category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[14]</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M. Joshi, A. Pal, and M. Sankarasubbu, "Federated Learning for Healthcare Domain - Pipeline, Applications and Challenges," arXiv preprint, 2022.</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is the process of developing machine learning models over datasets distributed across data centers such as hospitals, clinical research labs, and mobile devices while preventing data leakage. This survey examines previous research and studies on federated learning in the healthcare sector across a range of use cases and applications. This paper informs our simulated clinical network setup and provides guidance on handling medical data constraints while maintaining clinical safety.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[15]</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M. Li, P. Xu, J. Hu, et al., "From Challenges and Pitfalls to Recommendations and Opportunities: Implementing Federated Learning in Healthcare," arXiv preprint, 2024.</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holds great potential for enabling large-scale healthcare research and collaboration across multiple centres while ensuring data privacy and security are not compromised. Although numerous recent studies suggest or utilize federated learning based methods in healthcare, it remains unclear which ones have potential clinical utility. This paper informs our simulated clinical network setup and provides guidance on handling medical data constraints while maintaining clinical safety.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[16]</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T. Chen, X. Jin, Y. Sun, et al., "VAFL: a Method of Vertical Asynchronous Federated Learning," arXiv preprint, 2020.</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Horizontal Federated learning (FL) handles multi-client data that share the same set of features, and vertical FL trains a better predictor that combine all the features from different clients. This paper targets solving vertical FL in an asynchronous fashion, and develops a simple FL method. This paper informs our simulated clinical network setup and provides guidance on handling medical data constraints while maintaining clinical safety.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[17]</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J. Arafat, F. Tasmin, S. Poudel, et al., "Beyond Static Knowledge Messengers: Towards Adaptive, Fair, and Scalable Federated Learning for Medical AI,"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Medical AI faces challenges in privacy-preserving collaborative learning while ensuring fairness across heterogeneous healthcare institutions. Current federated learning approaches suffer from static architectures, slow convergence (45-73 rounds), fairness gaps marginalizing smaller institutions, and scalability constraints (15-client limit). This paper informs our simulated clinical network setup and provides guidance on handling medical data constraints while maintaining clinical safety.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[18]</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S. Kumar, A. Lakshminarayanan, K. Chang, et al., "Towards More Efficient Data Valuation in Healthcare Federated Learning using Ensembling," arXiv preprint, 2022.</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wherein multiple institutions collaboratively train a machine learning model without sharing data is becoming popular. Participating institutions might not contribute equally, some contribute more data, some better quality data or some more diverse data. This paper informs our simulated clinical network setup and provides guidance on handling medical data constraints while maintaining clinical safety.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[19]</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S. Silva, B. Gutman, E. Romero, et al., "Federated Learning in Distributed Medical Databases: Meta-Analysis of Large-Scale Subcortical Brain Data," arXiv preprint, 2018.</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At this moment, databanks worldwide contain brain images of previously unimaginable numbers. Combined with developments in data science, these massive data provide the potential to better understand the genetic underpinnings of brain diseases. This paper informs our simulated clinical network setup and provides guidance on handling medical data constraints while maintaining clinical safety.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[20]</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H. A. Madni, R. M. Umer, and G. L. Foresti, "Federated Learning for Data and Model Heterogeneity in Medical Imaging,"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is an evolving machine learning method in which multiple clients participate in collaborative learning without sharing their data with each other and the central server. In real-world applications such as hospitals and industries, FL counters the challenges of data heterogeneity and model heterogeneity as an inevitable part of the collaborative training. This paper informs our simulated clinical network setup and provides guidance on handling medical data constraints while maintaining clinical safety.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[21]</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C. Lu and J. Kalpathy-Cramer, "Distribution-Free Federated Learning with Conformal Predictions," arXiv preprint, 2021.</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has attracted considerable interest for collaborative machine learning in healthcare to leverage separate institutional datasets while maintaining patient privacy. However, additional challenges such as poor calibration and lack of interpretability may also hamper widespread deployment of federated models into clinical practice, leading to user distrust or misuse of ML tools in high-stakes clinical decision-making. This paper informs our simulated clinical network setup and provides guidance on handling medical data constraints while maintaining clinical safety.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[22]</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Y. Zhao, Q. Liu, X. Liu, et al., "Medical Federated Model with Mixture of Personalized and Sharing Components,"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Although data-driven methods usually have noticeable performance on disease diagnosis and treatment, they are suspected of leakage of privacy due to collecting data for model training. Recently, federated learning provides a secure and trustable alternative to collaboratively train model without any exchange of medical data among multiple institutes. This paper informs our simulated clinical network setup and provides guidance on handling medical data constraints while maintaining clinical safety.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[23]</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X. Qiu, H. Pan, W. Zhao, et al., "Efficient Vertical Federated Learning with Secure Aggregation," arXiv preprint, 2023.</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The majority of work in privacy-preserving federated learning (FL) has been focusing on horizontally partitioned datasets where clients share the same sets of features and can train complete models independently. However, in many interesting problems, such as financial fraud detection and disease detection, individual data points are scattered across different clients/organizations in vertical federated learning. This paper informs our simulated clinical network setup and provides guidance on handling medical data constraints while maintaining clinical safety.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[24]</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C. A. S. H. Kaluannakkage and R. Buyya, "Incentive-Based Federated Learning: Architectural Elements and Future Directions," arXiv preprint, 2025.</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promises to revolutionize machine learning by enabling collaborative model training without compromising data privacy. However, practical adaptability can be limited by critical factors, such as the participation dilemma. This paper informs our simulated clinical network setup and provides guidance on handling medical data constraints while maintaining clinical safety.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[25]</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 Cremonesi, M. Vesin, S. Cansiz, et al., "Fed-BioMed: Open, Transparent and Trusted Federated Learning for Real-world Healthcare Applications," arXiv preprint, 2023.</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The real-world implementation of federated learning is complex and requires research and development actions at the crossroad between different domains ranging from data science, to software programming, networking, and security. While today several FL libraries are proposed to data scientists and users, most of these frameworks are not designed to find seamless application in medical use-cases, due to the specific challenges and requirements of working with medical data and hospital infrastructures. This paper informs our simulated clinical network setup and provides guidance on handling medical data constraints while maintaining clinical safety.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bl>
    <w:p>
      <w:pPr>
        <w:spacing w:before="0" w:after="240" w:line="276" w:lineRule="auto"/>
      </w:pPr>
    </w:p>
    <w:p>
      <w:pPr>
        <w:pStyle w:val="Heading1"/>
        <w:keepNext/>
        <w:spacing w:before="360" w:after="120"/>
      </w:pPr>
      <w:r>
        <w:t>Section C: Personalized Federated Learning (non-IID handling, FedProx, client-adaptation methods)</w:t>
      </w:r>
    </w:p>
    <w:p>
      <w:pPr>
        <w:spacing w:before="0" w:after="240" w:line="276" w:lineRule="auto"/>
      </w:pPr>
      <w:r>
        <w:t>The following table compiles the reviewed papers classified under the theme of Personalized Federated Learning. These papers are arranged logically, starting with foundational surveys and reviews, followed by core methodology implementations, and concluding with critical evaluation or threat-modeling publications.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tblHeader/>
        </w:trPr>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IEEE Citation Number</w:t>
            </w:r>
          </w:p>
        </w:tc>
        <w:tc>
          <w:tcPr>
            <w:tcW w:type="dxa" w:w="3456"/>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Full IEEE Citation</w:t>
            </w:r>
          </w:p>
        </w:tc>
        <w:tc>
          <w:tcPr>
            <w:tcW w:type="dxa" w:w="4320"/>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What Information/Contribution This Paper Provides</w:t>
            </w:r>
          </w:p>
        </w:tc>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Category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[26]</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Z. Chen, J. Li, and C. Shen, "Personalized Federated Learning with Attention-based Client Selection,"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Personalized Federated Learning (PFL) relies on collective data knowledge to build customized models. However, non-IID data between clients poses significant challenges, as collaborating with clients who have diverse data distributions can harm local model performance, especially with limited training data. This work directly informs the personalization strategies in Layer 2 of our architecture, helping us optimize local models under statistical demographic heterogeneity.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[27]</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D. Jimenez-Gutierrez, D. Solans, M. Elbamby, et al., "PSI-PFL: Population Stability Index for Client Selection in non-IID Personalized Federated Learning,"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enables decentralized machine learning (ML) model training while preserving data privacy by keeping data localized across clients. However, non-independent and identically distributed (non-IID) data across clients poses a significant challenge, leading to skewed model updates and performance degradation. This work directly informs the personalization strategies in Layer 2 of our architecture, helping us optimize local models under statistical demographic heterogeneity.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[28]</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M. Kundroo, T. Singh, and T. Kim, "FedLBW: A Loss-Based Weighting Strategy for Federated Learning on Non-IID Data in Wireless Networks," arXiv preprint, 2026.</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enables collaborative machine learning (ML) across distributed clients while preserving privacy. However, efficient model convergence in FL remains challenging, especially in wireless networks where non-independent and identically distributed (non-IID) data and frequent client dropouts are common. This work directly informs the personalization strategies in Layer 2 of our architecture, helping us optimize local models under statistical demographic heterogeneity.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[29]</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L. Rieger, R. M. T. Høegh, and L. K. Hansen, "Client Adaptation improves Federated Learning with Simulated Non-IID Clients," arXiv preprint, 2020.</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We present a federated learning approach for learning a client adaptable, robust model when data is non-identically and non-independently distributed (non-IID) across clients. By simulating heterogeneous clients, we show that adding learned client-specific conditioning improves model performance, and the approach is shown to work on balanced and imbalanced data set from both audio and image domains. This work directly informs the personalization strategies in Layer 2 of our architecture, helping us optimize local models under statistical demographic heterogeneity.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[30]</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N. Shoham, T. Avidor, A. Keren, et al., "Overcoming Forgetting in Federated Learning on Non-IID Data," arXiv preprint, 2019.</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We tackle the problem of Federated Learning in the non i.i.d. case, in which local models drift apart, inhibiting learning. This work directly informs the personalization strategies in Layer 2 of our architecture, helping us optimize local models under statistical demographic heterogeneity.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[31]</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J. Jang, H. Ha, D. Jung, et al., "FedClassAvg: Local Representation Learning for Personalized Federated Learning on Heterogeneous Neural Networks," arXiv preprint, 2022.</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Personalized federated learning is aimed at allowing numerous clients to train personalized models while participating in collaborative training in a communication-efficient manner without exchanging private data. However, many personalized federated learning algorithms assume that clients have the same neural network architecture, and those for heterogeneous models remain understudied. This work directly informs the personalization strategies in Layer 2 of our architecture, helping us optimize local models under statistical demographic heterogeneity.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[32]</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A. Smith, B. Johnson, and M. Geller, "Integrating Personalized Federated Learning with Control Systems for Enhanced Performance," arXiv preprint, 2025.</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In the expanding field of machine learning, federated learning has emerged as a pivotal methodology for distributed data environments, ensuring privacy while leveraging decentralized data sources. However, the heterogeneity of client data and the need for tailored models necessitate the integration of personalization techniques to enhance learning efficacy and model performance. This work directly informs the personalization strategies in Layer 2 of our architecture, helping us optimize local models under statistical demographic heterogeneity.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[33]</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Z. Li, J. Shao, Y. Mao, et al., "Federated Learning with GAN-based Data Synthesis for Non-IID Clients," arXiv preprint, 2022.</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has recently emerged as a popular privacy-preserving collaborative learning paradigm. However, it suffers from the non-independent and identically distributed (non-IID) data among clients. This work directly informs the personalization strategies in Layer 2 of our architecture, helping us optimize local models under statistical demographic heterogeneity.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[34]</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K. Fan, J. Tang, Z. Yang, et al., "APFL: Analytic Personalized Federated Learning via Dual-Stream Least Squares," arXiv preprint, 2025.</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Personalized Federated Learning (PFL) has presented a significant challenge to deliver personalized models to individual clients through collaborative training. Existing PFL methods are often vulnerable to non-IID data, which severely hinders collective generalization and then compromises the subsequent personalization efforts. This work directly informs the personalization strategies in Layer 2 of our architecture, helping us optimize local models under statistical demographic heterogeneity.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[35]</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J. Tang, Z. Yang, J. Wang, et al., "FedHiP: Heterogeneity-Invariant Personalized Federated Learning Through Closed-Form Solutions,"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Lately, Personalized Federated Learning (PFL) has emerged as a prevalent paradigm to deliver personalized models by collaboratively training while simultaneously adapting to each client's local applications. Existing PFL methods typically face a significant challenge due to the ubiquitous data heterogeneity (i.e., non-IID data) across clients, which severely hinders convergence and degrades performance. This work directly informs the personalization strategies in Layer 2 of our architecture, helping us optimize local models under statistical demographic heterogeneity.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[36]</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J. Wang, X. Yang, S. Cui, et al., "Towards Personalized Federated Learning via Heterogeneous Model Reassembly,"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This paper focuses on addressing the practical yet challenging problem of model heterogeneity in federated learning, where clients possess models with different network structures. To track this problem, we propose a novel framework called pFedHR, which leverages heterogeneous model reassembly to achieve personalized federated learning. This work directly informs the personalization strategies in Layer 2 of our architecture, helping us optimize local models under statistical demographic heterogeneity.</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[37]</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K. Jung, S. Biswas, and C. Palamidessi, "Mitigating Membership Inference Vulnerability in Personalized Federated Learning,"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Federated Learning (FL) has emerged as a promising paradigm for collaborative model training without the need to share clients' personal data, thereby preserving privacy. However, the non-IID nature of the clients' data introduces major challenges for FL, highlighting the importance of personalized federated learning (PFL) methods. This work directly informs the personalization strategies in Layer 2 of our architecture, helping us optimize local models under statistical demographic heterogeneity.</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DC2626"/>
                <w:sz w:val="18"/>
              </w:rPr>
              <w:t>Eval</w:t>
            </w:r>
          </w:p>
        </w:tc>
      </w:tr>
    </w:tbl>
    <w:p>
      <w:pPr>
        <w:spacing w:before="0" w:after="240" w:line="276" w:lineRule="auto"/>
      </w:pPr>
    </w:p>
    <w:p>
      <w:pPr>
        <w:pStyle w:val="Heading1"/>
        <w:keepNext/>
        <w:spacing w:before="360" w:after="120"/>
      </w:pPr>
      <w:r>
        <w:t>Section D: Explainable AI in Clinical ML (SHAP/LIME, clinical trust, interpretability evaluation)</w:t>
      </w:r>
    </w:p>
    <w:p>
      <w:pPr>
        <w:spacing w:before="0" w:after="240" w:line="276" w:lineRule="auto"/>
      </w:pPr>
      <w:r>
        <w:t>The following table compiles the reviewed papers classified under the theme of Explainable AI in Clinical ML. These papers are arranged logically, starting with foundational surveys and reviews, followed by core methodology implementations, and concluding with critical evaluation or threat-modeling publications.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rPr>
          <w:tblHeader/>
        </w:trPr>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IEEE Citation Number</w:t>
            </w:r>
          </w:p>
        </w:tc>
        <w:tc>
          <w:tcPr>
            <w:tcW w:type="dxa" w:w="3456"/>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Full IEEE Citation</w:t>
            </w:r>
          </w:p>
        </w:tc>
        <w:tc>
          <w:tcPr>
            <w:tcW w:type="dxa" w:w="4320"/>
            <w:shd w:val="clear" w:color="auto" w:fill="1E293B"/>
            <w:tcMar>
              <w:top w:w="140" w:type="dxa"/>
              <w:bottom w:w="140" w:type="dxa"/>
              <w:left w:w="144" w:type="dxa"/>
              <w:right w:w="144" w:type="dxa"/>
            </w:tcMar>
          </w:tcPr>
          <w:p>
            <w:pPr>
              <w:spacing w:before="0" w:after="0" w:line="240" w:lineRule="auto"/>
              <w:jc w:val="left"/>
            </w:pPr>
            <w:r>
              <w:rPr>
                <w:rFonts w:ascii="Segoe UI" w:hAnsi="Segoe UI"/>
                <w:b/>
                <w:color w:val="FFFFFF"/>
                <w:sz w:val="19"/>
              </w:rPr>
              <w:t>What Information/Contribution This Paper Provides</w:t>
            </w:r>
          </w:p>
        </w:tc>
        <w:tc>
          <w:tcPr>
            <w:tcW w:type="dxa" w:w="1152"/>
            <w:shd w:val="clear" w:color="auto" w:fill="1E293B"/>
            <w:tcMar>
              <w:top w:w="140" w:type="dxa"/>
              <w:bottom w:w="140" w:type="dxa"/>
              <w:left w:w="144" w:type="dxa"/>
              <w:right w:w="144" w:type="dxa"/>
            </w:tcMar>
          </w:tcPr>
          <w:p>
            <w:pPr>
              <w:spacing w:before="0" w:after="0" w:line="240" w:lineRule="auto"/>
              <w:jc w:val="center"/>
            </w:pPr>
            <w:r>
              <w:rPr>
                <w:rFonts w:ascii="Segoe UI" w:hAnsi="Segoe UI"/>
                <w:b/>
                <w:color w:val="FFFFFF"/>
                <w:sz w:val="19"/>
              </w:rPr>
              <w:t>Category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[38]</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G. Cinà, T. Röber, R. Goedhart, et al., "Why we do need Explainable AI for Healthcare," arXiv preprint, 2022.</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The recent spike in certified Artificial Intelligence (AI) tools for healthcare has renewed the debate around adoption of this technology. One thread of such debate concerns Explainable AI and its promise to render AI devices more transparent and trustworthy. This paper establishes design guidelines and benchmarks for our SHAP-based explainability in Layer 3, ensuring predictions are transparent and trustworthy for clinicians.</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[39]</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W. Jin, X. Li, M. Fatehi, et al., "Guidelines and Evaluation of Clinical Explainable AI in Medical Image Analysis," arXiv preprint, 2022.</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Explainable artificial intelligence (XAI) is essential for enabling clinical users to get informed decision support from AI and comply with evidence-based medical practice. Applying XAI in clinical settings requires proper evaluation criteria to ensure the explanation technique is both technically sound and clinically useful, but specific support is lacking to achieve this goal. This paper establishes design guidelines and benchmarks for our SHAP-based explainability in Layer 3, ensuring predictions are transparent and trustworthy for clinicians.</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059669"/>
                <w:sz w:val="18"/>
              </w:rPr>
              <w:t>Survey</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[40]</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M. Panda and S. R. Mahanta, "Explainable artificial intelligence for Healthcare applications using Random Forest Classifier with LIME and SHAP,"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With the advances in computationally efficient artificial Intelligence (AI) techniques and their numerous applications in our everyday life, there is a pressing need to understand the computational details hidden in black box AI techniques such as most popular machine learning and deep learning techniques; through more detailed explanations. The origin of explainable AI (xAI) is coined from these challenges and recently gained more attention by the researchers by adding explainability comprehensively in traditional AI systems. This paper establishes design guidelines and benchmarks for our SHAP-based explainability in Layer 3, ensuring predictions are transparent and trustworthy for clinicians.</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[41]</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L. Gallée, Y. Xiong, M. Beer, et al., "FunnyNodules: A Customizable Medical Dataset Tailored for Evaluating Explainable AI,"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Densely annotated medical image datasets that capture not only diagnostic labels but also the underlying reasoning behind these diagnoses are scarce. Such reasoning-related annotations are essential for developing and evaluating explainable AI (xAI) models that reason similarly to radiologists: making correct predictions for the right reasons. This paper establishes design guidelines and benchmarks for our SHAP-based explainability in Layer 3, ensuring predictions are transparent and trustworthy for clinicians.</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[42]</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N. Kaur and L. Gupta, "Explainable AI for Securing Healthcare in IoT-Integrated 6G Wireless Networks," arXiv preprint, 2025.</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As healthcare systems increasingly adopt advanced wireless networks and connected devices, securing medical applications has become critical. The integration of Internet of Medical Things devices, such as robotic surgical tools, intensive care systems, and wearable monitors has enhanced patient care but introduced serious security risks. This paper establishes design guidelines and benchmarks for our SHAP-based explainability in Layer 3, ensuring predictions are transparent and trustworthy for clinicians.</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[43]</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D. Dave, H. Naik, S. Singhal, et al., "Explainable AI meets Healthcare: A Study on Heart Disease Dataset," arXiv preprint, 2020.</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With the increasing availability of structured and unstructured data and the swift progress of analytical techniques, Artificial Intelligence (AI) is bringing a revolution to the healthcare industry. With the increasingly indispensable role of AI in healthcare, there are growing concerns over the lack of transparency and explainability in addition to potential bias encountered by predictions of the model. This paper establishes design guidelines and benchmarks for our SHAP-based explainability in Layer 3, ensuring predictions are transparent and trustworthy for clinicians.</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[44]</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L. Ter-Minassian, S. Ghalebikesabi, K. Diaz-Ordaz, et al., "Explainable AI for survival analysis: a median-SHAP approach," arXiv preprint, 2024.</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With the adoption of machine learning into routine clinical practice comes the need for Explainable AI methods tailored to medical applications. Shapley values have sparked wide interest for locally explaining models. This paper establishes design guidelines and benchmarks for our SHAP-based explainability in Layer 3, ensuring predictions are transparent and trustworthy for clinicians.</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[45]</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M. T. Mohsin, "Blockchain-Enabled Explainable AI for Trusted Healthcare Systems,"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This paper introduces a Blockchain-Integrated Explainable AI Framework (BXHF) for healthcare systems to tackle two essential challenges confronting health information networks: safe data exchange and comprehensible AI-driven clinical decision-making. Our architecture incorporates blockchain, ensuring patient records are immutable, auditable, and tamper-proof, alongside Explainable AI (XAI) methodologies that yield transparent and clinically relevant model predictions. This paper establishes design guidelines and benchmarks for our SHAP-based explainability in Layer 3, ensuring predictions are transparent and trustworthy for clinicians.</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[46]</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S. N. Panda, V. Kukkala, and S. Iyer, "AI-Powered Dermatological Diagnosis: From Interpretable Models to Clinical Implementation A Comprehensive Framework for Accessible and Trustworthy Skin Disease Detection," arXiv preprint, 2025.</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Dermatological conditions affect 1.9 billion people globally, yet accurate diagnosis remains challenging due to limited specialist availability and complex clinical presentations. Family history significantly influences skin disease susceptibility and treatment responses, but is often underutilized in diagnostic processes. This paper establishes design guidelines and benchmarks for our SHAP-based explainability in Layer 3, ensuring predictions are transparent and trustworthy for clinicians.</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[47]</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G. Mansi, N. Karusala, and M. Riedl, "Legally-Informed Explainable AI,"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Explanations for artificial intelligence (AI) systems are intended to support the people who are impacted by AI systems in high-stakes decision-making environments, such as doctors, patients, teachers, students, housing applicants, and many others. To protect people and support the responsible development of AI, explanations need to be actionable--helping people take pragmatic action in response to an AI system--and contestable--enabling people to push back against an AI system and its determinations. This paper establishes design guidelines and benchmarks for our SHAP-based explainability in Layer 3, ensuring predictions are transparent and trustworthy for clinicians.</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2563EB"/>
                <w:sz w:val="18"/>
              </w:rPr>
              <w:t>Method</w:t>
            </w:r>
          </w:p>
        </w:tc>
      </w:tr>
      <w:tr>
        <w:trPr>
          <w:cantSplit/>
        </w:trPr>
        <w:tc>
          <w:tcPr>
            <w:tcW w:type="dxa" w:w="1152"/>
            <w:tcMar>
              <w:top w:w="115" w:type="dxa"/>
              <w:bottom w:w="115" w:type="dxa"/>
              <w:left w:w="144" w:type="dxa"/>
              <w:right w:w="144" w:type="dxa"/>
            </w:tcMar>
          </w:tcPr>
          <w:p>
            <w:pPr>
              <w:spacing w:before="0" w:after="80" w:line="276" w:lineRule="auto"/>
              <w:jc w:val="center"/>
            </w:pPr>
            <w:r>
              <w:rPr>
                <w:rFonts w:ascii="Segoe UI" w:hAnsi="Segoe UI"/>
                <w:b/>
                <w:color w:val="1E3B8A"/>
                <w:sz w:val="18"/>
              </w:rPr>
              <w:t>[48]</w:t>
            </w:r>
          </w:p>
        </w:tc>
        <w:tc>
          <w:tcPr>
            <w:tcW w:type="dxa" w:w="3456"/>
            <w:tcMar>
              <w:top w:w="115" w:type="dxa"/>
              <w:bottom w:w="115" w:type="dxa"/>
              <w:left w:w="144" w:type="dxa"/>
              <w:right w:w="144" w:type="dxa"/>
            </w:tcMar>
          </w:tcPr>
          <w:p>
            <w:pPr>
              <w:spacing w:before="0" w:after="80" w:line="276" w:lineRule="auto"/>
              <w:jc w:val="left"/>
            </w:pPr>
            <w:r>
              <w:rPr>
                <w:rFonts w:ascii="Segoe UI" w:hAnsi="Segoe UI"/>
                <w:color w:val="334155"/>
                <w:sz w:val="18"/>
              </w:rPr>
              <w:t>E. A. M. Stanley, R. Souza, A. Winder, et al., "Towards objective and systematic evaluation of bias in artificial intelligence for medical imaging," arXiv preprint, 2023.</w:t>
            </w:r>
          </w:p>
        </w:tc>
        <w:tc>
          <w:tcPr>
            <w:tcW w:type="dxa" w:w="4320"/>
            <w:tcMar>
              <w:top w:w="115" w:type="dxa"/>
              <w:bottom w:w="115" w:type="dxa"/>
              <w:left w:w="144" w:type="dxa"/>
              <w:right w:w="144" w:type="dxa"/>
            </w:tcMar>
          </w:tcPr>
          <w:p>
            <w:pPr>
              <w:spacing w:before="0" w:after="80" w:line="276" w:lineRule="auto"/>
              <w:jc w:val="left"/>
            </w:pPr>
            <w:r>
              <w:rPr>
                <w:rFonts w:ascii="Segoe UI" w:hAnsi="Segoe UI"/>
                <w:color w:val="334155"/>
                <w:sz w:val="18"/>
              </w:rPr>
              <w:t>Artificial intelligence (AI) models trained using medical images for clinical tasks often exhibit bias in the form of disparities in performance between subgroups. Since not all sources of biases in real-world medical imaging data are easily identifiable, it is challenging to comprehensively assess how those biases are encoded in models, and how capable bias mitigation methods are at ameliorating performance disparities. This paper establishes design guidelines and benchmarks for our SHAP-based explainability in Layer 3, ensuring predictions are transparent and trustworthy for clinicians.</w:t>
            </w:r>
          </w:p>
        </w:tc>
        <w:tc>
          <w:tcPr>
            <w:tcW w:type="dxa" w:w="1152"/>
            <w:tcMar>
              <w:top w:w="115" w:type="dxa"/>
              <w:bottom w:w="115" w:type="dxa"/>
              <w:left w:w="144" w:type="dxa"/>
              <w:right w:w="144" w:type="dxa"/>
            </w:tcMar>
          </w:tcPr>
          <w:p>
            <w:pPr>
              <w:spacing w:before="0" w:after="80" w:line="276" w:lineRule="auto"/>
              <w:jc w:val="center"/>
            </w:pPr>
            <w:r>
              <w:rPr>
                <w:rFonts w:ascii="Segoe UI" w:hAnsi="Segoe UI"/>
                <w:b/>
                <w:color w:val="DC2626"/>
                <w:sz w:val="18"/>
              </w:rPr>
              <w:t>Eval</w:t>
            </w:r>
          </w:p>
        </w:tc>
      </w:tr>
      <w:tr>
        <w:trPr>
          <w:cantSplit/>
        </w:trPr>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1E3B8A"/>
                <w:sz w:val="18"/>
              </w:rPr>
              <w:t>[49]</w:t>
            </w:r>
          </w:p>
        </w:tc>
        <w:tc>
          <w:tcPr>
            <w:tcW w:type="dxa" w:w="3456"/>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A. Carriero, A. d. Hond, B. Cappers, et al., "Explainable AI in Healthcare: to Explain, to Predict, or to Describe?," arXiv preprint, 2025.</w:t>
            </w:r>
          </w:p>
        </w:tc>
        <w:tc>
          <w:tcPr>
            <w:tcW w:type="dxa" w:w="4320"/>
            <w:shd w:val="clear" w:color="auto" w:fill="F8FAFC"/>
            <w:tcMar>
              <w:top w:w="115" w:type="dxa"/>
              <w:bottom w:w="115" w:type="dxa"/>
              <w:left w:w="144" w:type="dxa"/>
              <w:right w:w="144" w:type="dxa"/>
            </w:tcMar>
          </w:tcPr>
          <w:p>
            <w:pPr>
              <w:spacing w:before="0" w:after="80" w:line="276" w:lineRule="auto"/>
              <w:jc w:val="left"/>
            </w:pPr>
            <w:r>
              <w:rPr>
                <w:rFonts w:ascii="Segoe UI" w:hAnsi="Segoe UI"/>
                <w:color w:val="334155"/>
                <w:sz w:val="18"/>
              </w:rPr>
              <w:t>Explainable Artificial Intelligence (AI) methods are designed to provide information about how AI-based models make predictions. In healthcare, there is a widespread expectation that these methods will provide relevant and accurate information about a model's inner-workings to different stakeholders (ranging from patients and healthcare providers to AI and medical guideline developers). This paper establishes design guidelines and benchmarks for our SHAP-based explainability in Layer 3, ensuring predictions are transparent and trustworthy for clinicians.</w:t>
            </w:r>
          </w:p>
        </w:tc>
        <w:tc>
          <w:tcPr>
            <w:tcW w:type="dxa" w:w="1152"/>
            <w:shd w:val="clear" w:color="auto" w:fill="F8FAFC"/>
            <w:tcMar>
              <w:top w:w="115" w:type="dxa"/>
              <w:bottom w:w="115" w:type="dxa"/>
              <w:left w:w="144" w:type="dxa"/>
              <w:right w:w="144" w:type="dxa"/>
            </w:tcMar>
          </w:tcPr>
          <w:p>
            <w:pPr>
              <w:spacing w:before="0" w:after="80" w:line="276" w:lineRule="auto"/>
              <w:jc w:val="center"/>
            </w:pPr>
            <w:r>
              <w:rPr>
                <w:rFonts w:ascii="Segoe UI" w:hAnsi="Segoe UI"/>
                <w:b/>
                <w:color w:val="DC2626"/>
                <w:sz w:val="18"/>
              </w:rPr>
              <w:t>Eval</w:t>
            </w:r>
          </w:p>
        </w:tc>
      </w:tr>
    </w:tbl>
    <w:p>
      <w:pPr>
        <w:spacing w:before="0" w:after="240" w:line="276" w:lineRule="auto"/>
      </w:pP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