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4.xml" ContentType="application/vnd.openxmlformats-officedocument.wordprocessingml.header+xml"/>
  <Override PartName="/word/header8.xml" ContentType="application/vnd.openxmlformats-officedocument.wordprocessingml.header+xml"/>
  <Override PartName="/word/header3.xml" ContentType="application/vnd.openxmlformats-officedocument.wordprocessingml.header+xml"/>
  <Override PartName="/word/header5.xml" ContentType="application/vnd.openxmlformats-officedocument.wordprocessingml.header+xml"/>
  <Override PartName="/word/header7.xml" ContentType="application/vnd.openxmlformats-officedocument.wordprocessingml.header+xml"/>
  <Override PartName="/word/header9.xml" ContentType="application/vnd.openxmlformats-officedocument.wordprocessingml.header+xml"/>
  <Override PartName="/word/header6.xml" ContentType="application/vnd.openxmlformats-officedocument.wordprocessingml.head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footer8.xml" ContentType="application/vnd.openxmlformats-officedocument.wordprocessingml.footer+xml"/>
  <Override PartName="/word/footer7.xml" ContentType="application/vnd.openxmlformats-officedocument.wordprocessingml.footer+xml"/>
  <Override PartName="/word/footer2.xml" ContentType="application/vnd.openxmlformats-officedocument.wordprocessingml.footer+xml"/>
  <Override PartName="/word/footer4.xml" ContentType="application/vnd.openxmlformats-officedocument.wordprocessingml.footer+xml"/>
  <Override PartName="/word/footer1.xml" ContentType="application/vnd.openxmlformats-officedocument.wordprocessingml.footer+xml"/>
  <Override PartName="/word/footer6.xml" ContentType="application/vnd.openxmlformats-officedocument.wordprocessingml.footer+xml"/>
  <Override PartName="/word/footer3.xml" ContentType="application/vnd.openxmlformats-officedocument.wordprocessingml.footer+xml"/>
  <Override PartName="/word/footer5.xml" ContentType="application/vnd.openxmlformats-officedocument.wordprocessingml.footer+xml"/>
  <Override PartName="/word/media/image2.png" ContentType="image/png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ร่างแนวทางรายงาน</w:t>
      </w:r>
      <w:r>
        <w:t xml:space="preserve"> </w:t>
      </w:r>
      <w:r>
        <w:t xml:space="preserve">MK</w:t>
      </w:r>
      <w:r>
        <w:t xml:space="preserve"> </w:t>
      </w:r>
      <w:r>
        <w:t xml:space="preserve">(ฉบับ</w:t>
      </w:r>
      <w:r>
        <w:t xml:space="preserve"> </w:t>
      </w:r>
      <w:r>
        <w:t xml:space="preserve">Claude)</w:t>
      </w:r>
      <w:r>
        <w:t xml:space="preserve"> </w:t>
      </w:r>
      <w:r>
        <w:t xml:space="preserve">—</w:t>
      </w:r>
      <w:r>
        <w:t xml:space="preserve"> </w:t>
      </w:r>
      <w:r>
        <w:t xml:space="preserve">ใช้เทียบกับฉบับกลุ่ม</w:t>
      </w:r>
    </w:p>
    <w:p>
      <w:pPr>
        <w:pStyle w:val="Heading1"/>
      </w:pPr>
      <w:bookmarkStart w:id="20" w:name="สวนท-0-แนวคดหลกของรายงานฉบบน"/>
      <w:r>
        <w:t xml:space="preserve">ส่วนที่ 0 — แนวคิดหลักของรายงานฉบับนี้</w:t>
      </w:r>
      <w:bookmarkEnd w:id="20"/>
    </w:p>
    <w:p>
      <w:pPr>
        <w:pStyle w:val="FirstParagraph"/>
      </w:pPr>
      <w:r>
        <w:t xml:space="preserve">ถ้าผมเป็นคนทำเคส MK ผมจะวางรายงานทั้งเล่มบนประเด็นเดียว คือ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MK ไม่ได้มีปัญหาเรื่องยอดขาย แต่มีปัญหาเรื่องกำไร</w:t>
      </w:r>
      <w:r>
        <w:rPr>
          <w:b/>
        </w:rPr>
        <w:t xml:space="preserve">”</w:t>
      </w:r>
      <w:r>
        <w:t xml:space="preserve"> </w:t>
      </w:r>
      <w:r>
        <w:t xml:space="preserve">ทุกส่วนตั้งแต่ STEEP ไปจนถึงงบประมาณการควรตอบประเด็นนี้</w:t>
      </w:r>
    </w:p>
    <w:p>
      <w:pPr>
        <w:pStyle w:val="BodyText"/>
      </w:pPr>
      <w:r>
        <w:t xml:space="preserve">หลักฐานที่ใช้ตั้งประเด็น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ตัวชี้วัด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2566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2567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2568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6 เดือน 2569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รวมรายได้ (ล้านบาท)</w:t>
            </w:r>
          </w:p>
        </w:tc>
        <w:tc>
          <w:p>
            <w:pPr>
              <w:pStyle w:val="Compact"/>
              <w:jc w:val="left"/>
            </w:pPr>
            <w:r>
              <w:t xml:space="preserve">16,973.55</w:t>
            </w:r>
          </w:p>
        </w:tc>
        <w:tc>
          <w:p>
            <w:pPr>
              <w:pStyle w:val="Compact"/>
              <w:jc w:val="left"/>
            </w:pPr>
            <w:r>
              <w:t xml:space="preserve">15,809.47</w:t>
            </w:r>
          </w:p>
        </w:tc>
        <w:tc>
          <w:p>
            <w:pPr>
              <w:pStyle w:val="Compact"/>
              <w:jc w:val="left"/>
            </w:pPr>
            <w:r>
              <w:t xml:space="preserve">15,420.74</w:t>
            </w:r>
          </w:p>
        </w:tc>
        <w:tc>
          <w:p>
            <w:pPr>
              <w:pStyle w:val="Compact"/>
              <w:jc w:val="left"/>
            </w:pPr>
            <w:r>
              <w:t xml:space="preserve">8,391.04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กำไรสุทธิส่วนบริษัทใหญ่ (ล้านบาท)</w:t>
            </w:r>
          </w:p>
        </w:tc>
        <w:tc>
          <w:p>
            <w:pPr>
              <w:pStyle w:val="Compact"/>
              <w:jc w:val="left"/>
            </w:pPr>
            <w:r>
              <w:t xml:space="preserve">1,681.94</w:t>
            </w:r>
          </w:p>
        </w:tc>
        <w:tc>
          <w:p>
            <w:pPr>
              <w:pStyle w:val="Compact"/>
              <w:jc w:val="left"/>
            </w:pPr>
            <w:r>
              <w:t xml:space="preserve">1,441.57</w:t>
            </w:r>
          </w:p>
        </w:tc>
        <w:tc>
          <w:p>
            <w:pPr>
              <w:pStyle w:val="Compact"/>
              <w:jc w:val="left"/>
            </w:pPr>
            <w:r>
              <w:t xml:space="preserve">837.96</w:t>
            </w:r>
          </w:p>
        </w:tc>
        <w:tc>
          <w:p>
            <w:pPr>
              <w:pStyle w:val="Compact"/>
              <w:jc w:val="left"/>
            </w:pPr>
            <w:r>
              <w:t xml:space="preserve">384.68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อัตรากำไรสุทธิ</w:t>
            </w:r>
          </w:p>
        </w:tc>
        <w:tc>
          <w:p>
            <w:pPr>
              <w:pStyle w:val="Compact"/>
              <w:jc w:val="left"/>
            </w:pPr>
            <w:r>
              <w:t xml:space="preserve">9.9%</w:t>
            </w:r>
          </w:p>
        </w:tc>
        <w:tc>
          <w:p>
            <w:pPr>
              <w:pStyle w:val="Compact"/>
              <w:jc w:val="left"/>
            </w:pPr>
            <w:r>
              <w:t xml:space="preserve">9.1%</w:t>
            </w:r>
          </w:p>
        </w:tc>
        <w:tc>
          <w:p>
            <w:pPr>
              <w:pStyle w:val="Compact"/>
              <w:jc w:val="left"/>
            </w:pPr>
            <w:r>
              <w:t xml:space="preserve">5.4%</w:t>
            </w:r>
          </w:p>
        </w:tc>
        <w:tc>
          <w:p>
            <w:pPr>
              <w:pStyle w:val="Compact"/>
              <w:jc w:val="left"/>
            </w:pPr>
            <w:r>
              <w:t xml:space="preserve">4.6%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อัตรากำไรขั้นต้น (รายได้จากการดำเนินงาน − ต้นทุน)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p>
            <w:pPr>
              <w:pStyle w:val="Compact"/>
              <w:jc w:val="left"/>
            </w:pPr>
            <w:r>
              <w:t xml:space="preserve">67.4%</w:t>
            </w:r>
          </w:p>
        </w:tc>
        <w:tc>
          <w:p>
            <w:pPr>
              <w:pStyle w:val="Compact"/>
              <w:jc w:val="left"/>
            </w:pPr>
            <w:r>
              <w:t xml:space="preserve">64.6%</w:t>
            </w:r>
          </w:p>
        </w:tc>
        <w:tc>
          <w:p>
            <w:pPr>
              <w:pStyle w:val="Compact"/>
              <w:jc w:val="left"/>
            </w:pPr>
            <w:r>
              <w:t xml:space="preserve">61.9%</w:t>
            </w:r>
          </w:p>
        </w:tc>
      </w:tr>
    </w:tbl>
    <w:p>
      <w:pPr>
        <w:pStyle w:val="BodyText"/>
      </w:pPr>
      <w:r>
        <w:t xml:space="preserve">ตารางที่ 0 แนวโน้มรายได้และความสามารถในการทำกำไร (คำนวณจากตารางที่ 1 ของรายงาน)</w:t>
      </w:r>
    </w:p>
    <w:p>
      <w:pPr>
        <w:pStyle w:val="BodyText"/>
      </w:pPr>
      <w:r>
        <w:t xml:space="preserve">ครึ่งแรกปี 2569 รายได้จากการดำเนินงานเพิ่มขึ้น 12.4% จากโบนัส สุกี้ และโปรบุฟเฟต์ แต่กำไรสุทธิลดลงประมาณ 24% แปลว่า</w:t>
      </w:r>
      <w:r>
        <w:t xml:space="preserve"> </w:t>
      </w:r>
      <w:r>
        <w:t xml:space="preserve">“</w:t>
      </w:r>
      <w:r>
        <w:t xml:space="preserve">ยิ่งขายบุฟเฟต์มาก กำไรต่อบาทยิ่งบาง</w:t>
      </w:r>
      <w:r>
        <w:t xml:space="preserve">”</w:t>
      </w:r>
      <w:r>
        <w:t xml:space="preserve"> </w:t>
      </w:r>
      <w:r>
        <w:t xml:space="preserve">ขณะที่สุกี้ตี๋น้อยปี 2568 มียอดขายราว 9,000 ล้านบาท แต่มีกำไรราว 860 ล้านบาท ใกล้เคียง MK ที่มีรายได้มากกว่าเกือบเท่าตัว</w:t>
      </w:r>
    </w:p>
    <w:p>
      <w:pPr>
        <w:pStyle w:val="BodyText"/>
      </w:pPr>
      <w:r>
        <w:rPr>
          <w:b/>
        </w:rPr>
        <w:t xml:space="preserve">ผลต่อโครงเรื่อง:</w:t>
      </w:r>
      <w:r>
        <w:t xml:space="preserve"> </w:t>
      </w:r>
      <w:r>
        <w:t xml:space="preserve">กลยุทธ์ที่เลือกจึงไม่ควรเป็น</w:t>
      </w:r>
      <w:r>
        <w:t xml:space="preserve"> </w:t>
      </w:r>
      <w:r>
        <w:t xml:space="preserve">“</w:t>
      </w:r>
      <w:r>
        <w:t xml:space="preserve">Horizontal Growth</w:t>
      </w:r>
      <w:r>
        <w:t xml:space="preserve">”</w:t>
      </w:r>
      <w:r>
        <w:t xml:space="preserve"> </w:t>
      </w:r>
      <w:r>
        <w:t xml:space="preserve">เฉย ๆ แต่ควรเป็น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เติบโตอย่างมีวินัยกำไร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(Profitable Growth)</w:t>
      </w:r>
      <w:r>
        <w:t xml:space="preserve"> </w:t>
      </w:r>
      <w:r>
        <w:t xml:space="preserve">คือ ขยายเฉพาะส่วนที่ทำเงิน และปรับส่วนที่ไม่ทำเงิน</w:t>
      </w:r>
    </w:p>
    <w:p>
      <w:pPr>
        <w:pStyle w:val="BodyText"/>
      </w:pPr>
      <w:r>
        <w:t xml:space="preserve">ลำดับเหตุผลที่อาจารย์ควรเห็นในเล่ม (ตามโมเดล Ch.1: Environmental Scanning → Formulation → Implementation → Evaluation)</w:t>
      </w:r>
    </w:p>
    <w:p>
      <w:pPr>
        <w:numPr>
          <w:ilvl w:val="0"/>
          <w:numId w:val="1001"/>
        </w:numPr>
        <w:pStyle w:val="Compact"/>
      </w:pPr>
      <w:r>
        <w:t xml:space="preserve">STEEP + Five Forces + CPM → ตลาดแข่งด้วยราคา คู่แข่งบุฟเฟต์กำไรดีกว่า</w:t>
      </w:r>
    </w:p>
    <w:p>
      <w:pPr>
        <w:numPr>
          <w:ilvl w:val="0"/>
          <w:numId w:val="1001"/>
        </w:numPr>
        <w:pStyle w:val="Compact"/>
      </w:pPr>
      <w:r>
        <w:t xml:space="preserve">VRIO + S/W → MK มีของดี (แบรนด์ ครัวกลาง การเงิน) แต่โครงสร้างต้นทุนหนัก และตำแหน่งแบรนด์เริ่มไม่ชัด</w:t>
      </w:r>
    </w:p>
    <w:p>
      <w:pPr>
        <w:numPr>
          <w:ilvl w:val="0"/>
          <w:numId w:val="1001"/>
        </w:numPr>
        <w:pStyle w:val="Compact"/>
      </w:pPr>
      <w:r>
        <w:t xml:space="preserve">SFAS → TOWS →</w:t>
      </w:r>
      <w:r>
        <w:t xml:space="preserve"> </w:t>
      </w:r>
      <w:r>
        <w:rPr>
          <w:b/>
        </w:rPr>
        <w:t xml:space="preserve">เลือกกลุ่มกลยุทธ์ให้ชัด</w:t>
      </w:r>
      <w:r>
        <w:t xml:space="preserve"> </w:t>
      </w:r>
      <w:r>
        <w:t xml:space="preserve">(ตัวอย่าง Major เลือก SO ชัดเจน ฉบับกลุ่มเรายังไม่เลือก)</w:t>
      </w:r>
    </w:p>
    <w:p>
      <w:pPr>
        <w:numPr>
          <w:ilvl w:val="0"/>
          <w:numId w:val="1001"/>
        </w:numPr>
        <w:pStyle w:val="Compact"/>
      </w:pPr>
      <w:r>
        <w:t xml:space="preserve">Corporate / Business / Functional → ต้องต่อจากข้อ 3 ตรง ๆ</w:t>
      </w:r>
    </w:p>
    <w:p>
      <w:pPr>
        <w:numPr>
          <w:ilvl w:val="0"/>
          <w:numId w:val="1001"/>
        </w:numPr>
        <w:pStyle w:val="Compact"/>
      </w:pPr>
      <w:r>
        <w:t xml:space="preserve">Action Plan + BSC + งบประมาณการ → ตัวเลขต้องสะท้อนว่ากำไรฟื้นจริง</w:t>
      </w:r>
    </w:p>
    <w:p>
      <w:pPr>
        <w:pStyle w:val="Heading1"/>
      </w:pPr>
      <w:bookmarkStart w:id="21" w:name="สวนท-1-บทสรปผบรหาร-ราง"/>
      <w:r>
        <w:t xml:space="preserve">ส่วนที่ 1 — บทสรุปผู้บริหาร (ร่าง)</w:t>
      </w:r>
      <w:bookmarkEnd w:id="21"/>
    </w:p>
    <w:p>
      <w:pPr>
        <w:pStyle w:val="FirstParagraph"/>
      </w:pPr>
      <w:r>
        <w:t xml:space="preserve">ปี 2568 เป็นปีที่ท้าทายสำหรับธุรกิจร้านอาหารไทย กำลังซื้อชะลอตัว ต้นทุนวัตถุดิบ ค่าแรง และค่าเช่าสูงขึ้น และตลาดสุกี้–ชาบูแข่งขันกันด้วยบุฟเฟต์ราคาคุ้มค่า บริษัท เอ็มเค เรสโตรองต์ กรุ๊ป จำกัด (มหาชน) มีรายได้จากการดำเนินงาน 15,109 ล้านบาท และกำไรสุทธิ 838 ล้านบาท ลดลงเกือบครึ่งหนึ่งจากปี 2566</w:t>
      </w:r>
    </w:p>
    <w:p>
      <w:pPr>
        <w:pStyle w:val="BodyText"/>
      </w:pPr>
      <w:r>
        <w:t xml:space="preserve">ในครึ่งแรกปี 2569 บริษัทฯ ฟื้นรายได้ได้ 12.4% จากแบรนด์</w:t>
      </w:r>
      <w:r>
        <w:t xml:space="preserve"> </w:t>
      </w:r>
      <w:r>
        <w:t xml:space="preserve">“</w:t>
      </w:r>
      <w:r>
        <w:t xml:space="preserve">โบนัส สุกี้</w:t>
      </w:r>
      <w:r>
        <w:t xml:space="preserve">”</w:t>
      </w:r>
      <w:r>
        <w:t xml:space="preserve"> </w:t>
      </w:r>
      <w:r>
        <w:t xml:space="preserve">ซึ่งเปิดแล้ว 39 สาขาภายในเวลาไม่ถึงหนึ่งปี และมีสัดส่วนรายได้ราว 12% ของกลุ่ม รวมถึงโปรโมชันบุฟเฟต์ของเอ็มเค อย่างไรก็ตาม กำไรสุทธิยังลดลง เนื่องจากต้นทุนวัตถุดิบต่อยอดขายสูงขึ้นจากรูปแบบบุฟเฟต์ อัตรากำไรขั้นต้นลดลงจาก 67.4% ในปี 2567 เหลือประมาณ 61.9%</w:t>
      </w:r>
    </w:p>
    <w:p>
      <w:pPr>
        <w:pStyle w:val="BodyText"/>
      </w:pPr>
      <w:r>
        <w:t xml:space="preserve">คณะผู้จัดทำเห็นว่าโจทย์ของ MK ในอีก 5 ปีข้างหน้า (2569–2573) ไม่ใช่การเพิ่มยอดขายเพียงอย่างเดียว แต่คือการทำให้ยอดขายที่เพิ่มขึ้นกลายเป็นกำไร จึงเสนอกลยุทธ์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การเติบโตอย่างมีวินัยกำไร</w:t>
      </w:r>
      <w:r>
        <w:rPr>
          <w:b/>
        </w:rPr>
        <w:t xml:space="preserve">”</w:t>
      </w:r>
      <w:r>
        <w:t xml:space="preserve"> </w:t>
      </w:r>
      <w:r>
        <w:t xml:space="preserve">ผ่าน 3 แนวทาง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ขยายแบรนด์ที่ทำกำไรได้เร็ว</w:t>
      </w:r>
      <w:r>
        <w:t xml:space="preserve"> </w:t>
      </w:r>
      <w:r>
        <w:t xml:space="preserve">เร่งขยายโบนัส สุกี้ในทำเลต่างจังหวัดและชุมชน โดยทุกสาขาต้องผ่านเกณฑ์ระยะเวลาคืนทุน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ทำให้เอ็มเค สุกี้กลับมาแตกต่าง</w:t>
      </w:r>
      <w:r>
        <w:t xml:space="preserve"> </w:t>
      </w:r>
      <w:r>
        <w:t xml:space="preserve">ยกระดับเอ็มเคเป็นร้านสุกี้ครอบครัวที่ดีต่อสุขภาพและปลอดภัย ลดการพึ่งโปรบุฟเฟต์ลดราคา และใช้ระบบสมาชิกกับแพ็กเกจรายเดือนเพื่อให้ลูกค้ากลับมาซ้ำ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รีดประสิทธิภาพจากครัวกลางและสาขา</w:t>
      </w:r>
      <w:r>
        <w:t xml:space="preserve"> </w:t>
      </w:r>
      <w:r>
        <w:t xml:space="preserve">ใช้ข้อมูลการขายวางแผนการผลิต ลดของเสีย ปรับหรือปิดสาขาที่ขาดทุนต่อเนื่อง</w:t>
      </w:r>
    </w:p>
    <w:p>
      <w:pPr>
        <w:pStyle w:val="FirstParagraph"/>
      </w:pPr>
      <w:r>
        <w:t xml:space="preserve">เป้าหมายทางการเงินคือ รายได้จากการดำเนินงานเติบโตเฉลี่ยราว 6–7% ต่อปี และอัตรากำไรสุทธิกลับขึ้นไปไม่ต่ำกว่า 7% ภายในปี 2573 โดยยังรักษาอัตราหนี้สินต่อทุนต่ำกว่า 0.5 เท่า และจ่ายเงินปันผลไม่ต่ำกว่า 50% ของกำไรสุทธิ</w:t>
      </w:r>
    </w:p>
    <w:p>
      <w:pPr>
        <w:pStyle w:val="Heading1"/>
      </w:pPr>
      <w:bookmarkStart w:id="22" w:name="สวนท-2-จดแขงและจดออน-ฉบบปรบใหม"/>
      <w:r>
        <w:t xml:space="preserve">ส่วนที่ 2 — จุดแข็งและจุดอ่อน (ฉบับปรับใหม่)</w:t>
      </w:r>
      <w:bookmarkEnd w:id="22"/>
    </w:p>
    <w:p>
      <w:pPr>
        <w:pStyle w:val="FirstParagraph"/>
      </w:pPr>
      <w:r>
        <w:t xml:space="preserve">หลักที่ใช้: จุดแข็งต้องเป็นสิ่งที่</w:t>
      </w:r>
      <w:r>
        <w:t xml:space="preserve"> </w:t>
      </w:r>
      <w:r>
        <w:t xml:space="preserve">“</w:t>
      </w:r>
      <w:r>
        <w:t xml:space="preserve">ทำให้ลูกค้าเลือก MK หรือทำให้ต้นทุนต่ำกว่าคู่แข่ง</w:t>
      </w:r>
      <w:r>
        <w:t xml:space="preserve">”</w:t>
      </w:r>
      <w:r>
        <w:t xml:space="preserve"> </w:t>
      </w:r>
      <w:r>
        <w:t xml:space="preserve">(Ch.5) และจุดอ่อนต้องมีตัวเลขรองรับ ไม่ใช่ข้อสังเกตทั่วไป</w:t>
      </w:r>
    </w:p>
    <w:p>
      <w:pPr>
        <w:pStyle w:val="Heading2"/>
      </w:pPr>
      <w:bookmarkStart w:id="23" w:name="จดแขง-strengths"/>
      <w:r>
        <w:t xml:space="preserve">2.1 จุดแข็ง (Strengths)</w:t>
      </w:r>
      <w:bookmarkEnd w:id="23"/>
    </w:p>
    <w:p>
      <w:pPr>
        <w:pStyle w:val="FirstParagraph"/>
      </w:pPr>
      <w:r>
        <w:rPr>
          <w:b/>
        </w:rPr>
        <w:t xml:space="preserve">S1 แบรนด์ที่ครอบครัวไทยไว้วางใจมายาวนาน</w:t>
      </w:r>
      <w:r>
        <w:t xml:space="preserve"> </w:t>
      </w:r>
      <w:r>
        <w:t xml:space="preserve">เอ็มเค สุกี้เปิดสาขาแรกตั้งแต่ปี 2529 ภาพของร้านอาหารสำหรับครอบครัวที่สะอาด ปลอดภัย และบริการดี สะสมมาเกือบ 40 ปี เป็นสิ่งที่คู่แข่งใหม่ซื้อไม่ได้ในระยะสั้น ทำให้ MK ยังขายในราคาที่สูงกว่าร้านบุฟเฟต์ราคาประหยัดได้ในกลุ่มลูกค้าครอบครัว</w:t>
      </w:r>
    </w:p>
    <w:p>
      <w:pPr>
        <w:pStyle w:val="BodyText"/>
      </w:pPr>
      <w:r>
        <w:rPr>
          <w:b/>
        </w:rPr>
        <w:t xml:space="preserve">S2 ระบบครัวกลาง ห้องปฏิบัติการ และโลจิสติกส์ห้องเย็นที่เชื่อมกันครบ</w:t>
      </w:r>
      <w:r>
        <w:t xml:space="preserve"> </w:t>
      </w:r>
      <w:r>
        <w:t xml:space="preserve">การจัดซื้อรวมศูนย์ ครัวกลาง ห้องปฏิบัติการที่ได้มาตรฐาน ISO/IEC 17025 และการขนส่งควบคุมอุณหภูมิร่วมกับ เอ็ม-เซนโค โลจิสติกส์ ทำให้ MK คุมทั้งต้นทุนและความปลอดภัยของอาหารได้ในระดับที่ร้านขนาดเล็กทำไม่ได้ ระบบนี้คือเหตุผลที่ MK สามารถเปิดแบรนด์ใหม่อย่างโบนัส สุกี้ได้เร็ว</w:t>
      </w:r>
    </w:p>
    <w:p>
      <w:pPr>
        <w:pStyle w:val="BodyText"/>
      </w:pPr>
      <w:r>
        <w:rPr>
          <w:b/>
        </w:rPr>
        <w:t xml:space="preserve">S3 ความสามารถในการสร้างแบรนด์ใหม่ได้เร็ว</w:t>
      </w:r>
      <w:r>
        <w:t xml:space="preserve"> </w:t>
      </w:r>
      <w:r>
        <w:t xml:space="preserve">โบนัส สุกี้เปิดแล้ว 39 สาขาภายในไม่ถึงหนึ่งปี และมีสัดส่วนรายได้ราว 12% ของกลุ่มในครึ่งแรกปี 2569 แสดงว่ากลุ่มบริษัทนำระบบเดิม (ครัวกลาง ทีมเปิดสาขา การฝึกอบรม) ไปใช้กับรูปแบบร้านใหม่ได้จริง</w:t>
      </w:r>
    </w:p>
    <w:p>
      <w:pPr>
        <w:pStyle w:val="BodyText"/>
      </w:pPr>
      <w:r>
        <w:rPr>
          <w:b/>
        </w:rPr>
        <w:t xml:space="preserve">S4 ฐานะการเงินแข็งแรง</w:t>
      </w:r>
      <w:r>
        <w:t xml:space="preserve"> </w:t>
      </w:r>
      <w:r>
        <w:t xml:space="preserve">อัตราส่วนหนี้สินต่อทุนประมาณ 0.4 เท่า อัตราส่วนสภาพคล่อง 2.6 เท่า และกระแสเงินสดจากการดำเนินงาน 2,542 ล้านบาทในปี 2568 ทำให้ลงทุนขยายสาขาและปรับปรุงร้านได้ด้วยเงินของตนเอง</w:t>
      </w:r>
    </w:p>
    <w:p>
      <w:pPr>
        <w:pStyle w:val="BodyText"/>
      </w:pPr>
      <w:r>
        <w:rPr>
          <w:b/>
        </w:rPr>
        <w:t xml:space="preserve">S5 เครือข่ายสาขาในทำเลหลักทั่วประเทศ</w:t>
      </w:r>
      <w:r>
        <w:t xml:space="preserve"> </w:t>
      </w:r>
      <w:r>
        <w:t xml:space="preserve">689 สาขา ณ สิ้นปี 2568 ส่วนใหญ่อยู่ในศูนย์การค้าที่มีคนเดินผ่านมาก ทำให้ลูกค้าเข้าถึงง่ายและใช้เป็นจุดรับส่งเดลิเวอรีได้</w:t>
      </w:r>
    </w:p>
    <w:p>
      <w:pPr>
        <w:pStyle w:val="Heading2"/>
      </w:pPr>
      <w:bookmarkStart w:id="24" w:name="จดออน-weaknesses"/>
      <w:r>
        <w:t xml:space="preserve">2.2 จุดอ่อน (Weaknesses)</w:t>
      </w:r>
      <w:bookmarkEnd w:id="24"/>
    </w:p>
    <w:p>
      <w:pPr>
        <w:pStyle w:val="FirstParagraph"/>
      </w:pPr>
      <w:r>
        <w:rPr>
          <w:b/>
        </w:rPr>
        <w:t xml:space="preserve">W1 ความสามารถในการทำกำไรลดลงต่อเนื่อง</w:t>
      </w:r>
      <w:r>
        <w:t xml:space="preserve"> </w:t>
      </w:r>
      <w:r>
        <w:t xml:space="preserve">อัตรากำไรสุทธิลดจาก 9.9% ในปี 2566 เหลือ 5.4% ในปี 2568 และ 4.6% ในครึ่งแรกปี 2569 เมื่อเทียบกับสุกี้ตี๋น้อยที่มีกำไรราว 860 ล้านบาทจากยอดขายราว 9,000 ล้านบาท (ประมาณ 9–10%) แสดงว่าโมเดลธุรกิจของ MK สร้างกำไรต่อบาทได้น้อยกว่าคู่แข่งหลัก</w:t>
      </w:r>
    </w:p>
    <w:p>
      <w:pPr>
        <w:pStyle w:val="BodyText"/>
      </w:pPr>
      <w:r>
        <w:rPr>
          <w:b/>
        </w:rPr>
        <w:t xml:space="preserve">W2 บุฟเฟต์ดันยอดขายแต่กดอัตรากำไรขั้นต้น</w:t>
      </w:r>
      <w:r>
        <w:t xml:space="preserve"> </w:t>
      </w:r>
      <w:r>
        <w:t xml:space="preserve">อัตรากำไรขั้นต้นลดจาก 67.4% (2567) เป็น 64.6% (2568) และประมาณ 61.9% (6 เดือน 2569) เพราะลูกค้าบุฟเฟต์กินวัตถุดิบต่อหัวมากกว่า ยอดขายที่เพิ่มขึ้นจึงไม่แปลงเป็นกำไรเท่าที่ควร</w:t>
      </w:r>
    </w:p>
    <w:p>
      <w:pPr>
        <w:pStyle w:val="BodyText"/>
      </w:pPr>
      <w:r>
        <w:rPr>
          <w:b/>
        </w:rPr>
        <w:t xml:space="preserve">W3 ตำแหน่งของแบรนด์เอ็มเคเริ่มไม่ชัด (เสี่ยง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Stuck in the Middle</w:t>
      </w:r>
      <w:r>
        <w:rPr>
          <w:b/>
        </w:rPr>
        <w:t xml:space="preserve">”</w:t>
      </w:r>
      <w:r>
        <w:rPr>
          <w:b/>
        </w:rPr>
        <w:t xml:space="preserve">)</w:t>
      </w:r>
      <w:r>
        <w:t xml:space="preserve"> </w:t>
      </w:r>
      <w:r>
        <w:t xml:space="preserve">เอ็มเคขายทั้งแบบสั่งตามจาน บุฟเฟต์ 299 บาท และพรีเมียมบุฟเฟต์ ขณะที่กลุ่มบริษัทเองก็มีโบนัส สุกี้ขายบุฟเฟต์ราคาประหยัด ลูกค้าจึงอาจไม่เห็นว่าเอ็มเคเป็น</w:t>
      </w:r>
      <w:r>
        <w:t xml:space="preserve"> </w:t>
      </w:r>
      <w:r>
        <w:t xml:space="preserve">“</w:t>
      </w:r>
      <w:r>
        <w:t xml:space="preserve">ร้านที่ถูกที่สุด</w:t>
      </w:r>
      <w:r>
        <w:t xml:space="preserve">”</w:t>
      </w:r>
      <w:r>
        <w:t xml:space="preserve"> </w:t>
      </w:r>
      <w:r>
        <w:t xml:space="preserve">หรือ</w:t>
      </w:r>
      <w:r>
        <w:t xml:space="preserve"> </w:t>
      </w:r>
      <w:r>
        <w:t xml:space="preserve">“</w:t>
      </w:r>
      <w:r>
        <w:t xml:space="preserve">ร้านที่ดีที่สุด</w:t>
      </w:r>
      <w:r>
        <w:t xml:space="preserve">”</w:t>
      </w:r>
      <w:r>
        <w:t xml:space="preserve"> </w:t>
      </w:r>
      <w:r>
        <w:t xml:space="preserve">ซึ่งตาม Ch.6 คือสภาพที่เสี่ยงต่อผลประกอบการต่ำกว่าค่าเฉลี่ย และยังเสี่ยงแย่งลูกค้ากันเองภายในเครือ</w:t>
      </w:r>
    </w:p>
    <w:p>
      <w:pPr>
        <w:pStyle w:val="BodyText"/>
      </w:pPr>
      <w:r>
        <w:rPr>
          <w:b/>
        </w:rPr>
        <w:t xml:space="preserve">W4 รายได้กระจุกตัวที่แบรนด์เดียวและช่องทางเดียว</w:t>
      </w:r>
      <w:r>
        <w:t xml:space="preserve"> </w:t>
      </w:r>
      <w:r>
        <w:t xml:space="preserve">แบรนด์เอ็มเคคิดเป็นราว 71% ของรายได้ และการนั่งทานในร้านคิดเป็นราว 86% หากลูกค้าเข้าห้างน้อยลง รายได้ของกลุ่มจะได้รับผลกระทบทันที</w:t>
      </w:r>
    </w:p>
    <w:p>
      <w:pPr>
        <w:pStyle w:val="BodyText"/>
      </w:pPr>
      <w:r>
        <w:rPr>
          <w:b/>
        </w:rPr>
        <w:t xml:space="preserve">W5 ต้นทุนคงที่สูงจากสาขาในศูนย์การค้าและแรงงานจำนวนมาก</w:t>
      </w:r>
      <w:r>
        <w:t xml:space="preserve"> </w:t>
      </w:r>
      <w:r>
        <w:t xml:space="preserve">ค่าใช้จ่ายในการขายและบริหารสูงถึงราว 60% ของรายได้ในปี 2568 ค่าเช่าและค่าแรงลดตามยอดขายไม่ได้ ประกอบกับยอดขายสาขาเดิมทั้งปี 2568 ลดลง 2.8% สาขาที่ยอดขายต่ำจึงกลายเป็นภาระของทั้งกลุ่ม</w:t>
      </w:r>
    </w:p>
    <w:p>
      <w:pPr>
        <w:pStyle w:val="BlockText"/>
      </w:pPr>
      <w:r>
        <w:t xml:space="preserve">หมายเหตุสำหรับกลุ่ม: IFAS/SFAS ควรปรับตาม S/W ชุดนี้ โดยให้น้ำหนักสูงสุดกับ W1–W2 และ S2 เพราะเป็นประเด็นที่ตัดสินผลกำไร</w:t>
      </w:r>
    </w:p>
    <w:p>
      <w:pPr>
        <w:pStyle w:val="Heading1"/>
      </w:pPr>
      <w:bookmarkStart w:id="25" w:name="สวนท-3-จาก-tows-สการเลอกกลยทธ"/>
      <w:r>
        <w:t xml:space="preserve">ส่วนที่ 3 — จาก TOWS สู่การเลือกกลยุทธ์</w:t>
      </w:r>
      <w:bookmarkEnd w:id="25"/>
    </w:p>
    <w:p>
      <w:pPr>
        <w:pStyle w:val="FirstParagraph"/>
      </w:pPr>
      <w:r>
        <w:t xml:space="preserve">ฉบับกลุ่มมี TOWS ครบ 4 ช่อง แต่ยังไม่ได้</w:t>
      </w:r>
      <w:r>
        <w:t xml:space="preserve"> </w:t>
      </w:r>
      <w:r>
        <w:t xml:space="preserve">“</w:t>
      </w:r>
      <w:r>
        <w:t xml:space="preserve">เลือก</w:t>
      </w:r>
      <w:r>
        <w:t xml:space="preserve">”</w:t>
      </w:r>
      <w:r>
        <w:t xml:space="preserve"> </w:t>
      </w:r>
      <w:r>
        <w:t xml:space="preserve">ว่าจะเดินทางไหน ตัวอย่าง Major เขียนชัดว่าเลือก SO ผมจะเขียนแบบนี้</w:t>
      </w:r>
    </w:p>
    <w:p>
      <w:pPr>
        <w:pStyle w:val="BlockText"/>
      </w:pPr>
      <w:r>
        <w:t xml:space="preserve">จากคะแนน EFAS 2.65 และ IFAS 2.74 ซึ่งใกล้ค่าเฉลี่ย (2.50) บริษัทฯ ยังมีจุดแข็งพอจะใช้ประโยชน์จากโอกาส แต่จุดอ่อนด้านกำไรมีน้ำหนักสูง คณะผู้จัดทำจึงเลือก</w:t>
      </w:r>
      <w:r>
        <w:t xml:space="preserve"> </w:t>
      </w:r>
      <w:r>
        <w:rPr>
          <w:b/>
        </w:rPr>
        <w:t xml:space="preserve">กลยุทธ์เชิงรุก (SO) ควบคู่กับกลยุทธ์เชิงแก้ไข (WO)</w:t>
      </w:r>
      <w:r>
        <w:t xml:space="preserve"> </w:t>
      </w:r>
      <w:r>
        <w:t xml:space="preserve">โดยใช้แบรนด์ ครัวกลาง และฐานะการเงิน (S1, S2, S4) เพื่อเติบโตในกลุ่มลูกค้าที่ต้องการความคุ้มค่าและสุขภาพ (O1, O4) และแก้ปัญหาอัตรากำไร (W1, W2) ไปพร้อมกัน แทนการเติบโตด้วยการลดราคาเพียงอย่างเดียว</w:t>
      </w:r>
    </w:p>
    <w:p>
      <w:pPr>
        <w:pStyle w:val="FirstParagraph"/>
      </w:pPr>
      <w:r>
        <w:t xml:space="preserve">เพิ่ม</w:t>
      </w:r>
      <w:r>
        <w:t xml:space="preserve"> </w:t>
      </w:r>
      <w:r>
        <w:rPr>
          <w:b/>
        </w:rPr>
        <w:t xml:space="preserve">BCG Matrix (Ch.7)</w:t>
      </w:r>
      <w:r>
        <w:t xml:space="preserve"> </w:t>
      </w:r>
      <w:r>
        <w:t xml:space="preserve">เพื่อบอกว่าแต่ละแบรนด์ควรได้รับทรัพยากรอย่างไร (ฉบับกลุ่มยังไม่มี และเป็นเครื่องมือที่เหมาะกับบริษัทหลายแบรนด์มาก)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ช่อง BCG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แบรนด์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บทบาทในแผน 5 ปี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Cash Cow</w:t>
            </w:r>
          </w:p>
        </w:tc>
        <w:tc>
          <w:p>
            <w:pPr>
              <w:pStyle w:val="Compact"/>
              <w:jc w:val="left"/>
            </w:pPr>
            <w:r>
              <w:t xml:space="preserve">เอ็มเค สุกี้</w:t>
            </w:r>
          </w:p>
        </w:tc>
        <w:tc>
          <w:p>
            <w:pPr>
              <w:pStyle w:val="Compact"/>
              <w:jc w:val="left"/>
            </w:pPr>
            <w:r>
              <w:t xml:space="preserve">สร้างเงินสดหลัก ปรับตำแหน่งให้ชัด ปรับปรุงสาขาเดิม ไม่ลงทุนเปิดสาขาจำนวนมาก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Star / Question Mark → Star</w:t>
            </w:r>
          </w:p>
        </w:tc>
        <w:tc>
          <w:p>
            <w:pPr>
              <w:pStyle w:val="Compact"/>
              <w:jc w:val="left"/>
            </w:pPr>
            <w:r>
              <w:t xml:space="preserve">โบนัส สุกี้</w:t>
            </w:r>
          </w:p>
        </w:tc>
        <w:tc>
          <w:p>
            <w:pPr>
              <w:pStyle w:val="Compact"/>
              <w:jc w:val="left"/>
            </w:pPr>
            <w:r>
              <w:t xml:space="preserve">ลงทุนขยายเร็ว แต่ต้องผ่านเกณฑ์คืนทุนรายสาขา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Cash Cow (ขนาดรอง)</w:t>
            </w:r>
          </w:p>
        </w:tc>
        <w:tc>
          <w:p>
            <w:pPr>
              <w:pStyle w:val="Compact"/>
              <w:jc w:val="left"/>
            </w:pPr>
            <w:r>
              <w:t xml:space="preserve">ยาโยอิ</w:t>
            </w:r>
          </w:p>
        </w:tc>
        <w:tc>
          <w:p>
            <w:pPr>
              <w:pStyle w:val="Compact"/>
              <w:jc w:val="left"/>
            </w:pPr>
            <w:r>
              <w:t xml:space="preserve">รักษาฐาน เน้นมื้อกลางวัน วัยทำงาน และเดลิเวอรี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Question Mark</w:t>
            </w:r>
          </w:p>
        </w:tc>
        <w:tc>
          <w:p>
            <w:pPr>
              <w:pStyle w:val="Compact"/>
              <w:jc w:val="left"/>
            </w:pPr>
            <w:r>
              <w:t xml:space="preserve">แหลมเจริญ ซีฟู้ด, ฮิคินิคุ โตะ โคเมะ</w:t>
            </w:r>
          </w:p>
        </w:tc>
        <w:tc>
          <w:p>
            <w:pPr>
              <w:pStyle w:val="Compact"/>
              <w:jc w:val="left"/>
            </w:pPr>
            <w:r>
              <w:t xml:space="preserve">ทดลองทำเลจำกัด ประเมินผลก่อนขยาย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Dog (ต้องตรวจตัวเลขจาก One Report)</w:t>
            </w:r>
          </w:p>
        </w:tc>
        <w:tc>
          <w:p>
            <w:pPr>
              <w:pStyle w:val="Compact"/>
              <w:jc w:val="left"/>
            </w:pPr>
            <w:r>
              <w:t xml:space="preserve">แบรนด์ขนาดเล็กที่ยอดขายต่ำ</w:t>
            </w:r>
          </w:p>
        </w:tc>
        <w:tc>
          <w:p>
            <w:pPr>
              <w:pStyle w:val="Compact"/>
              <w:jc w:val="left"/>
            </w:pPr>
            <w:r>
              <w:t xml:space="preserve">ทบทวน รวม หรือปิด (Divestment/Retrenchment)</w:t>
            </w:r>
          </w:p>
        </w:tc>
      </w:tr>
    </w:tbl>
    <w:p>
      <w:pPr>
        <w:pStyle w:val="BodyText"/>
      </w:pPr>
      <w:r>
        <w:t xml:space="preserve">ตารางที่ X การจัดกลุ่มแบรนด์ด้วย BCG Matrix</w:t>
      </w:r>
      <w:r>
        <w:t xml:space="preserve"> </w:t>
      </w:r>
      <w:r>
        <w:rPr>
          <w:i/>
        </w:rPr>
        <w:t xml:space="preserve">(ให้กลุ่มใส่สัดส่วนรายได้และจำนวนสาขารายแบรนด์จาก One Report 2568 กำกับทุกแบรนด์)</w:t>
      </w:r>
    </w:p>
    <w:p>
      <w:pPr>
        <w:pStyle w:val="Heading1"/>
      </w:pPr>
      <w:bookmarkStart w:id="26" w:name="สวนท-4-ทางเลอกเชงกลยทธทนำเสนอ"/>
      <w:r>
        <w:t xml:space="preserve">ส่วนที่ 4 — ทางเลือกเชิงกลยุทธ์ที่นำเสนอ</w:t>
      </w:r>
      <w:bookmarkEnd w:id="26"/>
    </w:p>
    <w:p>
      <w:pPr>
        <w:pStyle w:val="Heading2"/>
      </w:pPr>
      <w:bookmarkStart w:id="27" w:name="กลยทธระดบองคกร-corporate-strategy"/>
      <w:r>
        <w:t xml:space="preserve">4.1 กลยุทธ์ระดับองค์กร (Corporate Strategy)</w:t>
      </w:r>
      <w:bookmarkEnd w:id="27"/>
    </w:p>
    <w:p>
      <w:pPr>
        <w:pStyle w:val="FirstParagraph"/>
      </w:pPr>
      <w:r>
        <w:rPr>
          <w:b/>
        </w:rPr>
        <w:t xml:space="preserve">กลยุทธ์การเติบโต (Growth Strategy) แบบการเติบโตในแนวนอน (Horizontal Growth) ควบคู่กับการจัดพอร์ตแบรนด์ (Portfolio &amp; Parenting Strategy)</w:t>
      </w:r>
    </w:p>
    <w:p>
      <w:pPr>
        <w:pStyle w:val="BodyText"/>
      </w:pPr>
      <w:r>
        <w:t xml:space="preserve">บริษัทฯ ควรเติบโตในธุรกิจร้านอาหารที่มีความเชี่ยวชาญอยู่แล้ว โดยขยายโบนัส สุกี้ไปยังจังหวัดและชุมชนที่ยังไม่มีร้านสุกี้บุฟเฟต์ราคาคุ้มค่า และเพิ่มช่องทางขายของเอ็มเคและยาโยอิผ่านเดลิเวอรีและสินค้าค้าปลีก เช่น น้ำจิ้มสุกี้ แต่การเติบโตต้องมาพร้อมวินัยด้านกำไร คือ สำนักงานใหญ่ทำหน้าที่เป็น</w:t>
      </w:r>
      <w:r>
        <w:t xml:space="preserve"> </w:t>
      </w:r>
      <w:r>
        <w:t xml:space="preserve">“</w:t>
      </w:r>
      <w:r>
        <w:t xml:space="preserve">พ่อแม่</w:t>
      </w:r>
      <w:r>
        <w:t xml:space="preserve">”</w:t>
      </w:r>
      <w:r>
        <w:t xml:space="preserve"> </w:t>
      </w:r>
      <w:r>
        <w:t xml:space="preserve">ของทุกแบรนด์ (Parenting Strategy ตาม Ch.7) ให้ใช้ครัวกลาง การจัดซื้อ และระบบฝึกอบรมร่วมกัน และจัดสรรเงินลงทุนให้แบรนด์ที่มีผลตอบแทนสูงก่อน ส่วนสาขาหรือแบรนด์ที่ขาดทุนต่อเนื่องให้ใช้กลยุทธ์ฟื้นฟู (Turnaround) หรือปิด เพื่อหยุดการสูญเสีย</w:t>
      </w:r>
    </w:p>
    <w:p>
      <w:pPr>
        <w:pStyle w:val="BodyText"/>
      </w:pPr>
      <w:r>
        <w:t xml:space="preserve">เหตุผล: สอดคล้องกับ S2–S4 และตอบ W1, W5 โดยตรง และเป็นการเติบโตที่ใช้ทรัพยากรเดิม ไม่ต้องกู้เงินเพิ่ม</w:t>
      </w:r>
    </w:p>
    <w:p>
      <w:pPr>
        <w:pStyle w:val="Heading2"/>
      </w:pPr>
      <w:bookmarkStart w:id="28" w:name="กลยทธระดบธรกจ-business-strategy"/>
      <w:r>
        <w:t xml:space="preserve">4.2 กลยุทธ์ระดับธุรกิจ (Business Strategy)</w:t>
      </w:r>
      <w:bookmarkEnd w:id="28"/>
    </w:p>
    <w:p>
      <w:pPr>
        <w:pStyle w:val="FirstParagraph"/>
      </w:pPr>
      <w:r>
        <w:t xml:space="preserve">ใช้กลยุทธ์ต่างกันตามแบรนด์ เพื่อไม่ให้แบรนด์ในเครือแย่งลูกค้ากันเอง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เอ็มเค สุกี้ — กลยุทธ์สร้างความแตกต่าง (Differentiation)</w:t>
      </w:r>
      <w:r>
        <w:t xml:space="preserve"> </w:t>
      </w:r>
      <w:r>
        <w:t xml:space="preserve">จุดยืนคือ</w:t>
      </w:r>
      <w:r>
        <w:t xml:space="preserve"> </w:t>
      </w:r>
      <w:r>
        <w:t xml:space="preserve">“</w:t>
      </w:r>
      <w:r>
        <w:t xml:space="preserve">สุกี้ครอบครัวที่ดีต่อสุขภาพและปลอดภัยที่สุด</w:t>
      </w:r>
      <w:r>
        <w:t xml:space="preserve">”</w:t>
      </w:r>
      <w:r>
        <w:t xml:space="preserve"> </w:t>
      </w:r>
      <w:r>
        <w:t xml:space="preserve">ใช้ผักจากแหล่ง GAP ผลตรวจจากห้องปฏิบัติการ และเมนูสุขภาพเป็นเหตุผลให้ลูกค้ายอมจ่ายมากกว่าร้านบุฟเฟต์ ลดการใช้โปรบุฟเฟต์ลดราคาเหลือเฉพาะช่วงเวลาที่ร้านว่าง และใช้แพ็กเกจสมาชิกรายเดือน (MK Subscription) สร้างการกลับมาซ้ำแทนการลดราคา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โบนัส สุกี้ — กลยุทธ์ผู้นำต้นทุนต่ำเฉพาะกลุ่ม (Cost Focus)</w:t>
      </w:r>
      <w:r>
        <w:t xml:space="preserve"> </w:t>
      </w:r>
      <w:r>
        <w:t xml:space="preserve">เน้นลูกค้าที่ต้องการความคุ้มค่า ร้านขนาดเล็กกว่า เมนูแคบกว่า และใช้วัตถุดิบร่วมกับเอ็มเคเพื่อให้ต้นทุนต่อหัวต่ำกว่าคู่แข่ง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ยาโยอิ — Differentiation Focus</w:t>
      </w:r>
      <w:r>
        <w:t xml:space="preserve"> </w:t>
      </w:r>
      <w:r>
        <w:t xml:space="preserve">อาหารญี่ปุ่นจานเดียวสำหรับวัยทำงาน เน้นมื้อกลางวันและเดลิเวอรี</w:t>
      </w:r>
    </w:p>
    <w:p>
      <w:pPr>
        <w:pStyle w:val="FirstParagraph"/>
      </w:pPr>
      <w:r>
        <w:t xml:space="preserve">การแยกแบบนี้แก้ W3 โดยตรง และใช้แนวคิด Ch.6 ว่าบริษัทไม่ควรติดอยู่ตรงกลางระหว่างราคาถูกกับความแตกต่าง</w:t>
      </w:r>
    </w:p>
    <w:p>
      <w:pPr>
        <w:pStyle w:val="Heading2"/>
      </w:pPr>
      <w:bookmarkStart w:id="29" w:name="กลยทธระดบหนาท-functional-strategy"/>
      <w:r>
        <w:t xml:space="preserve">4.3 กลยุทธ์ระดับหน้าที่ (Functional Strategy)</w:t>
      </w:r>
      <w:bookmarkEnd w:id="29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การตลาด:</w:t>
      </w:r>
      <w:r>
        <w:t xml:space="preserve"> </w:t>
      </w:r>
      <w:r>
        <w:t xml:space="preserve">ใช้ Market Penetration กับเอ็มเคผ่านระบบสมาชิกและแพ็กเกจรายเดือน, Market Development กับโบนัส สุกี้ในต่างจังหวัด, และ Brand Extension ผ่านสินค้าค้าปลีก (น้ำจิ้ม ชุดสุกี้พร้อมปรุง)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การเงิน:</w:t>
      </w:r>
      <w:r>
        <w:t xml:space="preserve"> </w:t>
      </w:r>
      <w:r>
        <w:t xml:space="preserve">ใช้เงินทุนภายใน ไม่ก่อหนี้เพิ่ม ตั้งเกณฑ์ว่าสาขาใหม่ต้องคืนทุนภายใน 3 ปี และรักษานโยบายปันผลไม่ต่ำกว่า 50%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การวิจัยและพัฒนา:</w:t>
      </w:r>
      <w:r>
        <w:t xml:space="preserve"> </w:t>
      </w:r>
      <w:r>
        <w:t xml:space="preserve">พัฒนาเมนูสุขภาพ เมนูที่ต้นทุนต่อจานเหมาะสม (Menu Engineering) และสินค้าพร้อมปรุงสำหรับค้าปลีก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การดำเนินงาน:</w:t>
      </w:r>
      <w:r>
        <w:t xml:space="preserve"> </w:t>
      </w:r>
      <w:r>
        <w:t xml:space="preserve">ใช้ข้อมูลยอดขายรายสาขาวางแผนผลิตที่ครัวกลาง ลดของเสีย ใช้ระบบสั่งอาหารผ่านแท็บเล็ตและหุ่นยนต์ในสาขาที่คุ้มค่า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ทรัพยากรมนุษย์:</w:t>
      </w:r>
      <w:r>
        <w:t xml:space="preserve"> </w:t>
      </w:r>
      <w:r>
        <w:t xml:space="preserve">ฝึกพนักงานให้ทำได้หลายหน้าที่ (Multi-skill) เพื่อลดต้นทุนแรงงานต่อยอดขาย และพัฒนาผู้จัดการสาขาให้ดูทั้งยอดขายและกำไร</w:t>
      </w:r>
    </w:p>
    <w:p>
      <w:pPr>
        <w:pStyle w:val="Heading1"/>
      </w:pPr>
      <w:bookmarkStart w:id="30" w:name="X326b88a8402695b249c6a3737e9b5688dbb9ffd"/>
      <w:r>
        <w:t xml:space="preserve">ส่วนที่ 5 — การนำกลยุทธ์ไปใช้ แผนปฏิบัติการ และการควบคุม</w:t>
      </w:r>
      <w:bookmarkEnd w:id="30"/>
    </w:p>
    <w:p>
      <w:pPr>
        <w:pStyle w:val="Heading2"/>
      </w:pPr>
      <w:bookmarkStart w:id="31" w:name="การนำกลยทธไปใช"/>
      <w:r>
        <w:t xml:space="preserve">5.1 การนำกลยุทธ์ไปใช้</w:t>
      </w:r>
      <w:bookmarkEnd w:id="31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ระดับกลยุทธ์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การนำไปปฏิบัติ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การประเมินผล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องค์กร: เติบโตแนวนอน + จัดพอร์ต</w:t>
            </w:r>
          </w:p>
        </w:tc>
        <w:tc>
          <w:p>
            <w:pPr>
              <w:pStyle w:val="Compact"/>
              <w:jc w:val="left"/>
            </w:pPr>
            <w:r>
              <w:t xml:space="preserve">เปิดโบนัส สุกี้เฉลี่ยปีละ 40–50 สาขา; ทบทวนสาขาขาดทุนทุกไตรมาส</w:t>
            </w:r>
          </w:p>
        </w:tc>
        <w:tc>
          <w:p>
            <w:pPr>
              <w:pStyle w:val="Compact"/>
              <w:jc w:val="left"/>
            </w:pPr>
            <w:r>
              <w:t xml:space="preserve">จำนวนสาขาใหม่ที่ถึงจุดคุ้มทุนตามแผน; จำนวนสาขาขาดทุนลดลง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ธุรกิจ: เอ็มเค Differentiation</w:t>
            </w:r>
          </w:p>
        </w:tc>
        <w:tc>
          <w:p>
            <w:pPr>
              <w:pStyle w:val="Compact"/>
              <w:jc w:val="left"/>
            </w:pPr>
            <w:r>
              <w:t xml:space="preserve">เปิดตัวเมนูสุขภาพ; ลดความถี่โปรบุฟเฟต์; ขยาย MK Subscription</w:t>
            </w:r>
          </w:p>
        </w:tc>
        <w:tc>
          <w:p>
            <w:pPr>
              <w:pStyle w:val="Compact"/>
              <w:jc w:val="left"/>
            </w:pPr>
            <w:r>
              <w:t xml:space="preserve">อัตรากำไรขั้นต้นเอ็มเค; ยอดขายสาขาเดิม (SSSG); จำนวนสมาชิก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ธุรกิจ: โบนัส สุกี้ Cost Focus</w:t>
            </w:r>
          </w:p>
        </w:tc>
        <w:tc>
          <w:p>
            <w:pPr>
              <w:pStyle w:val="Compact"/>
              <w:jc w:val="left"/>
            </w:pPr>
            <w:r>
              <w:t xml:space="preserve">ร้านต้นแบบขนาดเล็ก เมนูมาตรฐาน วัตถุดิบร่วม</w:t>
            </w:r>
          </w:p>
        </w:tc>
        <w:tc>
          <w:p>
            <w:pPr>
              <w:pStyle w:val="Compact"/>
              <w:jc w:val="left"/>
            </w:pPr>
            <w:r>
              <w:t xml:space="preserve">ต้นทุนวัตถุดิบต่อหัว; ระยะเวลาคืนทุนต่อสาขา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การตลาด</w:t>
            </w:r>
          </w:p>
        </w:tc>
        <w:tc>
          <w:p>
            <w:pPr>
              <w:pStyle w:val="Compact"/>
              <w:jc w:val="left"/>
            </w:pPr>
            <w:r>
              <w:t xml:space="preserve">ระบบสมาชิก, สินค้าค้าปลีก, เดลิเวอรีแบบชุดครอบครัว</w:t>
            </w:r>
          </w:p>
        </w:tc>
        <w:tc>
          <w:p>
            <w:pPr>
              <w:pStyle w:val="Compact"/>
              <w:jc w:val="left"/>
            </w:pPr>
            <w:r>
              <w:t xml:space="preserve">สัดส่วนรายได้นอกร้าน; อัตราลูกค้ากลับมาซ้ำ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การเงิน</w:t>
            </w:r>
          </w:p>
        </w:tc>
        <w:tc>
          <w:p>
            <w:pPr>
              <w:pStyle w:val="Compact"/>
              <w:jc w:val="left"/>
            </w:pPr>
            <w:r>
              <w:t xml:space="preserve">เกณฑ์ลงทุน Payback ≤ 3 ปี; ใช้เงินทุนภายใน</w:t>
            </w:r>
          </w:p>
        </w:tc>
        <w:tc>
          <w:p>
            <w:pPr>
              <w:pStyle w:val="Compact"/>
              <w:jc w:val="left"/>
            </w:pPr>
            <w:r>
              <w:t xml:space="preserve">D/E &lt; 0.5; ROE; ปันผล ≥ 50%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การวิจัยและพัฒนา</w:t>
            </w:r>
          </w:p>
        </w:tc>
        <w:tc>
          <w:p>
            <w:pPr>
              <w:pStyle w:val="Compact"/>
              <w:jc w:val="left"/>
            </w:pPr>
            <w:r>
              <w:t xml:space="preserve">Menu Engineering; สินค้าพร้อมปรุง</w:t>
            </w:r>
          </w:p>
        </w:tc>
        <w:tc>
          <w:p>
            <w:pPr>
              <w:pStyle w:val="Compact"/>
              <w:jc w:val="left"/>
            </w:pPr>
            <w:r>
              <w:t xml:space="preserve">จำนวนเมนูใหม่ที่ผ่านเกณฑ์ต้นทุน; ยอดขายค้าปลีก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การดำเนินงาน</w:t>
            </w:r>
          </w:p>
        </w:tc>
        <w:tc>
          <w:p>
            <w:pPr>
              <w:pStyle w:val="Compact"/>
              <w:jc w:val="left"/>
            </w:pPr>
            <w:r>
              <w:t xml:space="preserve">วางแผนผลิตด้วยข้อมูลขาย; ลดของเสีย</w:t>
            </w:r>
          </w:p>
        </w:tc>
        <w:tc>
          <w:p>
            <w:pPr>
              <w:pStyle w:val="Compact"/>
              <w:jc w:val="left"/>
            </w:pPr>
            <w:r>
              <w:t xml:space="preserve">อัตราของเสียอาหาร; ต้นทุนวัตถุดิบต่อยอดขาย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ทรัพยากรมนุษย์</w:t>
            </w:r>
          </w:p>
        </w:tc>
        <w:tc>
          <w:p>
            <w:pPr>
              <w:pStyle w:val="Compact"/>
              <w:jc w:val="left"/>
            </w:pPr>
            <w:r>
              <w:t xml:space="preserve">Multi-skill, หลักสูตรผู้จัดการสาขา</w:t>
            </w:r>
          </w:p>
        </w:tc>
        <w:tc>
          <w:p>
            <w:pPr>
              <w:pStyle w:val="Compact"/>
              <w:jc w:val="left"/>
            </w:pPr>
            <w:r>
              <w:t xml:space="preserve">ยอดขายต่อพนักงาน; อัตราลาออก</w:t>
            </w:r>
          </w:p>
        </w:tc>
      </w:tr>
    </w:tbl>
    <w:p>
      <w:pPr>
        <w:pStyle w:val="BodyText"/>
      </w:pPr>
      <w:r>
        <w:t xml:space="preserve">ตารางที่ 7 การนำกลยุทธ์ไปใช้</w:t>
      </w:r>
    </w:p>
    <w:p>
      <w:pPr>
        <w:pStyle w:val="Heading2"/>
      </w:pPr>
      <w:bookmarkStart w:id="32" w:name="Xbf495d12a0c1008ad6f980c537e84089b3e76c6"/>
      <w:r>
        <w:t xml:space="preserve">5.2 แผนปฏิบัติการ (Action Planning) — ตัวอย่างโครงงบประมาณ</w:t>
      </w:r>
      <w:bookmarkEnd w:id="32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แนวทางปฏิบัติ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ผู้รับผิดชอบ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ช่วงเวลา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งบประมาณ (ล้านบาท/ปี)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ตัวชี้วัด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ขยายโบนัส สุกี้ 40–50 สาขา/ปี</w:t>
            </w:r>
          </w:p>
        </w:tc>
        <w:tc>
          <w:p>
            <w:pPr>
              <w:pStyle w:val="Compact"/>
              <w:jc w:val="left"/>
            </w:pPr>
            <w:r>
              <w:t xml:space="preserve">คณะกรรมการบริหาร, ฝ่ายพัฒนาธุรกิจ</w:t>
            </w:r>
          </w:p>
        </w:tc>
        <w:tc>
          <w:p>
            <w:pPr>
              <w:pStyle w:val="Compact"/>
              <w:jc w:val="left"/>
            </w:pPr>
            <w:r>
              <w:t xml:space="preserve">2569–2573</w:t>
            </w:r>
          </w:p>
        </w:tc>
        <w:tc>
          <w:p>
            <w:pPr>
              <w:pStyle w:val="Compact"/>
              <w:jc w:val="left"/>
            </w:pPr>
            <w:r>
              <w:t xml:space="preserve">600–750</w:t>
            </w:r>
          </w:p>
        </w:tc>
        <w:tc>
          <w:p>
            <w:pPr>
              <w:pStyle w:val="Compact"/>
              <w:jc w:val="left"/>
            </w:pPr>
            <w:r>
              <w:t xml:space="preserve">สาขาคืนทุน ≤ 3 ปี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ปรับปรุงภาพลักษณ์และเมนูสุขภาพเอ็มเค สุกี้</w:t>
            </w:r>
          </w:p>
        </w:tc>
        <w:tc>
          <w:p>
            <w:pPr>
              <w:pStyle w:val="Compact"/>
              <w:jc w:val="left"/>
            </w:pPr>
            <w:r>
              <w:t xml:space="preserve">ฝ่ายการตลาด, ฝ่ายวิจัยพัฒนา</w:t>
            </w:r>
          </w:p>
        </w:tc>
        <w:tc>
          <w:p>
            <w:pPr>
              <w:pStyle w:val="Compact"/>
              <w:jc w:val="left"/>
            </w:pPr>
            <w:r>
              <w:t xml:space="preserve">2569–2571</w:t>
            </w:r>
          </w:p>
        </w:tc>
        <w:tc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p>
            <w:pPr>
              <w:pStyle w:val="Compact"/>
              <w:jc w:val="left"/>
            </w:pPr>
            <w:r>
              <w:t xml:space="preserve">SSSG ≥ 2%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MK Subscription และระบบสมาชิก</w:t>
            </w:r>
          </w:p>
        </w:tc>
        <w:tc>
          <w:p>
            <w:pPr>
              <w:pStyle w:val="Compact"/>
              <w:jc w:val="left"/>
            </w:pPr>
            <w:r>
              <w:t xml:space="preserve">ฝ่ายการตลาด, ฝ่ายไอที</w:t>
            </w:r>
          </w:p>
        </w:tc>
        <w:tc>
          <w:p>
            <w:pPr>
              <w:pStyle w:val="Compact"/>
              <w:jc w:val="left"/>
            </w:pPr>
            <w:r>
              <w:t xml:space="preserve">2569–2573</w:t>
            </w:r>
          </w:p>
        </w:tc>
        <w:tc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p>
            <w:pPr>
              <w:pStyle w:val="Compact"/>
              <w:jc w:val="left"/>
            </w:pPr>
            <w:r>
              <w:t xml:space="preserve">สมาชิกใหม่ปีละ 10%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สินค้าค้าปลีก (น้ำจิ้ม ชุดสุกี้)</w:t>
            </w:r>
          </w:p>
        </w:tc>
        <w:tc>
          <w:p>
            <w:pPr>
              <w:pStyle w:val="Compact"/>
              <w:jc w:val="left"/>
            </w:pPr>
            <w:r>
              <w:t xml:space="preserve">ฝ่ายวิจัยพัฒนา, ครัวกลาง</w:t>
            </w:r>
          </w:p>
        </w:tc>
        <w:tc>
          <w:p>
            <w:pPr>
              <w:pStyle w:val="Compact"/>
              <w:jc w:val="left"/>
            </w:pPr>
            <w:r>
              <w:t xml:space="preserve">2570–2573</w:t>
            </w:r>
          </w:p>
        </w:tc>
        <w:tc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t xml:space="preserve">รายได้ค้าปลีก 2% ของรายได้ภายในปี 2573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ระบบวางแผนผลิตจากข้อมูลขาย</w:t>
            </w:r>
          </w:p>
        </w:tc>
        <w:tc>
          <w:p>
            <w:pPr>
              <w:pStyle w:val="Compact"/>
              <w:jc w:val="left"/>
            </w:pPr>
            <w:r>
              <w:t xml:space="preserve">ฝ่ายปฏิบัติการ, ฝ่ายไอที</w:t>
            </w:r>
          </w:p>
        </w:tc>
        <w:tc>
          <w:p>
            <w:pPr>
              <w:pStyle w:val="Compact"/>
              <w:jc w:val="left"/>
            </w:pPr>
            <w:r>
              <w:t xml:space="preserve">2569–2570</w:t>
            </w:r>
          </w:p>
        </w:tc>
        <w:tc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p>
            <w:pPr>
              <w:pStyle w:val="Compact"/>
              <w:jc w:val="left"/>
            </w:pPr>
            <w:r>
              <w:t xml:space="preserve">ของเสียลดลง 15%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ทบทวน/ปิดสาขาขาดทุน</w:t>
            </w:r>
          </w:p>
        </w:tc>
        <w:tc>
          <w:p>
            <w:pPr>
              <w:pStyle w:val="Compact"/>
              <w:jc w:val="left"/>
            </w:pPr>
            <w:r>
              <w:t xml:space="preserve">ฝ่ายปฏิบัติการ, ฝ่ายการเงิน</w:t>
            </w:r>
          </w:p>
        </w:tc>
        <w:tc>
          <w:p>
            <w:pPr>
              <w:pStyle w:val="Compact"/>
              <w:jc w:val="left"/>
            </w:pPr>
            <w:r>
              <w:t xml:space="preserve">ทุกไตรมาส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สาขาขาดทุนลดลงครึ่งหนึ่งภายในปี 2571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อบรม Multi-skill และผู้จัดการสาขา</w:t>
            </w:r>
          </w:p>
        </w:tc>
        <w:tc>
          <w:p>
            <w:pPr>
              <w:pStyle w:val="Compact"/>
              <w:jc w:val="left"/>
            </w:pPr>
            <w:r>
              <w:t xml:space="preserve">ฝ่ายทรัพยากรมนุษย์ (MK Training Center)</w:t>
            </w:r>
          </w:p>
        </w:tc>
        <w:tc>
          <w:p>
            <w:pPr>
              <w:pStyle w:val="Compact"/>
              <w:jc w:val="left"/>
            </w:pPr>
            <w:r>
              <w:t xml:space="preserve">2569–2573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ยอดขายต่อพนักงาน +5%/ปี</w:t>
            </w:r>
          </w:p>
        </w:tc>
      </w:tr>
    </w:tbl>
    <w:p>
      <w:pPr>
        <w:pStyle w:val="BodyText"/>
      </w:pPr>
      <w:r>
        <w:t xml:space="preserve">ตารางที่ 8 แผนปฏิบัติการ</w:t>
      </w:r>
      <w:r>
        <w:t xml:space="preserve"> </w:t>
      </w:r>
      <w:r>
        <w:rPr>
          <w:i/>
        </w:rPr>
        <w:t xml:space="preserve">(ตัวเลขงบประมาณเป็นสมมติฐานของผู้จัดทำ ควรเขียนหมายเหตุไว้ใต้ตาราง และทำตาราง Gantt รายไตรมาสแบบตัวอย่าง Major)</w:t>
      </w:r>
    </w:p>
    <w:p>
      <w:pPr>
        <w:pStyle w:val="Heading2"/>
      </w:pPr>
      <w:bookmarkStart w:id="33" w:name="Xdf87e3688e3f14170524cf94741d1c9fffcb895"/>
      <w:r>
        <w:t xml:space="preserve">5.3 การควบคุมและประเมินผล (Balanced Scorecard — Ch.12)</w:t>
      </w:r>
      <w:bookmarkEnd w:id="33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มุมมอง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วัตถุประสงค์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ตัวชี้วัด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เป้าหมาย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กิจกรรม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การเงิน</w:t>
            </w:r>
          </w:p>
        </w:tc>
        <w:tc>
          <w:p>
            <w:pPr>
              <w:pStyle w:val="Compact"/>
              <w:jc w:val="left"/>
            </w:pPr>
            <w:r>
              <w:t xml:space="preserve">ฟื้นความสามารถทำกำไร</w:t>
            </w:r>
          </w:p>
        </w:tc>
        <w:tc>
          <w:p>
            <w:pPr>
              <w:pStyle w:val="Compact"/>
              <w:jc w:val="left"/>
            </w:pPr>
            <w:r>
              <w:t xml:space="preserve">อัตรากำไรสุทธิ</w:t>
            </w:r>
          </w:p>
        </w:tc>
        <w:tc>
          <w:p>
            <w:pPr>
              <w:pStyle w:val="Compact"/>
              <w:jc w:val="left"/>
            </w:pPr>
            <w:r>
              <w:t xml:space="preserve">≥ 7% ภายในปี 2573</w:t>
            </w:r>
          </w:p>
        </w:tc>
        <w:tc>
          <w:p>
            <w:pPr>
              <w:pStyle w:val="Compact"/>
              <w:jc w:val="left"/>
            </w:pPr>
            <w:r>
              <w:t xml:space="preserve">Menu Engineering, ปิดสาขาขาดทุน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การเงิน</w:t>
            </w:r>
          </w:p>
        </w:tc>
        <w:tc>
          <w:p>
            <w:pPr>
              <w:pStyle w:val="Compact"/>
              <w:jc w:val="left"/>
            </w:pPr>
            <w:r>
              <w:t xml:space="preserve">รายได้เติบโต</w:t>
            </w:r>
          </w:p>
        </w:tc>
        <w:tc>
          <w:p>
            <w:pPr>
              <w:pStyle w:val="Compact"/>
              <w:jc w:val="left"/>
            </w:pPr>
            <w:r>
              <w:t xml:space="preserve">อัตราเติบโตรายได้</w:t>
            </w:r>
          </w:p>
        </w:tc>
        <w:tc>
          <w:p>
            <w:pPr>
              <w:pStyle w:val="Compact"/>
              <w:jc w:val="left"/>
            </w:pPr>
            <w:r>
              <w:t xml:space="preserve">5–7% ต่อปี</w:t>
            </w:r>
          </w:p>
        </w:tc>
        <w:tc>
          <w:p>
            <w:pPr>
              <w:pStyle w:val="Compact"/>
              <w:jc w:val="left"/>
            </w:pPr>
            <w:r>
              <w:t xml:space="preserve">ขยายโบนัส สุกี้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การเงิน</w:t>
            </w:r>
          </w:p>
        </w:tc>
        <w:tc>
          <w:p>
            <w:pPr>
              <w:pStyle w:val="Compact"/>
              <w:jc w:val="left"/>
            </w:pPr>
            <w:r>
              <w:t xml:space="preserve">ผลตอบแทนผู้ถือหุ้น</w:t>
            </w:r>
          </w:p>
        </w:tc>
        <w:tc>
          <w:p>
            <w:pPr>
              <w:pStyle w:val="Compact"/>
              <w:jc w:val="left"/>
            </w:pPr>
            <w:r>
              <w:t xml:space="preserve">อัตราปันผล</w:t>
            </w:r>
          </w:p>
        </w:tc>
        <w:tc>
          <w:p>
            <w:pPr>
              <w:pStyle w:val="Compact"/>
              <w:jc w:val="left"/>
            </w:pPr>
            <w:r>
              <w:t xml:space="preserve">≥ 50% ของกำไร</w:t>
            </w:r>
          </w:p>
        </w:tc>
        <w:tc>
          <w:p>
            <w:pPr>
              <w:pStyle w:val="Compact"/>
              <w:jc w:val="left"/>
            </w:pPr>
            <w:r>
              <w:t xml:space="preserve">นโยบายปันผลต่อเนื่อง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ลูกค้า</w:t>
            </w:r>
          </w:p>
        </w:tc>
        <w:tc>
          <w:p>
            <w:pPr>
              <w:pStyle w:val="Compact"/>
              <w:jc w:val="left"/>
            </w:pPr>
            <w:r>
              <w:t xml:space="preserve">ลูกค้ากลับมาซ้ำ</w:t>
            </w:r>
          </w:p>
        </w:tc>
        <w:tc>
          <w:p>
            <w:pPr>
              <w:pStyle w:val="Compact"/>
              <w:jc w:val="left"/>
            </w:pPr>
            <w:r>
              <w:t xml:space="preserve">อัตราสมาชิกที่ใช้ซ้ำ</w:t>
            </w:r>
          </w:p>
        </w:tc>
        <w:tc>
          <w:p>
            <w:pPr>
              <w:pStyle w:val="Compact"/>
              <w:jc w:val="left"/>
            </w:pPr>
            <w:r>
              <w:t xml:space="preserve">≥ 60%</w:t>
            </w:r>
          </w:p>
        </w:tc>
        <w:tc>
          <w:p>
            <w:pPr>
              <w:pStyle w:val="Compact"/>
              <w:jc w:val="left"/>
            </w:pPr>
            <w:r>
              <w:t xml:space="preserve">MK Subscription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ลูกค้า</w:t>
            </w:r>
          </w:p>
        </w:tc>
        <w:tc>
          <w:p>
            <w:pPr>
              <w:pStyle w:val="Compact"/>
              <w:jc w:val="left"/>
            </w:pPr>
            <w:r>
              <w:t xml:space="preserve">ขยายช่องทางนอกร้าน</w:t>
            </w:r>
          </w:p>
        </w:tc>
        <w:tc>
          <w:p>
            <w:pPr>
              <w:pStyle w:val="Compact"/>
              <w:jc w:val="left"/>
            </w:pPr>
            <w:r>
              <w:t xml:space="preserve">สัดส่วนรายได้เดลิเวอรี+ซื้อกลับ+ค้าปลีก</w:t>
            </w:r>
          </w:p>
        </w:tc>
        <w:tc>
          <w:p>
            <w:pPr>
              <w:pStyle w:val="Compact"/>
              <w:jc w:val="left"/>
            </w:pPr>
            <w:r>
              <w:t xml:space="preserve">จาก 14% เป็น ≥ 20%</w:t>
            </w:r>
          </w:p>
        </w:tc>
        <w:tc>
          <w:p>
            <w:pPr>
              <w:pStyle w:val="Compact"/>
              <w:jc w:val="left"/>
            </w:pPr>
            <w:r>
              <w:t xml:space="preserve">ชุดครอบครัว, สินค้าค้าปลีก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กระบวนการภายใน</w:t>
            </w:r>
          </w:p>
        </w:tc>
        <w:tc>
          <w:p>
            <w:pPr>
              <w:pStyle w:val="Compact"/>
              <w:jc w:val="left"/>
            </w:pPr>
            <w:r>
              <w:t xml:space="preserve">ลดต้นทุนวัตถุดิบ</w:t>
            </w:r>
          </w:p>
        </w:tc>
        <w:tc>
          <w:p>
            <w:pPr>
              <w:pStyle w:val="Compact"/>
              <w:jc w:val="left"/>
            </w:pPr>
            <w:r>
              <w:t xml:space="preserve">อัตรากำไรขั้นต้น</w:t>
            </w:r>
          </w:p>
        </w:tc>
        <w:tc>
          <w:p>
            <w:pPr>
              <w:pStyle w:val="Compact"/>
              <w:jc w:val="left"/>
            </w:pPr>
            <w:r>
              <w:t xml:space="preserve">≥ 64% ภายในปี 2573</w:t>
            </w:r>
          </w:p>
        </w:tc>
        <w:tc>
          <w:p>
            <w:pPr>
              <w:pStyle w:val="Compact"/>
              <w:jc w:val="left"/>
            </w:pPr>
            <w:r>
              <w:t xml:space="preserve">วางแผนผลิต, วัตถุดิบร่วม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กระบวนการภายใน</w:t>
            </w:r>
          </w:p>
        </w:tc>
        <w:tc>
          <w:p>
            <w:pPr>
              <w:pStyle w:val="Compact"/>
              <w:jc w:val="left"/>
            </w:pPr>
            <w:r>
              <w:t xml:space="preserve">ความปลอดภัยอาหาร</w:t>
            </w:r>
          </w:p>
        </w:tc>
        <w:tc>
          <w:p>
            <w:pPr>
              <w:pStyle w:val="Compact"/>
              <w:jc w:val="left"/>
            </w:pPr>
            <w:r>
              <w:t xml:space="preserve">ข้อร้องเรียนด้านความปลอดภัยอาหาร</w:t>
            </w:r>
          </w:p>
        </w:tc>
        <w:tc>
          <w:p>
            <w:pPr>
              <w:pStyle w:val="Compact"/>
              <w:jc w:val="left"/>
            </w:pPr>
            <w:r>
              <w:t xml:space="preserve">0 กรณีร้ายแรง</w:t>
            </w:r>
          </w:p>
        </w:tc>
        <w:tc>
          <w:p>
            <w:pPr>
              <w:pStyle w:val="Compact"/>
              <w:jc w:val="left"/>
            </w:pPr>
            <w:r>
              <w:t xml:space="preserve">ตรวจสาขาทุก 2 เดือน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การเรียนรู้และพัฒนา</w:t>
            </w:r>
          </w:p>
        </w:tc>
        <w:tc>
          <w:p>
            <w:pPr>
              <w:pStyle w:val="Compact"/>
              <w:jc w:val="left"/>
            </w:pPr>
            <w:r>
              <w:t xml:space="preserve">บุคลากรหลายทักษะ</w:t>
            </w:r>
          </w:p>
        </w:tc>
        <w:tc>
          <w:p>
            <w:pPr>
              <w:pStyle w:val="Compact"/>
              <w:jc w:val="left"/>
            </w:pPr>
            <w:r>
              <w:t xml:space="preserve">% พนักงานผ่าน Multi-skill</w:t>
            </w:r>
          </w:p>
        </w:tc>
        <w:tc>
          <w:p>
            <w:pPr>
              <w:pStyle w:val="Compact"/>
              <w:jc w:val="left"/>
            </w:pPr>
            <w:r>
              <w:t xml:space="preserve">≥ 70% ภายในปี 2571</w:t>
            </w:r>
          </w:p>
        </w:tc>
        <w:tc>
          <w:p>
            <w:pPr>
              <w:pStyle w:val="Compact"/>
              <w:jc w:val="left"/>
            </w:pPr>
            <w:r>
              <w:t xml:space="preserve">หลักสูตร MK Training Center</w:t>
            </w:r>
          </w:p>
        </w:tc>
      </w:tr>
    </w:tbl>
    <w:p>
      <w:pPr>
        <w:pStyle w:val="BodyText"/>
      </w:pPr>
      <w:r>
        <w:t xml:space="preserve">ตารางที่ 9 การควบคุมและประเมินผล</w:t>
      </w:r>
    </w:p>
    <w:p>
      <w:pPr>
        <w:pStyle w:val="Heading1"/>
      </w:pPr>
      <w:bookmarkStart w:id="34" w:name="X96ede61562a158d82859287f4ad2b4ac795eb86"/>
      <w:r>
        <w:t xml:space="preserve">ส่วนที่ 6 — ประมาณการผลการดำเนินงาน (งบกำไรขาดทุนแบบย่อ)</w:t>
      </w:r>
      <w:bookmarkEnd w:id="34"/>
    </w:p>
    <w:p>
      <w:pPr>
        <w:pStyle w:val="FirstParagraph"/>
      </w:pPr>
      <w:r>
        <w:rPr>
          <w:b/>
        </w:rPr>
        <w:t xml:space="preserve">สมมติฐาน:</w:t>
      </w:r>
      <w:r>
        <w:t xml:space="preserve"> </w:t>
      </w:r>
      <w:r>
        <w:t xml:space="preserve">รายได้จากการดำเนินงานปี 2569 เติบโต 10% (ครึ่งปีแรกโต 12.4%) จากนั้น 7%, 6%, 5%, 5%; อัตรากำไรขั้นต้นต่ำสุดปี 2569 (62.0%) แล้วค่อย ๆ ฟื้นเป็น 64.0% จาก Menu Engineering และการลดของเสีย; ค่าใช้จ่ายขายและบริหาร (รวมค่าเสื่อม) ลดจาก 58.0% เป็น 56.3% ของรายได้; กำไรสุทธิประมาณ 78.5% ของ EBIT ตามสัดส่วนปี 2568</w:t>
      </w:r>
    </w:p>
    <w:p>
      <w:pPr>
        <w:pStyle w:val="BodyText"/>
      </w:pPr>
      <w:r>
        <w:t xml:space="preserve">หน่วย: ล้านบาท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รายการ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2568 (จริง)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2569F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2570F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2571F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2572F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2573F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รายได้จากการดำเนินงาน</w:t>
            </w:r>
          </w:p>
        </w:tc>
        <w:tc>
          <w:p>
            <w:pPr>
              <w:pStyle w:val="Compact"/>
              <w:jc w:val="left"/>
            </w:pPr>
            <w:r>
              <w:t xml:space="preserve">15,109</w:t>
            </w:r>
          </w:p>
        </w:tc>
        <w:tc>
          <w:p>
            <w:pPr>
              <w:pStyle w:val="Compact"/>
              <w:jc w:val="left"/>
            </w:pPr>
            <w:r>
              <w:t xml:space="preserve">16,620</w:t>
            </w:r>
          </w:p>
        </w:tc>
        <w:tc>
          <w:p>
            <w:pPr>
              <w:pStyle w:val="Compact"/>
              <w:jc w:val="left"/>
            </w:pPr>
            <w:r>
              <w:t xml:space="preserve">17,783</w:t>
            </w:r>
          </w:p>
        </w:tc>
        <w:tc>
          <w:p>
            <w:pPr>
              <w:pStyle w:val="Compact"/>
              <w:jc w:val="left"/>
            </w:pPr>
            <w:r>
              <w:t xml:space="preserve">18,850</w:t>
            </w:r>
          </w:p>
        </w:tc>
        <w:tc>
          <w:p>
            <w:pPr>
              <w:pStyle w:val="Compact"/>
              <w:jc w:val="left"/>
            </w:pPr>
            <w:r>
              <w:t xml:space="preserve">19,793</w:t>
            </w:r>
          </w:p>
        </w:tc>
        <w:tc>
          <w:p>
            <w:pPr>
              <w:pStyle w:val="Compact"/>
              <w:jc w:val="left"/>
            </w:pPr>
            <w:r>
              <w:t xml:space="preserve">20,782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รายได้อื่น</w:t>
            </w:r>
          </w:p>
        </w:tc>
        <w:tc>
          <w:p>
            <w:pPr>
              <w:pStyle w:val="Compact"/>
              <w:jc w:val="left"/>
            </w:pPr>
            <w:r>
              <w:t xml:space="preserve">312</w:t>
            </w:r>
          </w:p>
        </w:tc>
        <w:tc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p>
            <w:pPr>
              <w:pStyle w:val="Compact"/>
              <w:jc w:val="left"/>
            </w:pPr>
            <w:r>
              <w:t xml:space="preserve">305</w:t>
            </w:r>
          </w:p>
        </w:tc>
        <w:tc>
          <w:p>
            <w:pPr>
              <w:pStyle w:val="Compact"/>
              <w:jc w:val="left"/>
            </w:pPr>
            <w:r>
              <w:t xml:space="preserve">310</w:t>
            </w:r>
          </w:p>
        </w:tc>
        <w:tc>
          <w:p>
            <w:pPr>
              <w:pStyle w:val="Compact"/>
              <w:jc w:val="left"/>
            </w:pPr>
            <w:r>
              <w:t xml:space="preserve">315</w:t>
            </w:r>
          </w:p>
        </w:tc>
        <w:tc>
          <w:p>
            <w:pPr>
              <w:pStyle w:val="Compact"/>
              <w:jc w:val="left"/>
            </w:pPr>
            <w:r>
              <w:t xml:space="preserve">320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รวมรายได้</w:t>
            </w:r>
          </w:p>
        </w:tc>
        <w:tc>
          <w:p>
            <w:pPr>
              <w:pStyle w:val="Compact"/>
              <w:jc w:val="left"/>
            </w:pPr>
            <w:r>
              <w:t xml:space="preserve">15,421</w:t>
            </w:r>
          </w:p>
        </w:tc>
        <w:tc>
          <w:p>
            <w:pPr>
              <w:pStyle w:val="Compact"/>
              <w:jc w:val="left"/>
            </w:pPr>
            <w:r>
              <w:t xml:space="preserve">16,920</w:t>
            </w:r>
          </w:p>
        </w:tc>
        <w:tc>
          <w:p>
            <w:pPr>
              <w:pStyle w:val="Compact"/>
              <w:jc w:val="left"/>
            </w:pPr>
            <w:r>
              <w:t xml:space="preserve">18,088</w:t>
            </w:r>
          </w:p>
        </w:tc>
        <w:tc>
          <w:p>
            <w:pPr>
              <w:pStyle w:val="Compact"/>
              <w:jc w:val="left"/>
            </w:pPr>
            <w:r>
              <w:t xml:space="preserve">19,160</w:t>
            </w:r>
          </w:p>
        </w:tc>
        <w:tc>
          <w:p>
            <w:pPr>
              <w:pStyle w:val="Compact"/>
              <w:jc w:val="left"/>
            </w:pPr>
            <w:r>
              <w:t xml:space="preserve">20,108</w:t>
            </w:r>
          </w:p>
        </w:tc>
        <w:tc>
          <w:p>
            <w:pPr>
              <w:pStyle w:val="Compact"/>
              <w:jc w:val="left"/>
            </w:pPr>
            <w:r>
              <w:t xml:space="preserve">21,102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ต้นทุน</w:t>
            </w:r>
          </w:p>
        </w:tc>
        <w:tc>
          <w:p>
            <w:pPr>
              <w:pStyle w:val="Compact"/>
              <w:jc w:val="left"/>
            </w:pPr>
            <w:r>
              <w:t xml:space="preserve">5,343</w:t>
            </w:r>
          </w:p>
        </w:tc>
        <w:tc>
          <w:p>
            <w:pPr>
              <w:pStyle w:val="Compact"/>
              <w:jc w:val="left"/>
            </w:pPr>
            <w:r>
              <w:t xml:space="preserve">6,316</w:t>
            </w:r>
          </w:p>
        </w:tc>
        <w:tc>
          <w:p>
            <w:pPr>
              <w:pStyle w:val="Compact"/>
              <w:jc w:val="left"/>
            </w:pPr>
            <w:r>
              <w:t xml:space="preserve">6,615</w:t>
            </w:r>
          </w:p>
        </w:tc>
        <w:tc>
          <w:p>
            <w:pPr>
              <w:pStyle w:val="Compact"/>
              <w:jc w:val="left"/>
            </w:pPr>
            <w:r>
              <w:t xml:space="preserve">6,899</w:t>
            </w:r>
          </w:p>
        </w:tc>
        <w:tc>
          <w:p>
            <w:pPr>
              <w:pStyle w:val="Compact"/>
              <w:jc w:val="left"/>
            </w:pPr>
            <w:r>
              <w:t xml:space="preserve">7,165</w:t>
            </w:r>
          </w:p>
        </w:tc>
        <w:tc>
          <w:p>
            <w:pPr>
              <w:pStyle w:val="Compact"/>
              <w:jc w:val="left"/>
            </w:pPr>
            <w:r>
              <w:t xml:space="preserve">7,482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ค่าใช้จ่ายในการขายและบริหาร</w:t>
            </w:r>
          </w:p>
        </w:tc>
        <w:tc>
          <w:p>
            <w:pPr>
              <w:pStyle w:val="Compact"/>
              <w:jc w:val="left"/>
            </w:pPr>
            <w:r>
              <w:t xml:space="preserve">9,015</w:t>
            </w:r>
          </w:p>
        </w:tc>
        <w:tc>
          <w:p>
            <w:pPr>
              <w:pStyle w:val="Compact"/>
              <w:jc w:val="left"/>
            </w:pPr>
            <w:r>
              <w:t xml:space="preserve">9,640</w:t>
            </w:r>
          </w:p>
        </w:tc>
        <w:tc>
          <w:p>
            <w:pPr>
              <w:pStyle w:val="Compact"/>
              <w:jc w:val="left"/>
            </w:pPr>
            <w:r>
              <w:t xml:space="preserve">10,225</w:t>
            </w:r>
          </w:p>
        </w:tc>
        <w:tc>
          <w:p>
            <w:pPr>
              <w:pStyle w:val="Compact"/>
              <w:jc w:val="left"/>
            </w:pPr>
            <w:r>
              <w:t xml:space="preserve">10,745</w:t>
            </w:r>
          </w:p>
        </w:tc>
        <w:tc>
          <w:p>
            <w:pPr>
              <w:pStyle w:val="Compact"/>
              <w:jc w:val="left"/>
            </w:pPr>
            <w:r>
              <w:t xml:space="preserve">11,203</w:t>
            </w:r>
          </w:p>
        </w:tc>
        <w:tc>
          <w:p>
            <w:pPr>
              <w:pStyle w:val="Compact"/>
              <w:jc w:val="left"/>
            </w:pPr>
            <w:r>
              <w:t xml:space="preserve">11,701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กำไรก่อนต้นทุนทางการเงินและภาษี</w:t>
            </w:r>
          </w:p>
        </w:tc>
        <w:tc>
          <w:p>
            <w:pPr>
              <w:pStyle w:val="Compact"/>
              <w:jc w:val="left"/>
            </w:pPr>
            <w:r>
              <w:t xml:space="preserve">1,068</w:t>
            </w:r>
          </w:p>
        </w:tc>
        <w:tc>
          <w:p>
            <w:pPr>
              <w:pStyle w:val="Compact"/>
              <w:jc w:val="left"/>
            </w:pPr>
            <w:r>
              <w:t xml:space="preserve">965</w:t>
            </w:r>
          </w:p>
        </w:tc>
        <w:tc>
          <w:p>
            <w:pPr>
              <w:pStyle w:val="Compact"/>
              <w:jc w:val="left"/>
            </w:pPr>
            <w:r>
              <w:t xml:space="preserve">1,248</w:t>
            </w:r>
          </w:p>
        </w:tc>
        <w:tc>
          <w:p>
            <w:pPr>
              <w:pStyle w:val="Compact"/>
              <w:jc w:val="left"/>
            </w:pPr>
            <w:r>
              <w:t xml:space="preserve">1,516</w:t>
            </w:r>
          </w:p>
        </w:tc>
        <w:tc>
          <w:p>
            <w:pPr>
              <w:pStyle w:val="Compact"/>
              <w:jc w:val="left"/>
            </w:pPr>
            <w:r>
              <w:t xml:space="preserve">1,740</w:t>
            </w:r>
          </w:p>
        </w:tc>
        <w:tc>
          <w:p>
            <w:pPr>
              <w:pStyle w:val="Compact"/>
              <w:jc w:val="left"/>
            </w:pPr>
            <w:r>
              <w:t xml:space="preserve">1,920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กำไรสุทธิส่วนบริษัทใหญ่</w:t>
            </w:r>
          </w:p>
        </w:tc>
        <w:tc>
          <w:p>
            <w:pPr>
              <w:pStyle w:val="Compact"/>
              <w:jc w:val="left"/>
            </w:pPr>
            <w:r>
              <w:t xml:space="preserve">838</w:t>
            </w:r>
          </w:p>
        </w:tc>
        <w:tc>
          <w:p>
            <w:pPr>
              <w:pStyle w:val="Compact"/>
              <w:jc w:val="left"/>
            </w:pPr>
            <w:r>
              <w:t xml:space="preserve">757</w:t>
            </w:r>
          </w:p>
        </w:tc>
        <w:tc>
          <w:p>
            <w:pPr>
              <w:pStyle w:val="Compact"/>
              <w:jc w:val="left"/>
            </w:pPr>
            <w:r>
              <w:t xml:space="preserve">979</w:t>
            </w:r>
          </w:p>
        </w:tc>
        <w:tc>
          <w:p>
            <w:pPr>
              <w:pStyle w:val="Compact"/>
              <w:jc w:val="left"/>
            </w:pPr>
            <w:r>
              <w:t xml:space="preserve">1,190</w:t>
            </w:r>
          </w:p>
        </w:tc>
        <w:tc>
          <w:p>
            <w:pPr>
              <w:pStyle w:val="Compact"/>
              <w:jc w:val="left"/>
            </w:pPr>
            <w:r>
              <w:t xml:space="preserve">1,366</w:t>
            </w:r>
          </w:p>
        </w:tc>
        <w:tc>
          <w:p>
            <w:pPr>
              <w:pStyle w:val="Compact"/>
              <w:jc w:val="left"/>
            </w:pPr>
            <w:r>
              <w:t xml:space="preserve">1,507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อัตรากำไรขั้นต้น</w:t>
            </w:r>
          </w:p>
        </w:tc>
        <w:tc>
          <w:p>
            <w:pPr>
              <w:pStyle w:val="Compact"/>
              <w:jc w:val="left"/>
            </w:pPr>
            <w:r>
              <w:t xml:space="preserve">64.6%</w:t>
            </w:r>
          </w:p>
        </w:tc>
        <w:tc>
          <w:p>
            <w:pPr>
              <w:pStyle w:val="Compact"/>
              <w:jc w:val="left"/>
            </w:pPr>
            <w:r>
              <w:t xml:space="preserve">62.0%</w:t>
            </w:r>
          </w:p>
        </w:tc>
        <w:tc>
          <w:p>
            <w:pPr>
              <w:pStyle w:val="Compact"/>
              <w:jc w:val="left"/>
            </w:pPr>
            <w:r>
              <w:t xml:space="preserve">62.8%</w:t>
            </w:r>
          </w:p>
        </w:tc>
        <w:tc>
          <w:p>
            <w:pPr>
              <w:pStyle w:val="Compact"/>
              <w:jc w:val="left"/>
            </w:pPr>
            <w:r>
              <w:t xml:space="preserve">63.4%</w:t>
            </w:r>
          </w:p>
        </w:tc>
        <w:tc>
          <w:p>
            <w:pPr>
              <w:pStyle w:val="Compact"/>
              <w:jc w:val="left"/>
            </w:pPr>
            <w:r>
              <w:t xml:space="preserve">63.8%</w:t>
            </w:r>
          </w:p>
        </w:tc>
        <w:tc>
          <w:p>
            <w:pPr>
              <w:pStyle w:val="Compact"/>
              <w:jc w:val="left"/>
            </w:pPr>
            <w:r>
              <w:t xml:space="preserve">64.0%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อัตรากำไรสุทธิ</w:t>
            </w:r>
          </w:p>
        </w:tc>
        <w:tc>
          <w:p>
            <w:pPr>
              <w:pStyle w:val="Compact"/>
              <w:jc w:val="left"/>
            </w:pPr>
            <w:r>
              <w:t xml:space="preserve">5.4%</w:t>
            </w:r>
          </w:p>
        </w:tc>
        <w:tc>
          <w:p>
            <w:pPr>
              <w:pStyle w:val="Compact"/>
              <w:jc w:val="left"/>
            </w:pPr>
            <w:r>
              <w:t xml:space="preserve">4.5%</w:t>
            </w:r>
          </w:p>
        </w:tc>
        <w:tc>
          <w:p>
            <w:pPr>
              <w:pStyle w:val="Compact"/>
              <w:jc w:val="left"/>
            </w:pPr>
            <w:r>
              <w:t xml:space="preserve">5.4%</w:t>
            </w:r>
          </w:p>
        </w:tc>
        <w:tc>
          <w:p>
            <w:pPr>
              <w:pStyle w:val="Compact"/>
              <w:jc w:val="left"/>
            </w:pPr>
            <w:r>
              <w:t xml:space="preserve">6.2%</w:t>
            </w:r>
          </w:p>
        </w:tc>
        <w:tc>
          <w:p>
            <w:pPr>
              <w:pStyle w:val="Compact"/>
              <w:jc w:val="left"/>
            </w:pPr>
            <w:r>
              <w:t xml:space="preserve">6.8%</w:t>
            </w:r>
          </w:p>
        </w:tc>
        <w:tc>
          <w:p>
            <w:pPr>
              <w:pStyle w:val="Compact"/>
              <w:jc w:val="left"/>
            </w:pPr>
            <w:r>
              <w:t xml:space="preserve">7.1%</w:t>
            </w:r>
          </w:p>
        </w:tc>
      </w:tr>
    </w:tbl>
    <w:p>
      <w:pPr>
        <w:pStyle w:val="BodyText"/>
      </w:pPr>
      <w:r>
        <w:t xml:space="preserve">ตารางที่ 10 ประมาณการงบกำไรขาดทุน 2569–2573</w:t>
      </w:r>
    </w:p>
    <w:p>
      <w:pPr>
        <w:pStyle w:val="BodyText"/>
      </w:pPr>
      <w:r>
        <w:t xml:space="preserve">อ่านผล: ปี 2569 กำไรยังลดลงเพราะต้นทุนบุฟเฟต์และการลงทุนเปิดสาขา แต่ตั้งแต่ปี 2570 กำไรฟื้นตัวตามอัตรากำไรขั้นต้นที่ดีขึ้น เป็นเรื่องราวที่สอดคล้องกับกลยุทธ์</w:t>
      </w:r>
      <w:r>
        <w:t xml:space="preserve"> </w:t>
      </w:r>
      <w:r>
        <w:t xml:space="preserve">“</w:t>
      </w:r>
      <w:r>
        <w:t xml:space="preserve">เติบโตอย่างมีวินัยกำไร</w:t>
      </w:r>
      <w:r>
        <w:t xml:space="preserve">”</w:t>
      </w:r>
      <w:r>
        <w:t xml:space="preserve"> </w:t>
      </w:r>
      <w:r>
        <w:rPr>
          <w:i/>
        </w:rPr>
        <w:t xml:space="preserve">(งบแสดงฐานะการเงินให้ทำต่อจาก One Report 2568 ของ MK โดยตรง ใช้ปี 2568–2573 ให้ตรงกับงบกำไรขาดทุน)</w:t>
      </w:r>
    </w:p>
    <w:p>
      <w:pPr>
        <w:pStyle w:val="Heading1"/>
      </w:pPr>
      <w:bookmarkStart w:id="35" w:name="X02f3a2109fb24b3f5bfa8024a007131fb8255c0"/>
      <w:r>
        <w:t xml:space="preserve">ส่วนที่ 7 — จุดที่ต้องแก้ในฉบับปัจจุบันของกลุ่ม (เรียงตามความสำคัญ)</w:t>
      </w:r>
      <w:bookmarkEnd w:id="35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ส่วนที่ 6 ประมาณการ ใช้ตัวเลขและชื่อบริษัทของประชาอาภรณ์</w:t>
      </w:r>
      <w:r>
        <w:t xml:space="preserve"> </w:t>
      </w:r>
      <w:r>
        <w:t xml:space="preserve">(หัวตาราง</w:t>
      </w:r>
      <w:r>
        <w:t xml:space="preserve"> </w:t>
      </w:r>
      <w:r>
        <w:t xml:space="preserve">“</w:t>
      </w:r>
      <w:r>
        <w:t xml:space="preserve">บริษัท ประชาอาภรณ์</w:t>
      </w:r>
      <w:r>
        <w:t xml:space="preserve">”</w:t>
      </w:r>
      <w:r>
        <w:t xml:space="preserve"> </w:t>
      </w:r>
      <w:r>
        <w:t xml:space="preserve">และรายได้หลักร้อยล้านบาท) ต้องทำใหม่ทั้งหมดด้วยตัวเลข MK ระดับหมื่นล้านบาท และปีของงบฐานะการเงิน (2570–2574) ไม่ตรงกับแผน (2569–2573)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บทสรุปผู้บริหาร</w:t>
      </w:r>
      <w:r>
        <w:t xml:space="preserve"> </w:t>
      </w:r>
      <w:r>
        <w:t xml:space="preserve">ยังมีข้อความค้าง</w:t>
      </w:r>
      <w:r>
        <w:t xml:space="preserve"> </w:t>
      </w:r>
      <w:r>
        <w:t xml:space="preserve">“</w:t>
      </w:r>
      <w:r>
        <w:t xml:space="preserve">ต้องทำแบบใน5ปีข้างหน้า (มาละ)</w:t>
      </w:r>
      <w:r>
        <w:t xml:space="preserve">”</w:t>
      </w:r>
      <w:r>
        <w:t xml:space="preserve"> </w:t>
      </w:r>
      <w:r>
        <w:t xml:space="preserve">และยังไม่มีเป้าหมายตัวเลข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VRIO ขัดกันเอง:</w:t>
      </w:r>
      <w:r>
        <w:t xml:space="preserve"> </w:t>
      </w:r>
      <w:r>
        <w:t xml:space="preserve">ตารางให้</w:t>
      </w:r>
      <w:r>
        <w:t xml:space="preserve"> </w:t>
      </w:r>
      <w:r>
        <w:t xml:space="preserve">“</w:t>
      </w:r>
      <w:r>
        <w:t xml:space="preserve">เครือข่ายสาขา</w:t>
      </w:r>
      <w:r>
        <w:t xml:space="preserve">”</w:t>
      </w:r>
      <w:r>
        <w:t xml:space="preserve"> </w:t>
      </w:r>
      <w:r>
        <w:t xml:space="preserve">และ</w:t>
      </w:r>
      <w:r>
        <w:t xml:space="preserve"> </w:t>
      </w:r>
      <w:r>
        <w:t xml:space="preserve">“</w:t>
      </w:r>
      <w:r>
        <w:t xml:space="preserve">ครัวกลาง</w:t>
      </w:r>
      <w:r>
        <w:t xml:space="preserve">”</w:t>
      </w:r>
      <w:r>
        <w:t xml:space="preserve"> </w:t>
      </w:r>
      <w:r>
        <w:t xml:space="preserve">เป็นความได้เปรียบอย่างยั่งยืน แต่คำอธิบายบอกว่าเป็น</w:t>
      </w:r>
      <w:r>
        <w:t xml:space="preserve"> </w:t>
      </w:r>
      <w:r>
        <w:t xml:space="preserve">“</w:t>
      </w:r>
      <w:r>
        <w:t xml:space="preserve">ความได้เปรียบชั่วคราว</w:t>
      </w:r>
      <w:r>
        <w:t xml:space="preserve">”</w:t>
      </w:r>
      <w:r>
        <w:t xml:space="preserve"> </w:t>
      </w:r>
      <w:r>
        <w:t xml:space="preserve">และ</w:t>
      </w:r>
      <w:r>
        <w:t xml:space="preserve"> </w:t>
      </w:r>
      <w:r>
        <w:t xml:space="preserve">“</w:t>
      </w:r>
      <w:r>
        <w:t xml:space="preserve">วัฒนธรรมองค์กร</w:t>
      </w:r>
      <w:r>
        <w:t xml:space="preserve">”</w:t>
      </w:r>
      <w:r>
        <w:t xml:space="preserve"> </w:t>
      </w:r>
      <w:r>
        <w:t xml:space="preserve">ถูกติ๊กว่าไม่หายาก (R ✗) แต่สรุปเป็นความได้เปรียบยั่งยืน ตามหลัก VRIO ถ้าไม่หายากจะเป็นได้แค่ความเท่าเทียมทางการแข่งขัน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STEEP vs PESTEL:</w:t>
      </w:r>
      <w:r>
        <w:t xml:space="preserve"> </w:t>
      </w:r>
      <w:r>
        <w:t xml:space="preserve">สารบัญเขียน STEEP แต่เนื้อหาใช้ PESTEL บทเรียน Ch.4 ใช้ STEEP ควรเปลี่ยนเป็น STEEP (Sociocultural, Technological, Economic, Ecological, Political–Legal) ให้ตรงกับสารบัญและบทเรียน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CPM:</w:t>
      </w:r>
      <w:r>
        <w:t xml:space="preserve"> </w:t>
      </w:r>
      <w:r>
        <w:t xml:space="preserve">ช่องสุกี้ตี๋น้อย</w:t>
      </w:r>
      <w:r>
        <w:t xml:space="preserve"> </w:t>
      </w:r>
      <w:r>
        <w:t xml:space="preserve">“</w:t>
      </w:r>
      <w:r>
        <w:t xml:space="preserve">ทำเลและความครอบคลุมของสาขา</w:t>
      </w:r>
      <w:r>
        <w:t xml:space="preserve">”</w:t>
      </w:r>
      <w:r>
        <w:t xml:space="preserve"> </w:t>
      </w:r>
      <w:r>
        <w:t xml:space="preserve">ใส่ 0.645 ที่ถูกคือ 0.45 (0.15 × 3) ผลรวม 3.30 ถูกอยู่แล้ว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หัวตาราง IFAS</w:t>
      </w:r>
      <w:r>
        <w:t xml:space="preserve"> </w:t>
      </w:r>
      <w:r>
        <w:t xml:space="preserve">เขียน</w:t>
      </w:r>
      <w:r>
        <w:t xml:space="preserve"> </w:t>
      </w:r>
      <w:r>
        <w:t xml:space="preserve">“</w:t>
      </w:r>
      <w:r>
        <w:t xml:space="preserve">External Factors</w:t>
      </w:r>
      <w:r>
        <w:t xml:space="preserve">”</w:t>
      </w:r>
      <w:r>
        <w:t xml:space="preserve"> </w:t>
      </w:r>
      <w:r>
        <w:t xml:space="preserve">ต้องเป็น</w:t>
      </w:r>
      <w:r>
        <w:t xml:space="preserve"> </w:t>
      </w:r>
      <w:r>
        <w:t xml:space="preserve">“</w:t>
      </w:r>
      <w:r>
        <w:t xml:space="preserve">Internal Factors</w:t>
      </w:r>
      <w:r>
        <w:t xml:space="preserve">”</w:t>
      </w:r>
      <w:r>
        <w:t xml:space="preserve"> </w:t>
      </w:r>
      <w:r>
        <w:t xml:space="preserve">และมี</w:t>
      </w:r>
      <w:r>
        <w:t xml:space="preserve"> </w:t>
      </w:r>
      <w:r>
        <w:t xml:space="preserve">“</w:t>
      </w:r>
      <w:r>
        <w:t xml:space="preserve">ตารางที่ 4</w:t>
      </w:r>
      <w:r>
        <w:t xml:space="preserve">”</w:t>
      </w:r>
      <w:r>
        <w:t xml:space="preserve"> </w:t>
      </w:r>
      <w:r>
        <w:t xml:space="preserve">ซ้ำสองตาราง (VRIO และ IFAS)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TOWS ยังไม่ได้เลือกกลยุทธ์</w:t>
      </w:r>
      <w:r>
        <w:t xml:space="preserve"> </w:t>
      </w:r>
      <w:r>
        <w:t xml:space="preserve">ควรมีย่อหน้าสรุปว่าเลือกกลุ่มใดและเพราะอะไร (ดูส่วนที่ 3)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Business Strategy ใช้ Differentiation ทั้งกลุ่ม</w:t>
      </w:r>
      <w:r>
        <w:t xml:space="preserve"> </w:t>
      </w:r>
      <w:r>
        <w:t xml:space="preserve">แต่โบนัส สุกี้เป็นโมเดลราคาประหยัด ควรแยกกลยุทธ์ตามแบรนด์ (ดูส่วนที่ 4.2)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ยังไม่มี BCG / Portfolio Analysis</w:t>
      </w:r>
      <w:r>
        <w:t xml:space="preserve"> </w:t>
      </w:r>
      <w:r>
        <w:t xml:space="preserve">ซึ่งเหมาะมากกับบริษัทหลายแบรนด์ และอยู่ใน Ch.7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ส่วนที่ 5 ยังว่าง</w:t>
      </w:r>
      <w:r>
        <w:t xml:space="preserve"> </w:t>
      </w:r>
      <w:r>
        <w:t xml:space="preserve">(ตารางที่ 7, 8, 9) และ 2.2 โครงสร้างองค์กรยังไม่มีแผนภาพ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จุดเล็ก ๆ:</w:t>
      </w:r>
      <w:r>
        <w:t xml:space="preserve"> </w:t>
      </w:r>
      <w:r>
        <w:t xml:space="preserve">“</w:t>
      </w:r>
      <w:r>
        <w:t xml:space="preserve">ปัจจัยเชิงกล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ปัจจัยเชิงกลยุทธ์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องกรณ์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องค์กร</w:t>
      </w:r>
      <w:r>
        <w:t xml:space="preserve">”</w:t>
      </w:r>
      <w:r>
        <w:t xml:space="preserve">, ตัว</w:t>
      </w:r>
      <w:r>
        <w:t xml:space="preserve"> </w:t>
      </w:r>
      <w:r>
        <w:t xml:space="preserve">“</w:t>
      </w:r>
      <w:r>
        <w:t xml:space="preserve">ฏ</w:t>
      </w:r>
      <w:r>
        <w:t xml:space="preserve">”</w:t>
      </w:r>
      <w:r>
        <w:t xml:space="preserve"> </w:t>
      </w:r>
      <w:r>
        <w:t xml:space="preserve">เกินท้ายย่อหน้า VRIO ข้อ 3, บรรณานุกรม LINE MAN Wongnai ยังเป็นข้อความตัวอย่าง, และข้อมูลปี 2569 (โบนัส สุกี้ 39 สาขา, Q2/2569) ควรเพิ่มแหล่งอ้างอิง</w:t>
      </w:r>
    </w:p>
    <w:p>
      <w:pPr>
        <w:pStyle w:val="Heading1"/>
      </w:pPr>
      <w:bookmarkStart w:id="36" w:name="แหลงขอมลเพมเตมทใชในรางน"/>
      <w:r>
        <w:t xml:space="preserve">แหล่งข้อมูลเพิ่มเติมที่ใช้ในร่างนี้</w:t>
      </w:r>
      <w:bookmarkEnd w:id="36"/>
    </w:p>
    <w:p>
      <w:pPr>
        <w:numPr>
          <w:ilvl w:val="0"/>
          <w:numId w:val="1006"/>
        </w:numPr>
        <w:pStyle w:val="Compact"/>
      </w:pPr>
      <w:r>
        <w:t xml:space="preserve">Hoonsmart. (2569).</w:t>
      </w:r>
      <w:r>
        <w:t xml:space="preserve"> </w:t>
      </w:r>
      <w:r>
        <w:t xml:space="preserve">“</w:t>
      </w:r>
      <w:r>
        <w:t xml:space="preserve">เอ็มเค กรุ๊ป</w:t>
      </w:r>
      <w:r>
        <w:t xml:space="preserve">”</w:t>
      </w:r>
      <w:r>
        <w:t xml:space="preserve"> </w:t>
      </w:r>
      <w:r>
        <w:t xml:space="preserve">รายได้ Q2 โต 10%</w:t>
      </w:r>
      <w:r>
        <w:t xml:space="preserve"> </w:t>
      </w:r>
      <w:r>
        <w:t xml:space="preserve">“</w:t>
      </w:r>
      <w:r>
        <w:t xml:space="preserve">โบนัสสุกี้</w:t>
      </w:r>
      <w:r>
        <w:t xml:space="preserve">”</w:t>
      </w:r>
      <w:r>
        <w:t xml:space="preserve"> </w:t>
      </w:r>
      <w:r>
        <w:t xml:space="preserve">หนุน เคาะปันผล 0.40 บาท. https://hoonsmart.com/archives/433113</w:t>
      </w:r>
    </w:p>
    <w:p>
      <w:pPr>
        <w:numPr>
          <w:ilvl w:val="0"/>
          <w:numId w:val="1006"/>
        </w:numPr>
        <w:pStyle w:val="Compact"/>
      </w:pPr>
      <w:r>
        <w:t xml:space="preserve">Spring News. (2569). ส่องความสำเร็จ!</w:t>
      </w:r>
      <w:r>
        <w:t xml:space="preserve"> </w:t>
      </w:r>
      <w:r>
        <w:t xml:space="preserve">‘</w:t>
      </w:r>
      <w:r>
        <w:t xml:space="preserve">โบนัสสุกี้</w:t>
      </w:r>
      <w:r>
        <w:t xml:space="preserve">’</w:t>
      </w:r>
      <w:r>
        <w:t xml:space="preserve"> </w:t>
      </w:r>
      <w:r>
        <w:t xml:space="preserve">แนวรบใหม่ ดัน MK รายได้โตทั้งเครือ. https://www.springnews.co.th/digital-business/digital-marketing/864850</w:t>
      </w:r>
    </w:p>
    <w:p>
      <w:pPr>
        <w:numPr>
          <w:ilvl w:val="0"/>
          <w:numId w:val="1006"/>
        </w:numPr>
        <w:pStyle w:val="Compact"/>
      </w:pPr>
      <w:r>
        <w:t xml:space="preserve">Brand Buffet. (2569).</w:t>
      </w:r>
      <w:r>
        <w:t xml:space="preserve"> </w:t>
      </w:r>
      <w:r>
        <w:t xml:space="preserve">“</w:t>
      </w:r>
      <w:r>
        <w:t xml:space="preserve">สุกี้ตี๋น้อย</w:t>
      </w:r>
      <w:r>
        <w:t xml:space="preserve">”</w:t>
      </w:r>
      <w:r>
        <w:t xml:space="preserve"> </w:t>
      </w:r>
      <w:r>
        <w:t xml:space="preserve">สรุปปี 2568 ยอดขายทะลุ 9,000 ล้าน. https://www.brandbuffet.in.th/2026/01/suki-teenoi-reported-revenue-9-billion-baht-in-2025/</w:t>
      </w:r>
    </w:p>
    <w:p>
      <w:pPr>
        <w:numPr>
          <w:ilvl w:val="0"/>
          <w:numId w:val="1006"/>
        </w:numPr>
        <w:pStyle w:val="Compact"/>
      </w:pPr>
      <w:r>
        <w:t xml:space="preserve">Brand Buffet. (2569).</w:t>
      </w:r>
      <w:r>
        <w:t xml:space="preserve"> </w:t>
      </w:r>
      <w:r>
        <w:t xml:space="preserve">“</w:t>
      </w:r>
      <w:r>
        <w:t xml:space="preserve">สุกี้ตี๋น้อย</w:t>
      </w:r>
      <w:r>
        <w:t xml:space="preserve">”</w:t>
      </w:r>
      <w:r>
        <w:t xml:space="preserve"> </w:t>
      </w:r>
      <w:r>
        <w:t xml:space="preserve">ปี68 กำไร 860 ล้าน. https://www.brandbuffet.in.th/2026/02/suki-teenoi-pay-bonus-2025/</w:t>
      </w:r>
    </w:p>
    <w:sectPr w:rsidR="005910C5" w:rsidRPr="00E20227" w:rsidSect="00BE76FD">
      <w:headerReference w:type="even" r:id="rId17"/>
      <w:headerReference w:type="default" r:id="rId9"/>
      <w:footerReference w:type="even" r:id="rId23"/>
      <w:footerReference w:type="default" r:id="rId21"/>
      <w:headerReference w:type="first" r:id="rId12"/>
      <w:footerReference w:type="first" r:id="rId25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.ThonburiUI">
    <w:altName w:val="Cambria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ThonburiUI-Regular">
    <w:charset w:val="00"/>
    <w:family w:val="roman"/>
    <w:pitch w:val="default"/>
  </w:font>
  <w:font w:name="UICTFontTextStyleBody">
    <w:altName w:val="Cambria"/>
    <w:charset w:val="00"/>
    <w:family w:val="roman"/>
    <w:pitch w:val="default"/>
  </w:font>
  <w:font w:name=".AppleSystemUIFont">
    <w:altName w:val="Cambria"/>
    <w:charset w:val="00"/>
    <w:family w:val="roman"/>
    <w:pitch w:val="default"/>
  </w:font>
  <w:font w:name=".SFUI-Regular">
    <w:altName w:val="Cambria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TH Sarabun New">
    <w:altName w:val="Cambria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CBFE1" w14:textId="77777777" w:rsidR="00DA781D" w:rsidRDefault="00DA781D">
    <w:pPr>
      <w:pStyle w:val="Footer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8"/>
      <w:gridCol w:w="3009"/>
      <w:gridCol w:w="3009"/>
    </w:tblGrid>
    <w:tr w:rsidR="1C651516" w14:paraId="41DE2695" w14:textId="77777777" w:rsidTr="1C651516">
      <w:trPr>
        <w:trHeight w:val="300"/>
      </w:trPr>
      <w:tc>
        <w:tcPr>
          <w:tcW w:w="3120" w:type="dxa"/>
        </w:tcPr>
        <w:p w14:paraId="450A769B" w14:textId="36A62DFE" w:rsidR="1C651516" w:rsidRDefault="1C651516" w:rsidP="1C651516">
          <w:pPr>
            <w:pStyle w:val="Header"/>
            <w:ind w:left="-115"/>
            <w:rPr>
              <w:rFonts w:hint="eastAsia"/>
            </w:rPr>
          </w:pPr>
        </w:p>
      </w:tc>
      <w:tc>
        <w:tcPr>
          <w:tcW w:w="3120" w:type="dxa"/>
        </w:tcPr>
        <w:p w14:paraId="066CBB4D" w14:textId="57D87465" w:rsidR="1C651516" w:rsidRDefault="1C651516" w:rsidP="1C651516">
          <w:pPr>
            <w:pStyle w:val="Header"/>
            <w:jc w:val="center"/>
            <w:rPr>
              <w:rFonts w:hint="eastAsia"/>
            </w:rPr>
          </w:pPr>
        </w:p>
      </w:tc>
      <w:tc>
        <w:tcPr>
          <w:tcW w:w="3120" w:type="dxa"/>
        </w:tcPr>
        <w:p w14:paraId="37349A31" w14:textId="34FE5212" w:rsidR="1C651516" w:rsidRDefault="1C651516" w:rsidP="1C651516">
          <w:pPr>
            <w:pStyle w:val="Header"/>
            <w:ind w:right="-115"/>
            <w:jc w:val="right"/>
            <w:rPr>
              <w:rFonts w:hint="eastAsia"/>
            </w:rPr>
          </w:pPr>
        </w:p>
      </w:tc>
    </w:tr>
  </w:tbl>
  <w:p w14:paraId="48F6069B" w14:textId="38E799EA" w:rsidR="00304218" w:rsidRDefault="00304218">
    <w:pPr>
      <w:pStyle w:val="Footer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87513" w14:textId="6962F2B7" w:rsidR="00DA781D" w:rsidRDefault="00DA781D">
    <w:pPr>
      <w:pStyle w:val="Footer"/>
      <w:rPr>
        <w:rFonts w:hint="eastAsia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83641" w14:textId="1679CC1C" w:rsidR="00BD3FCD" w:rsidRDefault="00BD3FCD">
    <w:pPr>
      <w:pStyle w:val="Footer"/>
      <w:jc w:val="right"/>
      <w:rPr>
        <w:rFonts w:hint="eastAsia"/>
      </w:rPr>
    </w:pPr>
  </w:p>
  <w:p w14:paraId="12C5F1A9" w14:textId="1CB33B91" w:rsidR="00304218" w:rsidRDefault="00304218">
    <w:pPr>
      <w:pStyle w:val="Footer"/>
      <w:rPr>
        <w:rFonts w:hint="eastAsia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8"/>
      <w:gridCol w:w="3009"/>
      <w:gridCol w:w="3009"/>
    </w:tblGrid>
    <w:tr w:rsidR="1C651516" w14:paraId="0BA3323A" w14:textId="77777777" w:rsidTr="1C651516">
      <w:trPr>
        <w:trHeight w:val="300"/>
      </w:trPr>
      <w:tc>
        <w:tcPr>
          <w:tcW w:w="3120" w:type="dxa"/>
        </w:tcPr>
        <w:p w14:paraId="3989496D" w14:textId="0C7B7AB1" w:rsidR="1C651516" w:rsidRDefault="1C651516" w:rsidP="1C651516">
          <w:pPr>
            <w:pStyle w:val="Header"/>
            <w:ind w:left="-115"/>
            <w:rPr>
              <w:rFonts w:hint="eastAsia"/>
            </w:rPr>
          </w:pPr>
        </w:p>
      </w:tc>
      <w:tc>
        <w:tcPr>
          <w:tcW w:w="3120" w:type="dxa"/>
        </w:tcPr>
        <w:p w14:paraId="6504B473" w14:textId="44DDDC03" w:rsidR="1C651516" w:rsidRDefault="1C651516" w:rsidP="1C651516">
          <w:pPr>
            <w:pStyle w:val="Header"/>
            <w:jc w:val="center"/>
            <w:rPr>
              <w:rFonts w:hint="eastAsia"/>
            </w:rPr>
          </w:pPr>
        </w:p>
      </w:tc>
      <w:tc>
        <w:tcPr>
          <w:tcW w:w="3120" w:type="dxa"/>
        </w:tcPr>
        <w:p w14:paraId="63CAC362" w14:textId="656657A4" w:rsidR="1C651516" w:rsidRDefault="1C651516" w:rsidP="1C651516">
          <w:pPr>
            <w:pStyle w:val="Header"/>
            <w:ind w:right="-115"/>
            <w:jc w:val="right"/>
            <w:rPr>
              <w:rFonts w:hint="eastAsia"/>
            </w:rPr>
          </w:pPr>
        </w:p>
      </w:tc>
    </w:tr>
  </w:tbl>
  <w:p w14:paraId="7C0884A3" w14:textId="3FC3D127" w:rsidR="00304218" w:rsidRDefault="00304218">
    <w:pPr>
      <w:pStyle w:val="Footer"/>
      <w:rPr>
        <w:rFonts w:hint="eastAsia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8"/>
      <w:gridCol w:w="3009"/>
      <w:gridCol w:w="3009"/>
    </w:tblGrid>
    <w:tr w:rsidR="1C651516" w14:paraId="41D1AD14" w14:textId="77777777" w:rsidTr="1C651516">
      <w:trPr>
        <w:trHeight w:val="300"/>
      </w:trPr>
      <w:tc>
        <w:tcPr>
          <w:tcW w:w="4320" w:type="dxa"/>
        </w:tcPr>
        <w:p w14:paraId="04EF1CBA" w14:textId="3540E4AC" w:rsidR="1C651516" w:rsidRDefault="1C651516" w:rsidP="1C651516">
          <w:pPr>
            <w:pStyle w:val="Header"/>
            <w:ind w:left="-115"/>
            <w:rPr>
              <w:rFonts w:hint="eastAsia"/>
            </w:rPr>
          </w:pPr>
        </w:p>
      </w:tc>
      <w:tc>
        <w:tcPr>
          <w:tcW w:w="4320" w:type="dxa"/>
        </w:tcPr>
        <w:p w14:paraId="01CE9592" w14:textId="5C8A5B1A" w:rsidR="1C651516" w:rsidRDefault="1C651516" w:rsidP="1C651516">
          <w:pPr>
            <w:pStyle w:val="Header"/>
            <w:jc w:val="center"/>
            <w:rPr>
              <w:rFonts w:hint="eastAsia"/>
            </w:rPr>
          </w:pPr>
        </w:p>
      </w:tc>
      <w:tc>
        <w:tcPr>
          <w:tcW w:w="4320" w:type="dxa"/>
        </w:tcPr>
        <w:p w14:paraId="22099C3A" w14:textId="50F0AC29" w:rsidR="1C651516" w:rsidRDefault="1C651516" w:rsidP="1C651516">
          <w:pPr>
            <w:pStyle w:val="Header"/>
            <w:ind w:right="-115"/>
            <w:jc w:val="right"/>
            <w:rPr>
              <w:rFonts w:hint="eastAsia"/>
            </w:rPr>
          </w:pPr>
        </w:p>
      </w:tc>
    </w:tr>
  </w:tbl>
  <w:p w14:paraId="3E489A95" w14:textId="4BC64E8E" w:rsidR="00304218" w:rsidRDefault="00304218">
    <w:pPr>
      <w:pStyle w:val="Footer"/>
      <w:rPr>
        <w:rFonts w:hint="eastAsia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8"/>
      <w:gridCol w:w="3009"/>
      <w:gridCol w:w="3009"/>
    </w:tblGrid>
    <w:tr w:rsidR="00097766" w14:paraId="568BE994" w14:textId="77777777" w:rsidTr="1C651516">
      <w:trPr>
        <w:trHeight w:val="300"/>
      </w:trPr>
      <w:tc>
        <w:tcPr>
          <w:tcW w:w="4320" w:type="dxa"/>
        </w:tcPr>
        <w:p w14:paraId="4B8B30D2" w14:textId="4B0BB738" w:rsidR="00097766" w:rsidRDefault="00097766" w:rsidP="1C651516">
          <w:pPr>
            <w:pStyle w:val="Header"/>
            <w:ind w:left="-115"/>
          </w:pPr>
        </w:p>
      </w:tc>
      <w:tc>
        <w:tcPr>
          <w:tcW w:w="4320" w:type="dxa"/>
        </w:tcPr>
        <w:p w14:paraId="7DAB16BB" w14:textId="4B331670" w:rsidR="00097766" w:rsidRDefault="00097766" w:rsidP="1C651516">
          <w:pPr>
            <w:pStyle w:val="Header"/>
            <w:jc w:val="center"/>
          </w:pPr>
        </w:p>
      </w:tc>
      <w:tc>
        <w:tcPr>
          <w:tcW w:w="4320" w:type="dxa"/>
        </w:tcPr>
        <w:p w14:paraId="491EF4FF" w14:textId="3AC3B3FA" w:rsidR="00097766" w:rsidRDefault="00097766" w:rsidP="1C651516">
          <w:pPr>
            <w:pStyle w:val="Header"/>
            <w:ind w:right="-115"/>
            <w:jc w:val="right"/>
          </w:pPr>
        </w:p>
      </w:tc>
    </w:tr>
  </w:tbl>
  <w:p w14:paraId="3A163627" w14:textId="2782E14F" w:rsidR="00097766" w:rsidRDefault="00097766">
    <w:pPr>
      <w:pStyle w:val="Foo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8"/>
      <w:gridCol w:w="3009"/>
      <w:gridCol w:w="3009"/>
    </w:tblGrid>
    <w:tr w:rsidR="00097766" w14:paraId="2382D02A" w14:textId="77777777" w:rsidTr="1C651516">
      <w:trPr>
        <w:trHeight w:val="300"/>
      </w:trPr>
      <w:tc>
        <w:tcPr>
          <w:tcW w:w="4320" w:type="dxa"/>
        </w:tcPr>
        <w:p w14:paraId="0547FC4B" w14:textId="36AF575C" w:rsidR="00097766" w:rsidRDefault="00097766" w:rsidP="1C651516">
          <w:pPr>
            <w:pStyle w:val="Header"/>
            <w:ind w:left="-115"/>
          </w:pPr>
        </w:p>
      </w:tc>
      <w:tc>
        <w:tcPr>
          <w:tcW w:w="4320" w:type="dxa"/>
        </w:tcPr>
        <w:p w14:paraId="175EEBFD" w14:textId="700E5195" w:rsidR="00097766" w:rsidRDefault="00097766" w:rsidP="1C651516">
          <w:pPr>
            <w:pStyle w:val="Header"/>
            <w:jc w:val="center"/>
          </w:pPr>
        </w:p>
      </w:tc>
      <w:tc>
        <w:tcPr>
          <w:tcW w:w="4320" w:type="dxa"/>
        </w:tcPr>
        <w:p w14:paraId="66EB8A0F" w14:textId="7B6A29EA" w:rsidR="00097766" w:rsidRDefault="00097766" w:rsidP="1C651516">
          <w:pPr>
            <w:pStyle w:val="Header"/>
            <w:ind w:right="-115"/>
            <w:jc w:val="right"/>
          </w:pPr>
        </w:p>
      </w:tc>
    </w:tr>
  </w:tbl>
  <w:p w14:paraId="5664C0B2" w14:textId="11DD5A65" w:rsidR="00097766" w:rsidRDefault="0009776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9E69A" w14:textId="77777777" w:rsidR="00DA781D" w:rsidRDefault="00DA781D">
    <w:pPr>
      <w:pStyle w:val="Header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4F4DF" w14:textId="0259F0FA" w:rsidR="005910C5" w:rsidRDefault="005910C5" w:rsidP="00BE76FD">
    <w:pPr>
      <w:pStyle w:val="Header"/>
      <w:jc w:val="right"/>
      <w:rPr>
        <w:rFonts w:hint="eastAsia"/>
      </w:rPr>
    </w:pPr>
  </w:p>
  <w:p w14:paraId="66A143AD" w14:textId="4B935273" w:rsidR="00304218" w:rsidRDefault="00304218">
    <w:pPr>
      <w:pStyle w:val="Header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4C068" w14:textId="2C2D8563" w:rsidR="00DA781D" w:rsidRDefault="00DA781D">
    <w:pPr>
      <w:pStyle w:val="Header"/>
      <w:rPr>
        <w:rFonts w:hint="eastAsia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84453935"/>
      <w:docPartObj>
        <w:docPartGallery w:val="Page Numbers (Top of Page)"/>
        <w:docPartUnique/>
      </w:docPartObj>
    </w:sdtPr>
    <w:sdtContent>
      <w:p w14:paraId="2AAD83BE" w14:textId="531820C8" w:rsidR="00BE76FD" w:rsidRDefault="00BE76FD">
        <w:pPr>
          <w:pStyle w:val="Header"/>
          <w:jc w:val="right"/>
          <w:rPr>
            <w:rFonts w:hint="eastAsia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75E3CF8" w14:textId="1E13C0AF" w:rsidR="00BE76FD" w:rsidRDefault="00BE76FD">
    <w:pPr>
      <w:pStyle w:val="Header"/>
      <w:rPr>
        <w:rFonts w:hint="eastAsia"/>
        <w:cs/>
        <w:lang w:bidi="th-TH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75927277"/>
      <w:docPartObj>
        <w:docPartGallery w:val="Page Numbers (Top of Page)"/>
        <w:docPartUnique/>
      </w:docPartObj>
    </w:sdtPr>
    <w:sdtContent>
      <w:p w14:paraId="4D85ECC1" w14:textId="77777777" w:rsidR="00AB597A" w:rsidRDefault="00AB597A">
        <w:pPr>
          <w:pStyle w:val="Header"/>
          <w:jc w:val="right"/>
          <w:rPr>
            <w:rFonts w:hint="eastAsia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5D87717" w14:textId="77777777" w:rsidR="00AB597A" w:rsidRDefault="00AB597A">
    <w:pPr>
      <w:pStyle w:val="Header"/>
      <w:rPr>
        <w:rFonts w:hint="eastAsia"/>
        <w:cs/>
        <w:lang w:bidi="th-TH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760275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B5B6C00" w14:textId="6A6A2A41" w:rsidR="000673AE" w:rsidRDefault="000673AE">
        <w:pPr>
          <w:pStyle w:val="Header"/>
          <w:jc w:val="right"/>
          <w:rPr>
            <w:rFonts w:hint="eastAsia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0045240" w14:textId="499AF798" w:rsidR="00304218" w:rsidRDefault="00304218">
    <w:pPr>
      <w:pStyle w:val="Header"/>
      <w:rPr>
        <w:rFonts w:hint="eastAsia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43215741"/>
      <w:docPartObj>
        <w:docPartGallery w:val="Page Numbers (Top of Page)"/>
        <w:docPartUnique/>
      </w:docPartObj>
    </w:sdtPr>
    <w:sdtEndPr>
      <w:rPr>
        <w:rFonts w:ascii="TH SarabunPSK" w:hAnsi="TH SarabunPSK" w:cs="TH SarabunPSK" w:hint="cs"/>
        <w:noProof/>
        <w:sz w:val="28"/>
        <w:szCs w:val="28"/>
      </w:rPr>
    </w:sdtEndPr>
    <w:sdtContent>
      <w:p w14:paraId="069CCEDD" w14:textId="536140BF" w:rsidR="000673AE" w:rsidRPr="00627706" w:rsidRDefault="000673AE">
        <w:pPr>
          <w:pStyle w:val="Header"/>
          <w:jc w:val="right"/>
          <w:rPr>
            <w:rFonts w:ascii="TH SarabunPSK" w:hAnsi="TH SarabunPSK" w:cs="TH SarabunPSK"/>
            <w:sz w:val="28"/>
            <w:szCs w:val="28"/>
          </w:rPr>
        </w:pP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begin"/>
        </w:r>
        <w:r w:rsidRPr="00627706">
          <w:rPr>
            <w:rFonts w:ascii="TH SarabunPSK" w:hAnsi="TH SarabunPSK" w:cs="TH SarabunPSK" w:hint="cs"/>
            <w:sz w:val="28"/>
            <w:szCs w:val="28"/>
          </w:rPr>
          <w:instrText xml:space="preserve"> PAGE   \* MERGEFORMAT </w:instrText>
        </w: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separate"/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t>2</w:t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fldChar w:fldCharType="end"/>
        </w:r>
      </w:p>
    </w:sdtContent>
  </w:sdt>
  <w:p w14:paraId="438B8EEE" w14:textId="2822D55D" w:rsidR="00304218" w:rsidRDefault="00304218">
    <w:pPr>
      <w:pStyle w:val="Header"/>
      <w:rPr>
        <w:rFonts w:hint="eastAsia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11495309"/>
      <w:docPartObj>
        <w:docPartGallery w:val="Page Numbers (Top of Page)"/>
        <w:docPartUnique/>
      </w:docPartObj>
    </w:sdtPr>
    <w:sdtEndPr>
      <w:rPr>
        <w:rFonts w:ascii="TH SarabunPSK" w:hAnsi="TH SarabunPSK" w:cs="TH SarabunPSK" w:hint="cs"/>
        <w:noProof/>
        <w:sz w:val="28"/>
        <w:szCs w:val="28"/>
      </w:rPr>
    </w:sdtEndPr>
    <w:sdtContent>
      <w:p w14:paraId="73DAD9EC" w14:textId="5629D6E1" w:rsidR="00627706" w:rsidRPr="00627706" w:rsidRDefault="00627706">
        <w:pPr>
          <w:pStyle w:val="Header"/>
          <w:jc w:val="right"/>
          <w:rPr>
            <w:rFonts w:ascii="TH SarabunPSK" w:hAnsi="TH SarabunPSK" w:cs="TH SarabunPSK"/>
            <w:sz w:val="28"/>
            <w:szCs w:val="28"/>
          </w:rPr>
        </w:pP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begin"/>
        </w:r>
        <w:r w:rsidRPr="00627706">
          <w:rPr>
            <w:rFonts w:ascii="TH SarabunPSK" w:hAnsi="TH SarabunPSK" w:cs="TH SarabunPSK" w:hint="cs"/>
            <w:sz w:val="28"/>
            <w:szCs w:val="28"/>
          </w:rPr>
          <w:instrText xml:space="preserve"> PAGE   \* MERGEFORMAT </w:instrText>
        </w: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separate"/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t>2</w:t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fldChar w:fldCharType="end"/>
        </w:r>
      </w:p>
    </w:sdtContent>
  </w:sdt>
  <w:p w14:paraId="2AAFFD17" w14:textId="5591C77F" w:rsidR="00304218" w:rsidRDefault="00304218">
    <w:pPr>
      <w:pStyle w:val="Header"/>
      <w:rPr>
        <w:rFonts w:hint="eastAsia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67070849"/>
      <w:docPartObj>
        <w:docPartGallery w:val="Page Numbers (Top of Page)"/>
        <w:docPartUnique/>
      </w:docPartObj>
    </w:sdtPr>
    <w:sdtEndPr>
      <w:rPr>
        <w:rFonts w:ascii="TH SarabunPSK" w:hAnsi="TH SarabunPSK" w:cs="TH SarabunPSK" w:hint="cs"/>
        <w:noProof/>
        <w:sz w:val="28"/>
        <w:szCs w:val="28"/>
      </w:rPr>
    </w:sdtEndPr>
    <w:sdtContent>
      <w:p w14:paraId="16A4BB53" w14:textId="77777777" w:rsidR="00097766" w:rsidRDefault="00097766">
        <w:pPr>
          <w:pStyle w:val="Header"/>
          <w:jc w:val="right"/>
        </w:pP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begin"/>
        </w:r>
        <w:r w:rsidRPr="00627706">
          <w:rPr>
            <w:rFonts w:ascii="TH SarabunPSK" w:hAnsi="TH SarabunPSK" w:cs="TH SarabunPSK" w:hint="cs"/>
            <w:sz w:val="28"/>
            <w:szCs w:val="28"/>
          </w:rPr>
          <w:instrText xml:space="preserve"> PAGE   \* MERGEFORMAT </w:instrText>
        </w: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separate"/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t>2</w:t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fldChar w:fldCharType="end"/>
        </w:r>
      </w:p>
    </w:sdtContent>
  </w:sdt>
  <w:p w14:paraId="0F2D09C7" w14:textId="617800F0" w:rsidR="00097766" w:rsidRDefault="00097766">
    <w:pPr>
      <w:pStyle w:val="Header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1804306"/>
      <w:docPartObj>
        <w:docPartGallery w:val="Page Numbers (Top of Page)"/>
        <w:docPartUnique/>
      </w:docPartObj>
    </w:sdtPr>
    <w:sdtEndPr>
      <w:rPr>
        <w:rFonts w:ascii="TH SarabunPSK" w:hAnsi="TH SarabunPSK" w:cs="TH SarabunPSK" w:hint="cs"/>
        <w:noProof/>
        <w:sz w:val="28"/>
        <w:szCs w:val="28"/>
      </w:rPr>
    </w:sdtEndPr>
    <w:sdtContent>
      <w:p w14:paraId="75EAED31" w14:textId="081BFAD4" w:rsidR="00097766" w:rsidRDefault="00097766">
        <w:pPr>
          <w:pStyle w:val="Header"/>
          <w:jc w:val="right"/>
        </w:pP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begin"/>
        </w:r>
        <w:r w:rsidRPr="00627706">
          <w:rPr>
            <w:rFonts w:ascii="TH SarabunPSK" w:hAnsi="TH SarabunPSK" w:cs="TH SarabunPSK" w:hint="cs"/>
            <w:sz w:val="28"/>
            <w:szCs w:val="28"/>
          </w:rPr>
          <w:instrText xml:space="preserve"> PAGE   \* MERGEFORMAT </w:instrText>
        </w: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separate"/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t>2</w:t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fldChar w:fldCharType="end"/>
        </w:r>
      </w:p>
    </w:sdtContent>
  </w:sdt>
  <w:p w14:paraId="28C8483C" w14:textId="1289F465" w:rsidR="00097766" w:rsidRDefault="000977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7EE34"/>
    <w:multiLevelType w:val="hybridMultilevel"/>
    <w:tmpl w:val="E2F2101A"/>
    <w:lvl w:ilvl="0" w:tplc="0144F4F8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6350499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BF02DD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766FCF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69CC98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C489F6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8049DE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D304A2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E00B53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B8190D"/>
    <w:multiLevelType w:val="hybridMultilevel"/>
    <w:tmpl w:val="692643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65B2FC"/>
    <w:multiLevelType w:val="hybridMultilevel"/>
    <w:tmpl w:val="B9E4E8A6"/>
    <w:lvl w:ilvl="0" w:tplc="CBB800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A228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DC06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1CD0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1061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1845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5C0D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CA22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AA16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9820FB"/>
    <w:multiLevelType w:val="hybridMultilevel"/>
    <w:tmpl w:val="FFFFFFFF"/>
    <w:lvl w:ilvl="0" w:tplc="60924F06">
      <w:start w:val="1"/>
      <w:numFmt w:val="decimal"/>
      <w:lvlText w:val="%1."/>
      <w:lvlJc w:val="left"/>
      <w:pPr>
        <w:ind w:left="720" w:hanging="360"/>
      </w:pPr>
    </w:lvl>
    <w:lvl w:ilvl="1" w:tplc="12FEFFCE">
      <w:start w:val="1"/>
      <w:numFmt w:val="lowerLetter"/>
      <w:lvlText w:val="%2."/>
      <w:lvlJc w:val="left"/>
      <w:pPr>
        <w:ind w:left="1440" w:hanging="360"/>
      </w:pPr>
    </w:lvl>
    <w:lvl w:ilvl="2" w:tplc="157CB828">
      <w:start w:val="1"/>
      <w:numFmt w:val="lowerRoman"/>
      <w:lvlText w:val="%3."/>
      <w:lvlJc w:val="right"/>
      <w:pPr>
        <w:ind w:left="2160" w:hanging="180"/>
      </w:pPr>
    </w:lvl>
    <w:lvl w:ilvl="3" w:tplc="7CAEBF78">
      <w:start w:val="1"/>
      <w:numFmt w:val="decimal"/>
      <w:lvlText w:val="%4."/>
      <w:lvlJc w:val="left"/>
      <w:pPr>
        <w:ind w:left="2880" w:hanging="360"/>
      </w:pPr>
    </w:lvl>
    <w:lvl w:ilvl="4" w:tplc="EAFE9C8A">
      <w:start w:val="1"/>
      <w:numFmt w:val="lowerLetter"/>
      <w:lvlText w:val="%5."/>
      <w:lvlJc w:val="left"/>
      <w:pPr>
        <w:ind w:left="3600" w:hanging="360"/>
      </w:pPr>
    </w:lvl>
    <w:lvl w:ilvl="5" w:tplc="F0242F88">
      <w:start w:val="1"/>
      <w:numFmt w:val="lowerRoman"/>
      <w:lvlText w:val="%6."/>
      <w:lvlJc w:val="right"/>
      <w:pPr>
        <w:ind w:left="4320" w:hanging="180"/>
      </w:pPr>
    </w:lvl>
    <w:lvl w:ilvl="6" w:tplc="D3B0A89A">
      <w:start w:val="1"/>
      <w:numFmt w:val="decimal"/>
      <w:lvlText w:val="%7."/>
      <w:lvlJc w:val="left"/>
      <w:pPr>
        <w:ind w:left="5040" w:hanging="360"/>
      </w:pPr>
    </w:lvl>
    <w:lvl w:ilvl="7" w:tplc="C2F49C5E">
      <w:start w:val="1"/>
      <w:numFmt w:val="lowerLetter"/>
      <w:lvlText w:val="%8."/>
      <w:lvlJc w:val="left"/>
      <w:pPr>
        <w:ind w:left="5760" w:hanging="360"/>
      </w:pPr>
    </w:lvl>
    <w:lvl w:ilvl="8" w:tplc="55A4CA6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C81D5F"/>
    <w:multiLevelType w:val="hybridMultilevel"/>
    <w:tmpl w:val="0928A1EC"/>
    <w:lvl w:ilvl="0" w:tplc="45E4874C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0972CF5"/>
    <w:multiLevelType w:val="hybridMultilevel"/>
    <w:tmpl w:val="E4CCEF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AA3F13"/>
    <w:multiLevelType w:val="hybridMultilevel"/>
    <w:tmpl w:val="FFFFFFFF"/>
    <w:lvl w:ilvl="0" w:tplc="FD903E3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70A32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D0FE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0C0E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68EA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F8B9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0A9D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B402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62F5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D1015"/>
    <w:multiLevelType w:val="hybridMultilevel"/>
    <w:tmpl w:val="A09E39FA"/>
    <w:lvl w:ilvl="0" w:tplc="6B66A9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1D1D17"/>
    <w:multiLevelType w:val="hybridMultilevel"/>
    <w:tmpl w:val="FFFFFFFF"/>
    <w:lvl w:ilvl="0" w:tplc="45E4874C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 w:tplc="E04C4A4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EC8A054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204D27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781EB4FA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8FDA464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8F124370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7A0A3F3E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A66E594E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E26EE6A"/>
    <w:multiLevelType w:val="hybridMultilevel"/>
    <w:tmpl w:val="4D04265C"/>
    <w:lvl w:ilvl="0" w:tplc="1370F078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E360670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F4A4C7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BA0C10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8FC071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6564F5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5ACF29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80FA9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5D2140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020229A"/>
    <w:multiLevelType w:val="hybridMultilevel"/>
    <w:tmpl w:val="231EA1F6"/>
    <w:lvl w:ilvl="0" w:tplc="3B8A6F66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20DA0697"/>
    <w:multiLevelType w:val="hybridMultilevel"/>
    <w:tmpl w:val="0E54FA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DE44F5"/>
    <w:multiLevelType w:val="hybridMultilevel"/>
    <w:tmpl w:val="4BFC5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450D14"/>
    <w:multiLevelType w:val="hybridMultilevel"/>
    <w:tmpl w:val="39946AD0"/>
    <w:lvl w:ilvl="0" w:tplc="1D5236FE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12D00FB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7B6A4D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768736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ECE1F1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F726AE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17E88A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96C0C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ABE9DB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D6E150C"/>
    <w:multiLevelType w:val="hybridMultilevel"/>
    <w:tmpl w:val="44AA8CE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8763C09"/>
    <w:multiLevelType w:val="hybridMultilevel"/>
    <w:tmpl w:val="EAAA2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37108D"/>
    <w:multiLevelType w:val="hybridMultilevel"/>
    <w:tmpl w:val="674C2F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E83AE3"/>
    <w:multiLevelType w:val="hybridMultilevel"/>
    <w:tmpl w:val="FFFFFFFF"/>
    <w:lvl w:ilvl="0" w:tplc="92EAC3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6809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484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C26A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4857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7EC9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BEB2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B86D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A290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0C1ECB"/>
    <w:multiLevelType w:val="hybridMultilevel"/>
    <w:tmpl w:val="01BAB1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000101"/>
    <w:multiLevelType w:val="multilevel"/>
    <w:tmpl w:val="14B237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54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1800"/>
      </w:pPr>
      <w:rPr>
        <w:rFonts w:hint="default"/>
      </w:rPr>
    </w:lvl>
  </w:abstractNum>
  <w:abstractNum w:abstractNumId="20" w15:restartNumberingAfterBreak="0">
    <w:nsid w:val="50477C49"/>
    <w:multiLevelType w:val="hybridMultilevel"/>
    <w:tmpl w:val="86AABE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3B0011"/>
    <w:multiLevelType w:val="hybridMultilevel"/>
    <w:tmpl w:val="7D407C04"/>
    <w:lvl w:ilvl="0" w:tplc="668444A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7E4E1CCC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7C4CFDC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7723582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B0C1CC0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33DC0F3A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87EDE24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2E6A144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32A7922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19C1C6D"/>
    <w:multiLevelType w:val="multilevel"/>
    <w:tmpl w:val="46EA0D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00" w:hanging="540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900" w:hanging="5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3" w15:restartNumberingAfterBreak="0">
    <w:nsid w:val="573E1F30"/>
    <w:multiLevelType w:val="hybridMultilevel"/>
    <w:tmpl w:val="41CC91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7758882"/>
    <w:multiLevelType w:val="hybridMultilevel"/>
    <w:tmpl w:val="ADCA8D7E"/>
    <w:lvl w:ilvl="0" w:tplc="9B22D5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EAD8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E49B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E87E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BE32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7489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7284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EA3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B8C7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E21B7C"/>
    <w:multiLevelType w:val="hybridMultilevel"/>
    <w:tmpl w:val="4FD642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534AA6"/>
    <w:multiLevelType w:val="hybridMultilevel"/>
    <w:tmpl w:val="156410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F3E5437"/>
    <w:multiLevelType w:val="hybridMultilevel"/>
    <w:tmpl w:val="30BCF0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7FBEB4"/>
    <w:multiLevelType w:val="hybridMultilevel"/>
    <w:tmpl w:val="FFFFFFFF"/>
    <w:lvl w:ilvl="0" w:tplc="843440C4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 w:tplc="1056217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808845F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D27EB37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D549B0A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4E8A9C6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58CB3D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36C5F4E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97F6393C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 w16cid:durableId="1131047882">
    <w:abstractNumId w:val="7"/>
  </w:num>
  <w:num w:numId="2" w16cid:durableId="779839127">
    <w:abstractNumId w:val="21"/>
  </w:num>
  <w:num w:numId="3" w16cid:durableId="45613692">
    <w:abstractNumId w:val="13"/>
  </w:num>
  <w:num w:numId="4" w16cid:durableId="1978759779">
    <w:abstractNumId w:val="9"/>
  </w:num>
  <w:num w:numId="5" w16cid:durableId="1062949608">
    <w:abstractNumId w:val="0"/>
  </w:num>
  <w:num w:numId="6" w16cid:durableId="350037821">
    <w:abstractNumId w:val="17"/>
  </w:num>
  <w:num w:numId="7" w16cid:durableId="1144740231">
    <w:abstractNumId w:val="28"/>
  </w:num>
  <w:num w:numId="8" w16cid:durableId="468666674">
    <w:abstractNumId w:val="6"/>
  </w:num>
  <w:num w:numId="9" w16cid:durableId="1039477797">
    <w:abstractNumId w:val="8"/>
  </w:num>
  <w:num w:numId="10" w16cid:durableId="545220553">
    <w:abstractNumId w:val="4"/>
  </w:num>
  <w:num w:numId="11" w16cid:durableId="501815849">
    <w:abstractNumId w:val="23"/>
  </w:num>
  <w:num w:numId="12" w16cid:durableId="1725061153">
    <w:abstractNumId w:val="15"/>
  </w:num>
  <w:num w:numId="13" w16cid:durableId="599029086">
    <w:abstractNumId w:val="12"/>
  </w:num>
  <w:num w:numId="14" w16cid:durableId="1947880833">
    <w:abstractNumId w:val="14"/>
  </w:num>
  <w:num w:numId="15" w16cid:durableId="1344822720">
    <w:abstractNumId w:val="11"/>
  </w:num>
  <w:num w:numId="16" w16cid:durableId="1144665815">
    <w:abstractNumId w:val="1"/>
  </w:num>
  <w:num w:numId="17" w16cid:durableId="64423297">
    <w:abstractNumId w:val="16"/>
  </w:num>
  <w:num w:numId="18" w16cid:durableId="1565991912">
    <w:abstractNumId w:val="26"/>
  </w:num>
  <w:num w:numId="19" w16cid:durableId="1984507662">
    <w:abstractNumId w:val="25"/>
  </w:num>
  <w:num w:numId="20" w16cid:durableId="1437360912">
    <w:abstractNumId w:val="27"/>
  </w:num>
  <w:num w:numId="21" w16cid:durableId="374046164">
    <w:abstractNumId w:val="22"/>
  </w:num>
  <w:num w:numId="22" w16cid:durableId="605967965">
    <w:abstractNumId w:val="19"/>
  </w:num>
  <w:num w:numId="23" w16cid:durableId="67466232">
    <w:abstractNumId w:val="10"/>
  </w:num>
  <w:num w:numId="24" w16cid:durableId="1722635682">
    <w:abstractNumId w:val="20"/>
  </w:num>
  <w:num w:numId="25" w16cid:durableId="1469975437">
    <w:abstractNumId w:val="5"/>
  </w:num>
  <w:num w:numId="26" w16cid:durableId="1301114214">
    <w:abstractNumId w:val="18"/>
  </w:num>
  <w:num w:numId="27" w16cid:durableId="1196119043">
    <w:abstractNumId w:val="2"/>
  </w:num>
  <w:num w:numId="28" w16cid:durableId="54819392">
    <w:abstractNumId w:val="24"/>
  </w:num>
  <w:num w:numId="29" w16cid:durableId="1713461511">
    <w:abstractNumId w:val="3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evenAndOddHeader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448B"/>
  </w:style>
  <w:style w:type="paragraph" w:styleId="Heading1">
    <w:name w:val="heading 1"/>
    <w:basedOn w:val="Normal"/>
    <w:next w:val="Normal"/>
    <w:link w:val="Heading1Char"/>
    <w:uiPriority w:val="9"/>
    <w:qFormat/>
    <w:rsid w:val="004B2FEC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  <w:lang w:bidi="th-TH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2FEC"/>
    <w:pPr>
      <w:keepNext/>
      <w:keepLines/>
      <w:spacing w:before="40" w:after="0"/>
      <w:outlineLvl w:val="1"/>
    </w:pPr>
    <w:rPr>
      <w:rFonts w:ascii="TH SarabunPSK" w:eastAsiaTheme="majorEastAsia" w:hAnsi="TH SarabunPSK" w:cs="TH SarabunPSK"/>
      <w:b/>
      <w:bCs/>
      <w:sz w:val="32"/>
      <w:szCs w:val="32"/>
      <w:lang w:bidi="th-TH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33DF"/>
    <w:pPr>
      <w:keepNext/>
      <w:keepLines/>
      <w:spacing w:before="40" w:after="0"/>
      <w:outlineLvl w:val="2"/>
    </w:pPr>
    <w:rPr>
      <w:rFonts w:ascii="TH SarabunPSK" w:eastAsiaTheme="majorEastAsia" w:hAnsi="TH SarabunPSK" w:cs="TH SarabunPSK"/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80AAA"/>
    <w:pPr>
      <w:keepNext/>
      <w:keepLines/>
      <w:spacing w:before="40" w:after="0"/>
      <w:ind w:firstLine="720"/>
      <w:outlineLvl w:val="3"/>
    </w:pPr>
    <w:rPr>
      <w:rFonts w:ascii="TH SarabunPSK" w:eastAsiaTheme="majorEastAsia" w:hAnsi="TH SarabunPSK" w:cs="TH SarabunPSK"/>
      <w:b/>
      <w:bCs/>
      <w:sz w:val="32"/>
      <w:szCs w:val="32"/>
      <w:lang w:bidi="th-TH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B426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semiHidden/>
    <w:rsid w:val="002B426F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rsid w:val="00E80AAA"/>
    <w:rPr>
      <w:rFonts w:ascii="TH SarabunPSK" w:eastAsiaTheme="majorEastAsia" w:hAnsi="TH SarabunPSK" w:cs="TH SarabunPSK"/>
      <w:b/>
      <w:bCs/>
      <w:sz w:val="32"/>
      <w:szCs w:val="32"/>
      <w:lang w:bidi="th-TH"/>
    </w:rPr>
  </w:style>
  <w:style w:type="paragraph" w:styleId="NormalWeb">
    <w:name w:val="Normal (Web)"/>
    <w:basedOn w:val="Normal"/>
    <w:uiPriority w:val="99"/>
    <w:semiHidden/>
    <w:unhideWhenUsed/>
    <w:rsid w:val="002B426F"/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2B426F"/>
    <w:pPr>
      <w:ind w:left="720"/>
      <w:contextualSpacing/>
    </w:pPr>
  </w:style>
  <w:style w:type="table" w:styleId="TableGrid">
    <w:name w:val="Table Grid"/>
    <w:basedOn w:val="TableNormal"/>
    <w:uiPriority w:val="39"/>
    <w:rsid w:val="004F7F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13B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3BA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961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1F9"/>
  </w:style>
  <w:style w:type="paragraph" w:styleId="Footer">
    <w:name w:val="footer"/>
    <w:basedOn w:val="Normal"/>
    <w:link w:val="FooterChar"/>
    <w:uiPriority w:val="99"/>
    <w:unhideWhenUsed/>
    <w:rsid w:val="006961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1F9"/>
  </w:style>
  <w:style w:type="character" w:customStyle="1" w:styleId="Heading1Char">
    <w:name w:val="Heading 1 Char"/>
    <w:basedOn w:val="DefaultParagraphFont"/>
    <w:link w:val="Heading1"/>
    <w:uiPriority w:val="9"/>
    <w:rsid w:val="004B2FEC"/>
    <w:rPr>
      <w:rFonts w:asciiTheme="majorHAnsi" w:eastAsiaTheme="majorEastAsia" w:hAnsiTheme="majorHAnsi" w:cstheme="majorBidi"/>
      <w:b/>
      <w:bCs/>
      <w:sz w:val="32"/>
      <w:szCs w:val="32"/>
      <w:lang w:bidi="th-TH"/>
    </w:rPr>
  </w:style>
  <w:style w:type="character" w:styleId="FollowedHyperlink">
    <w:name w:val="FollowedHyperlink"/>
    <w:basedOn w:val="DefaultParagraphFont"/>
    <w:uiPriority w:val="99"/>
    <w:semiHidden/>
    <w:unhideWhenUsed/>
    <w:rsid w:val="007B12E8"/>
    <w:rPr>
      <w:color w:val="96607D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A133DF"/>
    <w:rPr>
      <w:rFonts w:ascii="TH SarabunPSK" w:eastAsiaTheme="majorEastAsia" w:hAnsi="TH SarabunPSK" w:cs="TH SarabunPSK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B2FEC"/>
    <w:rPr>
      <w:rFonts w:ascii="TH SarabunPSK" w:eastAsiaTheme="majorEastAsia" w:hAnsi="TH SarabunPSK" w:cs="TH SarabunPSK"/>
      <w:b/>
      <w:bCs/>
      <w:sz w:val="32"/>
      <w:szCs w:val="32"/>
      <w:lang w:bidi="th-TH"/>
    </w:rPr>
  </w:style>
  <w:style w:type="paragraph" w:customStyle="1" w:styleId="p1">
    <w:name w:val="p1"/>
    <w:basedOn w:val="Normal"/>
    <w:rsid w:val="00930D03"/>
    <w:pPr>
      <w:spacing w:after="0" w:line="240" w:lineRule="auto"/>
    </w:pPr>
    <w:rPr>
      <w:rFonts w:ascii=".ThonburiUI" w:hAnsi=".ThonburiUI" w:cs="Tahoma"/>
      <w:sz w:val="26"/>
      <w:szCs w:val="26"/>
      <w:lang w:eastAsia="en-US" w:bidi="th-TH"/>
    </w:rPr>
  </w:style>
  <w:style w:type="character" w:customStyle="1" w:styleId="s1">
    <w:name w:val="s1"/>
    <w:basedOn w:val="DefaultParagraphFont"/>
    <w:rsid w:val="00930D03"/>
    <w:rPr>
      <w:rFonts w:ascii=".ThonburiUI-Regular" w:hAnsi=".ThonburiUI-Regular" w:hint="default"/>
      <w:b w:val="0"/>
      <w:bCs w:val="0"/>
      <w:i w:val="0"/>
      <w:iCs w:val="0"/>
      <w:sz w:val="26"/>
      <w:szCs w:val="26"/>
    </w:rPr>
  </w:style>
  <w:style w:type="character" w:customStyle="1" w:styleId="s2">
    <w:name w:val="s2"/>
    <w:basedOn w:val="DefaultParagraphFont"/>
    <w:rsid w:val="00930D03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0F3D20"/>
    <w:pPr>
      <w:spacing w:line="259" w:lineRule="auto"/>
      <w:jc w:val="left"/>
      <w:outlineLvl w:val="9"/>
    </w:pPr>
    <w:rPr>
      <w:b w:val="0"/>
      <w:bCs w:val="0"/>
      <w:color w:val="0F4761" w:themeColor="accent1" w:themeShade="BF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0F3D2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F3D2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F3D20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E80AAA"/>
    <w:pPr>
      <w:spacing w:after="100"/>
      <w:ind w:left="720"/>
    </w:pPr>
  </w:style>
  <w:style w:type="paragraph" w:customStyle="1" w:styleId="p2">
    <w:name w:val="p2"/>
    <w:basedOn w:val="Normal"/>
    <w:rsid w:val="00022808"/>
    <w:pPr>
      <w:spacing w:after="0" w:line="240" w:lineRule="auto"/>
    </w:pPr>
    <w:rPr>
      <w:rFonts w:ascii=".AppleSystemUIFont" w:hAnsi=".AppleSystemUIFont" w:cs="Times New Roman"/>
      <w:color w:val="E0E0E0"/>
      <w:lang w:eastAsia="en-US"/>
    </w:rPr>
  </w:style>
  <w:style w:type="character" w:customStyle="1" w:styleId="s3">
    <w:name w:val="s3"/>
    <w:basedOn w:val="DefaultParagraphFont"/>
    <w:rsid w:val="00022808"/>
    <w:rPr>
      <w:rFonts w:ascii=".SFUI-Regular" w:hAnsi=".SFUI-Regular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apple-converted-space">
    <w:name w:val="apple-converted-space"/>
    <w:basedOn w:val="DefaultParagraphFont"/>
    <w:rsid w:val="00022808"/>
  </w:style>
  <w:style w:type="paragraph" w:customStyle="1" w:styleId="p3">
    <w:name w:val="p3"/>
    <w:basedOn w:val="Normal"/>
    <w:rsid w:val="00622BEC"/>
    <w:pPr>
      <w:spacing w:before="200" w:after="0" w:line="240" w:lineRule="auto"/>
      <w:ind w:left="600" w:hanging="600"/>
    </w:pPr>
    <w:rPr>
      <w:rFonts w:ascii=".AppleSystemUIFont" w:hAnsi=".AppleSystemUIFont" w:cs="Tahoma"/>
      <w:color w:val="000000"/>
      <w:sz w:val="26"/>
      <w:szCs w:val="26"/>
      <w:lang w:eastAsia="en-US" w:bidi="th-TH"/>
    </w:rPr>
  </w:style>
  <w:style w:type="paragraph" w:customStyle="1" w:styleId="p4">
    <w:name w:val="p4"/>
    <w:basedOn w:val="Normal"/>
    <w:rsid w:val="00622BEC"/>
    <w:pPr>
      <w:spacing w:before="140" w:after="0" w:line="240" w:lineRule="auto"/>
      <w:ind w:left="600" w:hanging="600"/>
    </w:pPr>
    <w:rPr>
      <w:rFonts w:ascii=".AppleSystemUIFont" w:hAnsi=".AppleSystemUIFont" w:cs="Tahoma"/>
      <w:color w:val="000000"/>
      <w:sz w:val="26"/>
      <w:szCs w:val="26"/>
      <w:lang w:eastAsia="en-US" w:bidi="th-TH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1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2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2.xml" /><Relationship Id="rId10" Type="http://schemas.openxmlformats.org/officeDocument/2006/relationships/header" Target="header4.xml" /><Relationship Id="rId11" Type="http://schemas.openxmlformats.org/officeDocument/2006/relationships/header" Target="header8.xml" /><Relationship Id="rId12" Type="http://schemas.openxmlformats.org/officeDocument/2006/relationships/header" Target="header3.xml" /><Relationship Id="rId13" Type="http://schemas.openxmlformats.org/officeDocument/2006/relationships/header" Target="header5.xml" /><Relationship Id="rId14" Type="http://schemas.openxmlformats.org/officeDocument/2006/relationships/header" Target="header7.xml" /><Relationship Id="rId15" Type="http://schemas.openxmlformats.org/officeDocument/2006/relationships/header" Target="header9.xml" /><Relationship Id="rId16" Type="http://schemas.openxmlformats.org/officeDocument/2006/relationships/header" Target="header6.xml" /><Relationship Id="rId17" Type="http://schemas.openxmlformats.org/officeDocument/2006/relationships/header" Target="header1.xml" /><Relationship Id="rId18" Type="http://schemas.openxmlformats.org/officeDocument/2006/relationships/header" Target="header10.xml" /><Relationship Id="rId19" Type="http://schemas.openxmlformats.org/officeDocument/2006/relationships/footer" Target="footer8.xml" /><Relationship Id="rId20" Type="http://schemas.openxmlformats.org/officeDocument/2006/relationships/footer" Target="footer7.xml" /><Relationship Id="rId21" Type="http://schemas.openxmlformats.org/officeDocument/2006/relationships/footer" Target="footer2.xml" /><Relationship Id="rId22" Type="http://schemas.openxmlformats.org/officeDocument/2006/relationships/footer" Target="footer4.xml" /><Relationship Id="rId23" Type="http://schemas.openxmlformats.org/officeDocument/2006/relationships/footer" Target="footer1.xml" /><Relationship Id="rId24" Type="http://schemas.openxmlformats.org/officeDocument/2006/relationships/footer" Target="footer6.xml" /><Relationship Id="rId25" Type="http://schemas.openxmlformats.org/officeDocument/2006/relationships/footer" Target="footer3.xml" /><Relationship Id="rId26" Type="http://schemas.openxmlformats.org/officeDocument/2006/relationships/footer" Target="footer5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45</Pages>
  <Words>9583</Words>
  <Characters>54628</Characters>
  <Application>Microsoft Office Word</Application>
  <DocSecurity>0</DocSecurity>
  <Lines>455</Lines>
  <Paragraphs>128</Paragraphs>
  <ScaleCrop>false</ScaleCrop>
  <Company/>
  <LinksUpToDate>false</LinksUpToDate>
  <CharactersWithSpaces>64083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ร่างแนวทางรายงาน MK (ฉบับ Claude) — ใช้เทียบกับฉบับกลุ่ม</dc:title>
  <dc:creator/>
  <cp:keywords/>
  <dcterms:created xsi:type="dcterms:W3CDTF">2026-09-30T17:02:36Z</dcterms:created>
  <dcterms:modified xsi:type="dcterms:W3CDTF">2026-09-30T17:02:36Z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