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headerReference w:type="first" r:id="rId15"/>
          <w:footerReference w:type="default" r:id="rId14"/>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และแผนฉุกเฉินจะถูกใช้ตั้งแต่ปี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spacing w:before="0" w:after="0" w:line="240" w:lineRule="auto"/>
              <w:rPr>
                <w:rFonts w:ascii="TH SarabunPSK" w:hAnsi="TH SarabunPSK" w:cs="TH SarabunPSK" w:hint="cs"/>
                <w:szCs w:val="32"/>
                <w:lang w:bidi="th-TH"/>
              </w:rPr>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ind w:firstLine="567"/>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3.1.3 การวิเคราะห์คู่แข่งขันหลัก (Competitive Profile Matrix: CPM)</w:t>
      </w:r>
      <w:r w:rsidR="00D22DA2" w:rsidRPr="007B6343">
        <w:rPr>
          <w:rFonts w:ascii="TH SarabunPSK" w:hAnsi="TH SarabunPSK" w:cs="TH SarabunPSK" w:hint="cs"/>
          <w:iCs/>
        </w:rPr>
      </w:r>
      <w:r w:rsidR="00382837" w:rsidRPr="007B6343">
        <w:rPr>
          <w:rFonts w:ascii="TH SarabunPSK" w:hAnsi="TH SarabunPSK" w:cs="TH SarabunPSK" w:hint="cs"/>
          <w:iCs/>
          <w:cs/>
        </w:rPr>
      </w:r>
      <w:r w:rsidR="00254CB7" w:rsidRPr="007B6343">
        <w:rPr>
          <w:rFonts w:ascii="TH SarabunPSK" w:hAnsi="TH SarabunPSK" w:cs="TH SarabunPSK" w:hint="cs"/>
          <w:iCs/>
        </w:rPr>
      </w:r>
      <w:bookmarkEnd w:id="25"/>
      <w:r w:rsidR="00955CE3" w:rsidRPr="007B6343">
        <w:rPr>
          <w:rFonts w:ascii="TH SarabunPSK" w:hAnsi="TH SarabunPSK" w:cs="TH SarabunPSK" w:hint="cs"/>
          <w:iCs/>
          <w:cs/>
        </w:rPr>
      </w:r>
      <w:r w:rsidR="007E3440" w:rsidRPr="007B6343">
        <w:rPr>
          <w:rFonts w:ascii="TH SarabunPSK" w:hAnsi="TH SarabunPSK" w:cs="TH SarabunPSK" w:hint="cs"/>
          <w:iCs/>
        </w:rPr>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b/>
                <w:bCs/>
                <w:color w:val="000000" w:themeColor="text1"/>
                <w:szCs w:val="32"/>
                <w:cs/>
                <w:lang w:bidi="th-TH"/>
              </w:rPr>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 ส่วนน้ำหนักของแต่ละปัจจัยกำหนดโดยคณะผู้จัดทำ</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298" w:type="dxa"/>
        <w:tblLayout w:type="fixed"/>
        <w:tblLook w:firstColumn="1" w:firstRow="1" w:lastColumn="0" w:lastRow="0" w:noHBand="0" w:noVBand="1" w:val="04A0"/>
      </w:tblPr>
      <w:tblGrid>
        <w:gridCol w:w="2883"/>
        <w:gridCol w:w="864"/>
        <w:gridCol w:w="864"/>
        <w:gridCol w:w="1081"/>
        <w:gridCol w:w="1081"/>
        <w:gridCol w:w="2522"/>
      </w:tblGrid>
      <w:tr>
        <w:tc>
          <w:tcPr>
            <w:tcW w:type="dxa" w:w="288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522"/>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t>แบรนด์เอ็มเค สุกี้ (แบรนด์ของบริษัทเอง) ร่วมกับสูตรเฉพาะ ครัวกลาง และองค์ความรู้ที่สะสม</w:t>
            </w:r>
            <w:r>
              <w:rPr>
                <w:rFonts w:ascii="TH SarabunPSK" w:hAnsi="TH SarabunPSK" w:cs="TH SarabunPSK" w:eastAsia="TH SarabunPSK"/>
                <w:b w:val="0"/>
                <w:sz w:val="24"/>
                <w:szCs w:val="24"/>
              </w:rPr>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ind w:firstLine="567"/>
        <w:jc w:val="thaiDistribute"/>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ind w:firstLine="567"/>
        <w:jc w:val="thaiDistribute"/>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ind w:firstLine="567"/>
        <w:jc w:val="thaiDistribute"/>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keepNext/>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467BCB" w:rsidRPr="007B6343" w:rsidRDefault="007562FD" w:rsidP="007562F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9298" w:type="dxa"/>
        <w:jc w:val="center"/>
        <w:tblLayout w:type="fixed"/>
        <w:tblLook w:val="04A0" w:firstRow="1" w:lastRow="0" w:firstColumn="1" w:lastColumn="0" w:noHBand="0" w:noVBand="1"/>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816119"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0"/>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spacing w:before="0" w:after="0" w:line="240" w:lineRule="auto"/>
              <w:jc w:val="center"/>
              <w:rPr>
                <w:rFonts w:ascii="TH SarabunPSK" w:hAnsi="TH SarabunPSK" w:cs="TH SarabunPSK" w:hint="cs"/>
                <w:b/>
                <w:bCs/>
                <w:szCs w:val="32"/>
                <w:lang w:bidi="th-TH"/>
              </w:rPr>
            </w:pPr>
          </w:p>
        </w:tc>
        <w:tc>
          <w:tcPr>
            <w:tcW w:w="937" w:type="dxa"/>
            <w:tcMar>
              <w:top w:w="20" w:type="dxa"/>
              <w:left w:w="65" w:type="dxa"/>
              <w:bottom w:w="20" w:type="dxa"/>
              <w:right w:w="65" w:type="dxa"/>
            </w:tcMar>
            <w:vAlign w:val="center"/>
          </w:tcPr>
          <w:p w:rsidR="001D6AAA" w:rsidRPr="007B6343" w:rsidRDefault="001832CE"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2811" w:type="dxa"/>
            <w:tcMar>
              <w:top w:w="20" w:type="dxa"/>
              <w:left w:w="65" w:type="dxa"/>
              <w:bottom w:w="20" w:type="dxa"/>
              <w:right w:w="65" w:type="dxa"/>
            </w:tcMar>
            <w:vAlign w:val="center"/>
          </w:tcPr>
          <w:p w:rsidR="001D6AAA" w:rsidRPr="007B6343" w:rsidRDefault="001D6AAA" w:rsidP="29E23EB6">
            <w:pPr>
              <w:spacing w:before="0" w:after="0" w:line="240" w:lineRule="auto"/>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คัดปัจจัยสำคัญจาก EFAS และ IFAS แล้วให้น้ำหนักใหม่ตามความสำคัญต่อการเลือกกลยุทธ์ 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9298" w:type="dxa"/>
        <w:jc w:val="center"/>
        <w:tblLayout w:type="fixed"/>
        <w:tblLook w:val="04A0" w:firstRow="1" w:lastRow="0" w:firstColumn="1" w:lastColumn="0" w:noHBand="0" w:noVBand="1"/>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before="0" w:after="0" w:line="240" w:lineRule="auto"/>
              <w:jc w:val="right"/>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spacing w:before="0" w:after="0" w:line="240" w:lineRule="auto"/>
              <w:jc w:val="right"/>
              <w:rPr>
                <w:rFonts w:ascii="TH SarabunPSK" w:hAnsi="TH SarabunPSK" w:cs="TH SarabunPSK" w:hint="cs"/>
                <w:b/>
                <w:bCs/>
                <w:sz w:val="28"/>
                <w:szCs w:val="28"/>
                <w:lang w:bidi="th-TH"/>
              </w:rPr>
            </w:pPr>
          </w:p>
          <w:p w:rsidR="00E41139" w:rsidRPr="007B6343" w:rsidRDefault="00E41139" w:rsidP="008D5867">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spacing w:before="0" w:after="0" w:line="240" w:lineRule="auto"/>
              <w:rPr>
                <w:rFonts w:ascii="TH SarabunPSK" w:hAnsi="TH SarabunPSK" w:cs="TH SarabunPSK" w:hint="cs"/>
              </w:rPr>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298" w:type="dxa"/>
        <w:tblLayout w:type="fixed"/>
        <w:tblLook w:firstColumn="1" w:firstRow="1" w:lastColumn="0" w:lastRow="0" w:noHBand="0" w:noVBand="1" w:val="04A0"/>
      </w:tblPr>
      <w:tblGrid>
        <w:gridCol w:w="2306"/>
        <w:gridCol w:w="2738"/>
        <w:gridCol w:w="3099"/>
        <w:gridCol w:w="1153"/>
      </w:tblGrid>
      <w:tr>
        <w:tc>
          <w:tcPr>
            <w:tcW w:type="dxa" w:w="2306"/>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73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9298"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441"/>
        <w:gridCol w:w="2306"/>
        <w:gridCol w:w="1369"/>
        <w:gridCol w:w="1153"/>
        <w:gridCol w:w="1369"/>
        <w:gridCol w:w="1657"/>
      </w:tblGrid>
      <w:tr w:rsidR="004A33CC" w:rsidRPr="007B6343">
        <w:trPr>
          <w:cantSplit/>
          <w:tblHeader/>
          <w:jc w:val="center"/>
        </w:trPr>
        <w:tc>
          <w:tcPr>
            <w:tcW w:w="1441"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แนวทางปฏิบัติ</w:t>
            </w:r>
          </w:p>
        </w:tc>
        <w:tc>
          <w:tcPr>
            <w:tcW w:w="2306"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รายละเอียด</w:t>
            </w:r>
          </w:p>
        </w:tc>
        <w:tc>
          <w:tcPr>
            <w:tcW w:w="1369"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ผู้ดำเนินการ / ผู้ติดตาม</w:t>
            </w:r>
          </w:p>
        </w:tc>
        <w:tc>
          <w:tcPr>
            <w:tcW w:w="1153"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ระยะเวลาดำเนินงาน</w:t>
            </w:r>
          </w:p>
        </w:tc>
        <w:tc>
          <w:tcPr>
            <w:tcW w:w="1369"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งบประมาณ</w:t>
            </w:r>
          </w:p>
        </w:tc>
        <w:tc>
          <w:tcPr>
            <w:tcW w:w="165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การเติบโตในแนวนอน (Horizontal Growth)</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 และทดลองก่อนลงทุนเพิ่ม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เงินลงทุนไม่เกิน 1,020 ล้านบาท (2572: 500, 2573: 520) และสัญญาเช่าใหม่ราว 600 ล้านบาท รวมราว 1,620 ล้านบาท อนุมัติเฉพาะสาขาที่คืนทุนไม่เกิน 5 ปี</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ผู้บริหารแบรนด์ ฝ่ายการตลาด ฝ่ายวิจัยและพัฒนา และฝ่ายปฏิบัติการ / ติดตาม: ผู้บริหารกลุ่มบริษัท</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ฝ่ายการตลาดและผู้จัดการแบรนด์ / ติดตาม: ผู้จัดการแบรนด์และฝ่ายการเงิน</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กลยุทธ์ด้านการเงิน (Financial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ฝ่ายการเงินและบัญชี ร่วมกับผู้บริหารแบรนด์ / ติดตาม: คณะกรรมการตรวจสอบ</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ฝ่ายวิจัยและพัฒนา ร่วมกับฝ่ายการตลาดและครัวกลาง / ติดตาม: ฝ่ายการตลาดและฝ่ายการเงิน</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ฝ่ายปฏิบัติการ ฝ่ายจัดซื้อ ครัวกลาง และฝ่ายขนส่ง / ติดตาม: ผู้จัดการฝ่ายปฏิบัติการและห่วงโซ่อุปทาน</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ฝ่ายทรัพยากรมนุษย์ สถาบันฝึกอบรม และผู้จัดการสาขา / ติดตาม: ผู้บริหารฝ่ายทรัพยากรมนุษย์</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W w:w="9298" w:type="dxa"/>
        <w:tblLayout w:type="fixed"/>
        <w:tblLook w:firstColumn="1" w:firstRow="1" w:lastColumn="0" w:lastRow="0" w:noHBand="0" w:noVBand="1" w:val="04A0"/>
      </w:tblPr>
      <w:tblGrid>
        <w:gridCol w:w="1874"/>
        <w:gridCol w:w="3459"/>
        <w:gridCol w:w="3964"/>
      </w:tblGrid>
      <w:tr>
        <w:tc>
          <w:tcPr>
            <w:tcW w:type="dxa" w:w="187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4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9298" w:type="dxa"/>
        <w:jc w:val="center"/>
        <w:tblLayout w:type="fixed"/>
        <w:tblLook w:val="04A0" w:firstRow="1" w:lastRow="0" w:firstColumn="1" w:lastColumn="0" w:noHBand="0" w:noVBand="1"/>
      </w:tblPr>
      <w:tblGrid>
        <w:gridCol w:w="1657"/>
        <w:gridCol w:w="2090"/>
        <w:gridCol w:w="2738"/>
        <w:gridCol w:w="2811"/>
      </w:tblGrid>
      <w:tr w:rsidR="00A434BF" w:rsidRPr="007B6343" w:rsidTr="00AD4BD5">
        <w:trPr>
          <w:cantSplit/>
          <w:tblHeader/>
          <w:jc w:val="center"/>
        </w:trPr>
        <w:tc>
          <w:tcPr>
            <w:tcW w:w="1657"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cs/>
                <w:lang w:bidi="th-TH"/>
              </w:rPr>
            </w:pPr>
            <w:r w:rsidRPr="007B6343">
              <w:rPr>
                <w:rFonts w:ascii="TH SarabunPSK" w:hAnsi="TH SarabunPSK" w:cs="TH SarabunPSK" w:hint="cs" w:eastAsia="TH SarabunPSK"/>
                <w:b/>
                <w:bCs/>
                <w:color w:val="000000"/>
                <w:sz w:val="24"/>
                <w:szCs w:val="24"/>
                <w:cs/>
                <w:lang w:bidi="th-TH"/>
              </w:rPr>
              <w:t>วัตถุประสงค์</w:t>
            </w:r>
          </w:p>
        </w:tc>
        <w:tc>
          <w:tcPr>
            <w:tcW w:w="2090"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ตัวชี้วัด</w:t>
            </w:r>
          </w:p>
        </w:tc>
        <w:tc>
          <w:tcPr>
            <w:tcW w:w="273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เป้าหมาย</w:t>
            </w:r>
          </w:p>
        </w:tc>
        <w:tc>
          <w:tcPr>
            <w:tcW w:w="28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657"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90"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38"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11"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90"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73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11"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90"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73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11"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657"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90"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38"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11"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657"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90"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738"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p>
        </w:tc>
        <w:tc>
          <w:tcPr>
            <w:tcW w:w="2811"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657"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90"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738"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657"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90"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738"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11"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657" w:type="dxa"/>
            <w:tcMar>
              <w:top w:w="20" w:type="dxa"/>
              <w:left w:w="65" w:type="dxa"/>
              <w:bottom w:w="20" w:type="dxa"/>
              <w:right w:w="65" w:type="dxa"/>
            </w:tcMar>
            <w:vAlign w:val="center"/>
          </w:tcPr>
          <w:p w:rsidR="00470DF7" w:rsidRPr="007B6343" w:rsidRDefault="00C94D6F"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ลดการสูญเสียวัตถุดิบ</w:t>
            </w:r>
          </w:p>
        </w:tc>
        <w:tc>
          <w:tcPr>
            <w:tcW w:w="2090"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738" w:type="dxa"/>
            <w:tcMar>
              <w:top w:w="20" w:type="dxa"/>
              <w:left w:w="65" w:type="dxa"/>
              <w:bottom w:w="20" w:type="dxa"/>
              <w:right w:w="65" w:type="dxa"/>
            </w:tcMar>
            <w:vAlign w:val="center"/>
          </w:tcPr>
          <w:p w:rsidR="0041225A" w:rsidRPr="007B6343" w:rsidRDefault="0041225A" w:rsidP="0041225A">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11"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657"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90"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38" w:type="dxa"/>
            <w:tcMar>
              <w:top w:w="20" w:type="dxa"/>
              <w:left w:w="65" w:type="dxa"/>
              <w:bottom w:w="20" w:type="dxa"/>
              <w:right w:w="65" w:type="dxa"/>
            </w:tcMar>
            <w:vAlign w:val="center"/>
          </w:tcPr>
          <w:p w:rsidR="009D7C36" w:rsidRPr="007B6343" w:rsidRDefault="009D7C36" w:rsidP="009D7C36">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จากค่าฐานที่วัดในไตรมาสแรกของแผน ภายในสิ้นช่วงฟื้นฟู</w:t>
            </w:r>
          </w:p>
          <w:p w:rsidR="00470DF7" w:rsidRPr="007B6343" w:rsidRDefault="009D7C36" w:rsidP="009D7C36">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11" w:type="dxa"/>
            <w:tcMar>
              <w:top w:w="20" w:type="dxa"/>
              <w:left w:w="65" w:type="dxa"/>
              <w:bottom w:w="20" w:type="dxa"/>
              <w:right w:w="65" w:type="dxa"/>
            </w:tcMar>
            <w:vAlign w:val="center"/>
          </w:tcPr>
          <w:p w:rsidR="00470DF7" w:rsidRPr="007B6343" w:rsidRDefault="009D7C36"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657"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90"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738"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11"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90"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73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11"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90"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73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11"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9298" w:type="dxa"/>
        <w:jc w:val="center"/>
        <w:tblLayout w:type="fixed"/>
        <w:tblLook w:val="04A0" w:firstRow="1" w:lastRow="0" w:firstColumn="1" w:lastColumn="0" w:noHBand="0" w:noVBand="1"/>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cs/>
                <w:lang w:bidi="th-TH"/>
              </w:rPr>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color w:val="000000" w:themeColor="text1"/>
                <w:sz w:val="28"/>
                <w:szCs w:val="28"/>
                <w:cs/>
                <w:lang w:bidi="th-TH"/>
              </w:rPr>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Cs/>
                <w:color w:val="000000" w:themeColor="text1"/>
                <w:sz w:val="28"/>
                <w:szCs w:val="28"/>
                <w:cs/>
                <w:lang w:bidi="th-TH"/>
              </w:rPr>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9298" w:type="dxa"/>
        <w:jc w:val="center"/>
        <w:tblLayout w:type="fixed"/>
        <w:tblLook w:val="06A0" w:firstRow="1" w:lastRow="0" w:firstColumn="1" w:lastColumn="0" w:noHBand="1" w:noVBand="1"/>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298" w:type="dxa"/>
        <w:tblLayout w:type="fixed"/>
        <w:tblLook w:firstColumn="1" w:firstRow="1" w:lastColumn="0" w:lastRow="0" w:noHBand="0" w:noVBand="1" w:val="04A0"/>
      </w:tblPr>
      <w:tblGrid>
        <w:gridCol w:w="1153"/>
        <w:gridCol w:w="3964"/>
        <w:gridCol w:w="1441"/>
        <w:gridCol w:w="1441"/>
        <w:gridCol w:w="1297"/>
      </w:tblGrid>
      <w:tr>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97"/>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16,980.31</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556.61</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3.3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ก).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ข).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highlight w:val="yellow"/>
                <w:lang w:bidi="th-TH"/>
              </w:rPr>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