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100"/>
        <w:jc w:val="center"/>
      </w:pPr>
      <w:r>
        <w:rPr>
          <w:rFonts w:ascii="TH Sarabun New" w:cs="TH Sarabun New" w:eastAsia="TH Sarabun New" w:hAnsi="TH Sarabun New"/>
          <w:b/>
          <w:bCs/>
          <w:i w:val="false"/>
          <w:iCs w:val="false"/>
          <w:sz w:val="44"/>
          <w:szCs w:val="44"/>
        </w:rPr>
        <w:t xml:space="preserve">แผนกลยุทธ์</w:t>
      </w:r>
    </w:p>
    <w:p>
      <w:pPr>
        <w:spacing w:after="60"/>
        <w:jc w:val="center"/>
      </w:pPr>
      <w:r>
        <w:rPr>
          <w:rFonts w:ascii="TH Sarabun New" w:cs="TH Sarabun New" w:eastAsia="TH Sarabun New" w:hAnsi="TH Sarabun New"/>
          <w:b/>
          <w:bCs/>
          <w:i w:val="false"/>
          <w:iCs w:val="false"/>
          <w:sz w:val="40"/>
          <w:szCs w:val="40"/>
        </w:rPr>
        <w:t xml:space="preserve">บริษัท ประชาอาภรณ์ จำกัด (มหาชน)</w:t>
      </w:r>
    </w:p>
    <w:p>
      <w:pPr>
        <w:spacing w:after="100"/>
        <w:jc w:val="center"/>
      </w:pPr>
      <w:r>
        <w:rPr>
          <w:rFonts w:ascii="TH Sarabun New" w:cs="TH Sarabun New" w:eastAsia="TH Sarabun New" w:hAnsi="TH Sarabun New"/>
          <w:b/>
          <w:bCs/>
          <w:i w:val="false"/>
          <w:iCs w:val="false"/>
          <w:sz w:val="32"/>
          <w:szCs w:val="32"/>
        </w:rPr>
        <w:t xml:space="preserve">People’s Garment Public Company Limited (PG)</w:t>
      </w:r>
    </w:p>
    <w:p>
      <w:pPr>
        <w:spacing w:after="60"/>
        <w:jc w:val="center"/>
      </w:pPr>
      <w:r>
        <w:rPr>
          <w:rFonts w:ascii="TH Sarabun New" w:cs="TH Sarabun New" w:eastAsia="TH Sarabun New" w:hAnsi="TH Sarabun New"/>
          <w:b w:val="false"/>
          <w:bCs w:val="false"/>
          <w:i w:val="false"/>
          <w:iCs w:val="false"/>
          <w:sz w:val="30"/>
          <w:szCs w:val="30"/>
        </w:rPr>
        <w:t xml:space="preserve">แผนกลยุทธ์ระยะ 5 ปี ประจำปี 2570–2574</w:t>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60"/>
        <w:jc w:val="center"/>
      </w:pPr>
      <w:r>
        <w:rPr>
          <w:rFonts w:ascii="TH Sarabun New" w:cs="TH Sarabun New" w:eastAsia="TH Sarabun New" w:hAnsi="TH Sarabun New"/>
          <w:b/>
          <w:bCs/>
          <w:i w:val="false"/>
          <w:iCs w:val="false"/>
          <w:sz w:val="30"/>
          <w:szCs w:val="30"/>
        </w:rPr>
        <w:t xml:space="preserve">จัดทำโดย</w:t>
      </w:r>
    </w:p>
    <w:p>
      <w:pPr>
        <w:spacing w:after="60"/>
        <w:jc w:val="center"/>
      </w:pPr>
      <w:r>
        <w:rPr>
          <w:rFonts w:ascii="TH Sarabun New" w:cs="TH Sarabun New" w:eastAsia="TH Sarabun New" w:hAnsi="TH Sarabun New"/>
          <w:b w:val="false"/>
          <w:bCs w:val="false"/>
          <w:i w:val="false"/>
          <w:iCs w:val="false"/>
          <w:color w:val="808080"/>
          <w:sz w:val="28"/>
          <w:szCs w:val="28"/>
        </w:rPr>
        <w:t xml:space="preserve">(รหัสนักศึกษา – ชื่อ–สกุล สมาชิกกลุ่ม)</w:t>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60"/>
        <w:jc w:val="center"/>
      </w:pPr>
      <w:r>
        <w:rPr>
          <w:rFonts w:ascii="TH Sarabun New" w:cs="TH Sarabun New" w:eastAsia="TH Sarabun New" w:hAnsi="TH Sarabun New"/>
          <w:b/>
          <w:bCs/>
          <w:i w:val="false"/>
          <w:iCs w:val="false"/>
          <w:sz w:val="30"/>
          <w:szCs w:val="30"/>
        </w:rPr>
        <w:t xml:space="preserve">เสนอ</w:t>
      </w:r>
    </w:p>
    <w:p>
      <w:pPr>
        <w:spacing w:after="60"/>
        <w:jc w:val="center"/>
      </w:pPr>
      <w:r>
        <w:rPr>
          <w:rFonts w:ascii="TH Sarabun New" w:cs="TH Sarabun New" w:eastAsia="TH Sarabun New" w:hAnsi="TH Sarabun New"/>
          <w:b w:val="false"/>
          <w:bCs w:val="false"/>
          <w:i w:val="false"/>
          <w:iCs w:val="false"/>
          <w:color w:val="808080"/>
          <w:sz w:val="28"/>
          <w:szCs w:val="28"/>
        </w:rPr>
        <w:t xml:space="preserve">(ชื่ออาจารย์ผู้สอนประจำรายวิชา)</w:t>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0"/>
      </w:pPr>
      <w:r>
        <w:rPr>
          <w:rFonts w:ascii="TH Sarabun New" w:cs="TH Sarabun New" w:eastAsia="TH Sarabun New" w:hAnsi="TH Sarabun New"/>
          <w:b w:val="false"/>
          <w:bCs w:val="false"/>
          <w:i w:val="false"/>
          <w:iCs w:val="false"/>
          <w:sz w:val="32"/>
          <w:szCs w:val="32"/>
        </w:rPr>
        <w:t xml:space="preserve"/>
      </w:r>
    </w:p>
    <w:p>
      <w:pPr>
        <w:spacing w:after="50"/>
        <w:jc w:val="center"/>
      </w:pPr>
      <w:r>
        <w:rPr>
          <w:rFonts w:ascii="TH Sarabun New" w:cs="TH Sarabun New" w:eastAsia="TH Sarabun New" w:hAnsi="TH Sarabun New"/>
          <w:b w:val="false"/>
          <w:bCs w:val="false"/>
          <w:i w:val="false"/>
          <w:iCs w:val="false"/>
          <w:sz w:val="30"/>
          <w:szCs w:val="30"/>
        </w:rPr>
        <w:t xml:space="preserve">เป็นส่วนหนึ่งของรายวิชา 460-401 การจัดการเชิงกลยุทธ์</w:t>
      </w:r>
    </w:p>
    <w:p>
      <w:pPr>
        <w:spacing w:after="50"/>
        <w:jc w:val="center"/>
      </w:pPr>
      <w:r>
        <w:rPr>
          <w:rFonts w:ascii="TH Sarabun New" w:cs="TH Sarabun New" w:eastAsia="TH Sarabun New" w:hAnsi="TH Sarabun New"/>
          <w:b w:val="false"/>
          <w:bCs w:val="false"/>
          <w:i w:val="false"/>
          <w:iCs w:val="false"/>
          <w:sz w:val="30"/>
          <w:szCs w:val="30"/>
        </w:rPr>
        <w:t xml:space="preserve">ภาคเรียนที่ 1 ปีการศึกษา 2569</w:t>
      </w:r>
    </w:p>
    <w:p>
      <w:pPr>
        <w:jc w:val="center"/>
      </w:pPr>
      <w:r>
        <w:rPr>
          <w:rFonts w:ascii="TH Sarabun New" w:cs="TH Sarabun New" w:eastAsia="TH Sarabun New" w:hAnsi="TH Sarabun New"/>
          <w:b w:val="false"/>
          <w:bCs w:val="false"/>
          <w:i w:val="false"/>
          <w:iCs w:val="false"/>
          <w:color w:val="595959"/>
          <w:sz w:val="26"/>
          <w:szCs w:val="26"/>
        </w:rPr>
        <w:t xml:space="preserve">ข้อมูล ณ วันที่ 31 สิงหาคม 2569</w:t>
      </w:r>
    </w:p>
    <w:p>
      <w:r>
        <w:br w:type="page"/>
      </w:r>
    </w:p>
    <w:p>
      <w:pPr>
        <w:spacing w:after="180"/>
        <w:jc w:val="center"/>
      </w:pPr>
      <w:r>
        <w:rPr>
          <w:rFonts w:ascii="TH Sarabun New" w:cs="TH Sarabun New" w:eastAsia="TH Sarabun New" w:hAnsi="TH Sarabun New"/>
          <w:b/>
          <w:bCs/>
          <w:i w:val="false"/>
          <w:iCs w:val="false"/>
          <w:sz w:val="34"/>
          <w:szCs w:val="34"/>
        </w:rPr>
        <w:t xml:space="preserve">คำนำ</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รายงานฉบับนี้เป็นส่วนหนึ่งของรายวิชา 460-401 การจัดการเชิงกลยุทธ์ จัดทำขึ้นเพื่อวางแผนกลยุทธ์ระยะ 5 ปี (2570–2574) ให้แก่บริษัท ประชาอาภรณ์ จำกัด (มหาชน) โดยเริ่มจากการศึกษาสถานการณ์ปัจจุบันและผลประกอบการ วิเคราะห์สภาพแวดล้อมภายนอกและภายใน สังเคราะห์เป็นปัจจัยเชิงกลยุทธ์ ทางเลือกเชิงกลยุทธ์ และกลยุทธ์ที่เลือก ก่อนแปลงเป็นแผนปฏิบัติการ งบประมาณ ผู้รับผิดชอบ ระบบติดตามประเมินผล และประมาณการทางการเงิน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รายงานยึดหลักสามประการ คือ ข้อเท็จจริงทุกข้อต้องอ้างอิงเอกสารของบริษัท หน่วยงานกำกับดูแล หน่วยงานรัฐ หรือเอกสารเปิดเผยของคู่แข่ง และแยกให้ชัดระหว่างข้อเท็จจริง การคำนวณ สมมติฐาน และข้อเสนอเชิงกลยุทธ์ ข้อเสนอทุกข้อในบทหลังต้องสืบย้อนไปยังการวิเคราะห์ในบทก่อนหน้าได้ และเมื่อข้อมูลที่จำเป็นไม่มีการเปิดเผย รายงานจะระบุข้อจำกัดนั้นแทนการเติมตัวเลขที่ไม่มีหลักฐานรองรับ</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คณะผู้จัดทำขอขอบพระคุณอาจารย์ผู้สอนประจำรายวิชา และหวังว่ารายงานฉบับนี้จะเป็นประโยชน์ต่อการพัฒนาการดำเนินงานของบริษัทฯ ต่อไป</w:t>
      </w:r>
    </w:p>
    <w:p>
      <w:pPr>
        <w:spacing w:after="0"/>
      </w:pPr>
      <w:r>
        <w:rPr>
          <w:rFonts w:ascii="TH Sarabun New" w:cs="TH Sarabun New" w:eastAsia="TH Sarabun New" w:hAnsi="TH Sarabun New"/>
          <w:b w:val="false"/>
          <w:bCs w:val="false"/>
          <w:i w:val="false"/>
          <w:iCs w:val="false"/>
          <w:sz w:val="32"/>
          <w:szCs w:val="32"/>
        </w:rPr>
        <w:t xml:space="preserve"/>
      </w:r>
    </w:p>
    <w:p>
      <w:pPr>
        <w:jc w:val="right"/>
      </w:pPr>
      <w:r>
        <w:rPr>
          <w:rFonts w:ascii="TH Sarabun New" w:cs="TH Sarabun New" w:eastAsia="TH Sarabun New" w:hAnsi="TH Sarabun New"/>
          <w:b w:val="false"/>
          <w:bCs w:val="false"/>
          <w:i w:val="false"/>
          <w:iCs w:val="false"/>
          <w:sz w:val="30"/>
          <w:szCs w:val="30"/>
        </w:rPr>
        <w:t xml:space="preserve">คณะผู้จัดทำ</w:t>
      </w:r>
    </w:p>
    <w:p>
      <w:r>
        <w:br w:type="page"/>
      </w:r>
    </w:p>
    <w:p>
      <w:pPr>
        <w:spacing w:after="180"/>
        <w:jc w:val="center"/>
      </w:pPr>
      <w:r>
        <w:rPr>
          <w:rFonts w:ascii="TH Sarabun New" w:cs="TH Sarabun New" w:eastAsia="TH Sarabun New" w:hAnsi="TH Sarabun New"/>
          <w:b/>
          <w:bCs/>
          <w:i w:val="false"/>
          <w:iCs w:val="false"/>
          <w:sz w:val="34"/>
          <w:szCs w:val="34"/>
        </w:rPr>
        <w:t xml:space="preserve">สารบัญ</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1. บทสรุปผู้บริหาร</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4</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2. สถานการณ์ปัจจุบัน</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4</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2.1 ประวัติองค์กร</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4</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2.2 โครงสร้างองค์กร</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4</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2.3 คณะกรรมการบริหาร</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5</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2.4 วิสัยทัศน์ พันธกิจ วัตถุประสงค์</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5</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2.5 กลยุทธ์ปัจจุบัน</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5</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2.6 ผลประกอบการที่ผ่านมา</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5</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3. การวิเคราะห์สภาพแวดล้อมเชิงกลยุทธ์</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8</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3.1 การวิเคราะห์สภาพแวดล้อมภายนอก</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8</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3.2 การวิเคราะห์สภาพแวดล้อมภายใน</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13</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4. การวิเคราะห์ปัจจัยเชิงกลยุทธ์</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16</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4.1 บทสรุปการวิเคราะห์ปัจจัยเชิงกลยุทธ์ (SFAS Matrix)</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16</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4.2 TOWS Matrix</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17</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4.3 การทบทวนวิสัยทัศน์ พันธกิจ และวัตถุประสงค์</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18</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4.4 ทางเลือกเชิงกลยุทธ์ที่นำเสนอและกลยุทธ์ที่เลือก</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19</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5. การนำกลยุทธ์ไปใช้ แผนปฏิบัติการ และการควบคุมประเมินผล</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22</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5.1 แผนการปฏิบัติการ (Action Plan)</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22</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5.2 การควบคุมประเมินผล (Strategic Control and Evaluation)</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25</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6. ประมาณการผลการดำเนินงาน</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27</w:t>
      </w:r>
    </w:p>
    <w:p>
      <w:pPr>
        <w:tabs>
          <w:tab w:val="right" w:pos="9468" w:leader="dot"/>
        </w:tabs>
        <w:spacing w:after="60" w:line="240"/>
        <w:ind w:left="420"/>
      </w:pPr>
      <w:r>
        <w:rPr>
          <w:rFonts w:ascii="TH Sarabun New" w:cs="TH Sarabun New" w:eastAsia="TH Sarabun New" w:hAnsi="TH Sarabun New"/>
          <w:b w:val="false"/>
          <w:bCs w:val="false"/>
          <w:i w:val="false"/>
          <w:iCs w:val="false"/>
          <w:sz w:val="30"/>
          <w:szCs w:val="30"/>
        </w:rPr>
        <w:t xml:space="preserve">6.1 ข้อจำกัดของประมาณการและข้อมูลที่ยังขาด</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29</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บรรณานุกรม</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29</w:t>
      </w:r>
    </w:p>
    <w:p>
      <w:pPr>
        <w:tabs>
          <w:tab w:val="right" w:pos="9468" w:leader="dot"/>
        </w:tabs>
        <w:spacing w:after="60" w:line="240"/>
        <w:ind w:left="0"/>
      </w:pPr>
      <w:r>
        <w:rPr>
          <w:rFonts w:ascii="TH Sarabun New" w:cs="TH Sarabun New" w:eastAsia="TH Sarabun New" w:hAnsi="TH Sarabun New"/>
          <w:b/>
          <w:bCs/>
          <w:i w:val="false"/>
          <w:iCs w:val="false"/>
          <w:sz w:val="30"/>
          <w:szCs w:val="30"/>
        </w:rPr>
        <w:t xml:space="preserve">ภาคผนวก ตารางสอบทานความสอดคล้องของตรรกะเชิงกลยุทธ์</w:t>
      </w:r>
      <w:r>
        <w:rPr>
          <w:rFonts w:ascii="TH Sarabun New" w:cs="TH Sarabun New" w:eastAsia="TH Sarabun New" w:hAnsi="TH Sarabun New"/>
          <w:b w:val="false"/>
          <w:bCs w:val="false"/>
          <w:i w:val="false"/>
          <w:iCs w:val="false"/>
          <w:sz w:val="30"/>
          <w:szCs w:val="30"/>
        </w:rPr>
        <w:t xml:space="preserve">	</w:t>
      </w:r>
      <w:r>
        <w:rPr>
          <w:rFonts w:ascii="TH Sarabun New" w:cs="TH Sarabun New" w:eastAsia="TH Sarabun New" w:hAnsi="TH Sarabun New"/>
          <w:b w:val="false"/>
          <w:bCs w:val="false"/>
          <w:i w:val="false"/>
          <w:iCs w:val="false"/>
          <w:sz w:val="30"/>
          <w:szCs w:val="30"/>
        </w:rPr>
        <w:t xml:space="preserve">30</w:t>
      </w:r>
    </w:p>
    <w:p>
      <w:r>
        <w:br w:type="page"/>
      </w:r>
    </w:p>
    <w:p>
      <w:pPr>
        <w:pStyle w:val="Heading1"/>
        <w:keepNext/>
        <w:spacing w:after="80" w:before="180"/>
      </w:pPr>
      <w:r>
        <w:rPr>
          <w:rFonts w:ascii="TH Sarabun New" w:cs="TH Sarabun New" w:eastAsia="TH Sarabun New" w:hAnsi="TH Sarabun New"/>
          <w:b/>
          <w:bCs/>
          <w:i w:val="false"/>
          <w:iCs w:val="false"/>
          <w:sz w:val="36"/>
          <w:szCs w:val="36"/>
        </w:rPr>
        <w:t xml:space="preserve">1. บทสรุปผู้บริหาร</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บริษัท ประชาอาภรณ์ จำกัด (มหาชน) หรือ PG เป็นผู้ผลิตเครื่องนุ่งห่มและผ้าถักที่ดำเนินธุรกิจมา 45 ปี มีโรงงานที่ลำพูนและกบินทร์บุรี ผลิตเสื้อผ้าบุรุษ–สตรี ชุดกีฬา ชุดว่ายน้ำ ชุดชั้นในชาย เครื่องแบบองค์กร ชุดทางการแพทย์ และผ้าถัก ทั้งภายใต้แบรนด์ที่ได้รับสิทธิและงาน OEM/ODM ปี 2568 ยอดขาย 605.20 ล้านบาท ลดลงร้อยละ 21.80 ขาดทุนสุทธิ 5.56 ล้านบาท</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ประเด็นเชิงกลยุทธ์ไม่ใช่ยอดขายที่ลดลง แต่คือธุรกิจหลักไม่สร้างกำไรจากการดำเนินงานมาสามปี</w:t>
      </w:r>
      <w:r>
        <w:rPr>
          <w:rFonts w:ascii="TH Sarabun New" w:cs="TH Sarabun New" w:eastAsia="TH Sarabun New" w:hAnsi="TH Sarabun New"/>
          <w:b w:val="false"/>
          <w:bCs w:val="false"/>
          <w:i w:val="false"/>
          <w:iCs w:val="false"/>
          <w:sz w:val="32"/>
          <w:szCs w:val="32"/>
        </w:rPr>
        <w:t xml:space="preserve"> กำไรขั้นต้นหักค่าใช้จ่ายขายและบริหารติดลบ 27.97, 24.11 และ 48.56 ล้านบาทในปี 2566–2568 โดยปี 2568 ค่าใช้จ่ายขายและบริหารร้อยละ 29.42 ของยอดขาย สูงกว่าอัตรากำไรขั้นต้นร้อยละ 21.40 กำไรสุทธิที่เคยรายงานจึงมาจากรายได้อื่นซึ่งส่วนใหญ่คือเงินปันผล ปัญหานี้ซ้อนกับความเสี่ยงสามข้อ คือลูกค้ากระจุกตัว (I.C.C. ร้อยละ 40.12) สินค้าคงเหลือ 337.11 ล้านบาทหมุน 184 วันจนวงจรเงินสดยืดเป็น 212 วัน และสินทรัพย์ทางการเงิน 873.69 ล้านบาทคิดเป็นร้อยละ 57.81 ของสินทรัพย์รวม ขณะที่ที่ดิน อาคารและอุปกรณ์มีเพียงร้อยละ 10.93 (ROE -0.40%)</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คะแนน EFAS 2.40 IFAS 2.70 และ SFAS 2.61 ต่ำกว่าค่ากลาง 3.00 ทั้งสามค่า ปัจจัยที่กดคะแนนคือจุดอ่อนด้านผลจากธุรกิจหลัก (W1) และอุปสรรคจากคู่แข่งต้นทุนต่ำ (T1) ส่วนจุดแข็งที่ยังใช้ไม่เต็มที่คือความสามารถบูรณาการผ้าถักถึงเสื้อผ้าสำเร็จรูป (S2) และฐานผลิตภัณฑ์เชิงฟังก์ชันพร้อมมาตรฐาน (S3) เมื่อประเมินทางเลือกสามทางตามเกณฑ์เจ็ดข้อ ทางเลือก C ได้ 4.00 เทียบกับ B 2.70 และ A 2.00 และผลไม่เปลี่ยนเมื่อทดสอบความไวสามกรณี</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กลยุทธ์ที่เลือกคือการฟื้นฟูกิจการแบบมุ่งเน้นควบคู่การเติบโตแบบมุ่งเน้น (Focused Turnaround + Concentrated Growth)</w:t>
      </w:r>
      <w:r>
        <w:rPr>
          <w:rFonts w:ascii="TH Sarabun New" w:cs="TH Sarabun New" w:eastAsia="TH Sarabun New" w:hAnsi="TH Sarabun New"/>
          <w:b w:val="false"/>
          <w:bCs w:val="false"/>
          <w:i w:val="false"/>
          <w:iCs w:val="false"/>
          <w:sz w:val="32"/>
          <w:szCs w:val="32"/>
        </w:rPr>
        <w:t xml:space="preserve"> ระดับองค์กรใช้กลยุทธ์ฟื้นฟูเพื่อหยุดการขาดทุนของธุรกิจหลักก่อน แล้วจึงเติบโตในสนาม “เครื่องแบบและชุดทำงานเชิงฟังก์ชันและยั่งยืน” ระดับธุรกิจใช้การสร้างความแตกต่างแบบมุ่งเน้น เพราะต้นทุนแรงงานไทยที่ 325–386 ดอลลาร์ต่อเดือนและกำลังผลิต 2.712 ล้านชิ้นเทียบคู่แข่งกว่า 40 ล้านชิ้น ทำให้กลยุทธ์ผู้นำต้นทุนเป็นไปไม่ได้</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แผนปฏิบัติการ 5 ปีเรียงจากการวางฐานและพิสูจน์ในปีที่ 1 เปิดตลาดปีที่ 2 ขยายผลปีที่ 3 เพิ่มประสิทธิภาพและส่งออกปีที่ 4 และรวมผลปีที่ 5 ใช้งบประมาณรวม 102.5–174.0 ล้านบาท คิดเป็นร้อยละ 7.5–12.7 ของส่วนของผู้ถือหุ้น ลงทุนได้จากทรัพยากรภายในโดยไม่ต้องก่อหนี้ ผลที่คาดหวังปี 2574 คือยอดขายประมาณ 810 ล้านบาท (เติบโตเฉลี่ยร้อยละ 4.98 ต่อปี ตรงกับเป้าหมายที่บริษัทประกาศที่ร้อยละ 4–5) อัตรากำไรขั้นต้นร้อยละ 27.5 ค่าใช้จ่ายขายและบริหารร้อยละ 20.0 ผลจากธุรกิจหลักบวกร้อยละ 7.5 สินค้าคงเหลือ ≤110 วัน และลูกค้ารายใหญ่ที่สุด ≤ร้อยละ 30 เทียบกรณีฐานที่ยังติดลบร้อยละ 5.9</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ข้อจำกัดที่ต้องระบุตรงไปตรงมา</w:t>
      </w:r>
      <w:r>
        <w:rPr>
          <w:rFonts w:ascii="TH Sarabun New" w:cs="TH Sarabun New" w:eastAsia="TH Sarabun New" w:hAnsi="TH Sarabun New"/>
          <w:b w:val="false"/>
          <w:bCs w:val="false"/>
          <w:i w:val="false"/>
          <w:iCs w:val="false"/>
          <w:sz w:val="32"/>
          <w:szCs w:val="32"/>
        </w:rPr>
        <w:t xml:space="preserve"> บริษัทไม่เปิดเผยอัตรากำไรแยกตามกลุ่มผลิตภัณฑ์ ลูกค้า หรือช่องทาง จึงยังพิสูจน์จากข้อมูลสาธารณะไม่ได้ว่ากลุ่มเครื่องแบบมีอัตรากำไรสูงกว่ากลุ่มอื่นจริง แผนจึงกำหนดให้การพิสูจน์กำไรรายลูกค้าและราย SKU ภายใน 90 วันเป็นเงื่อนไขบังคับก่อนอนุมัติงบลงทุนก้อนใหญ่ พร้อมแผนสำรอง</w:t>
      </w:r>
    </w:p>
    <w:p>
      <w:pPr>
        <w:pStyle w:val="Heading1"/>
        <w:keepNext/>
        <w:spacing w:after="80" w:before="180"/>
      </w:pPr>
      <w:r>
        <w:rPr>
          <w:rFonts w:ascii="TH Sarabun New" w:cs="TH Sarabun New" w:eastAsia="TH Sarabun New" w:hAnsi="TH Sarabun New"/>
          <w:b/>
          <w:bCs/>
          <w:i w:val="false"/>
          <w:iCs w:val="false"/>
          <w:sz w:val="36"/>
          <w:szCs w:val="36"/>
        </w:rPr>
        <w:t xml:space="preserve">2. สถานการณ์ปัจจุบัน</w:t>
      </w:r>
    </w:p>
    <w:p>
      <w:pPr>
        <w:pStyle w:val="Heading2"/>
        <w:keepNext/>
        <w:spacing w:after="60" w:before="140"/>
      </w:pPr>
      <w:r>
        <w:rPr>
          <w:rFonts w:ascii="TH Sarabun New" w:cs="TH Sarabun New" w:eastAsia="TH Sarabun New" w:hAnsi="TH Sarabun New"/>
          <w:b/>
          <w:bCs/>
          <w:i w:val="false"/>
          <w:iCs w:val="false"/>
          <w:sz w:val="32"/>
          <w:szCs w:val="32"/>
        </w:rPr>
        <w:t xml:space="preserve">2.1 ประวัติองค์กร</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PG ก่อตั้งเมื่อวันที่ 30 มกราคม 2523 เริ่มจากการผลิตเสื้อผ้าสำเร็จรูปก่อนขยายสู่ผ้าถัก จดทะเบียนในตลาดหลักทรัพย์ฯ เมื่อวันที่ 29 กันยายน 2531 และแปรสภาพเป็นบริษัทมหาชนปี 2537 ปัจจุบันมีทุนจดทะเบียนและชำระแล้ว 96 ล้านบาท (หุ้นสามัญ 96,000,000 หุ้น มูลค่าที่ตราไว้หุ้นละ 1 บาท) ไม่มีบริษัทย่อยหรือบริษัทร่วม สำนักงานใหญ่อยู่ถนนพระราม 3 กรุงเทพมหานคร โรงงานลำพูนผลิตเสื้อผ้าสำเร็จรูปและชุดว่ายน้ำ โรงงานกบินทร์บุรีในสวนอุตสาหกรรมสหพัฒน์ผลิตผ้าถักและเสื้อผ้าสำเร็จรูป ทำให้บริษัทเป็นผู้ผลิตเสื้อผ้าถักครบวงจรตั้งแต่ออกแบบ ถักผ้า จนถึงตัดเย็บ ณ สิ้นปี 2568 มีพนักงาน 715 คน</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การเปลี่ยนแปลงที่สำคัญที่สุด</w:t>
      </w:r>
      <w:r>
        <w:rPr>
          <w:rFonts w:ascii="TH Sarabun New" w:cs="TH Sarabun New" w:eastAsia="TH Sarabun New" w:hAnsi="TH Sarabun New"/>
          <w:b w:val="false"/>
          <w:bCs w:val="false"/>
          <w:i w:val="false"/>
          <w:iCs w:val="false"/>
          <w:sz w:val="32"/>
          <w:szCs w:val="32"/>
        </w:rPr>
        <w:t xml:space="preserve"> คือโครงสร้างผู้ถือหุ้น เมื่อวันที่ 17 ตุลาคม 2567 บริษัท สหพัฒนาอินเตอร์โฮลดิ้ง จำกัด (มหาชน) หรือ SPI เข้าถือหุ้นร้อยละ 42.39 และต่อมาเพิ่มเป็นร้อยละ 46.998 (ข้อมูล ณ 13 พฤษภาคม 2569) กลายเป็นผู้ถือหุ้นรายใหญ่ที่สุด ตามมาด้วยการแต่งตั้งกรรมการใหม่ 4 ท่านในการประชุมสามัญผู้ถือหุ้นครั้งที่ 46 เมื่อวันที่ 29 เมษายน 2568 ซึ่งเป็นเงื่อนไขที่เอื้อต่อการทบทวนทิศทางธุรกิจ</w:t>
      </w:r>
    </w:p>
    <w:p>
      <w:pPr>
        <w:pStyle w:val="Heading2"/>
        <w:keepNext/>
        <w:spacing w:after="60" w:before="140"/>
      </w:pPr>
      <w:r>
        <w:rPr>
          <w:rFonts w:ascii="TH Sarabun New" w:cs="TH Sarabun New" w:eastAsia="TH Sarabun New" w:hAnsi="TH Sarabun New"/>
          <w:b/>
          <w:bCs/>
          <w:i w:val="false"/>
          <w:iCs w:val="false"/>
          <w:sz w:val="32"/>
          <w:szCs w:val="32"/>
        </w:rPr>
        <w:t xml:space="preserve">2.2 โครงสร้างองค์กร</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โครงสร้างการกำกับดูแลมีคณะกรรมการบริษัทเป็นองค์กรสูงสุด และคณะอนุกรรมการ 5 ชุดตามมติที่ประชุมคณะกรรมการบริษัทครั้งที่ 3/2568 (9 พฤษภาคม 2568) ได้แก่ ตรวจสอบ สรรหาและกำหนดค่าตอบแทน บริหารความเสี่ยง กำกับดูแลกิจการและการพัฒนาเพื่อความยั่งยืน และคณะกรรมการบริหาร โดยมีประธานกรรมการบริหารและกรรมการผู้จัดการเป็นผู้บริหารสูงสุดในสายปฏิบัติการ ส่วนสายงานปฏิบัติการจัดองค์กรตามหน้าที่และหน่วยผลิต ได้แก่ สำนักงานใหญ่ (บริหาร การเงิน บัญชี การตลาดและการขาย จัดซื้อ สารสนเทศ) โรงงานลำพูน และโรงงานกบินทร์บุรี</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ข้อสังเกตเชิงกลยุทธ์</w:t>
      </w:r>
      <w:r>
        <w:rPr>
          <w:rFonts w:ascii="TH Sarabun New" w:cs="TH Sarabun New" w:eastAsia="TH Sarabun New" w:hAnsi="TH Sarabun New"/>
          <w:b w:val="false"/>
          <w:bCs w:val="false"/>
          <w:i w:val="false"/>
          <w:iCs w:val="false"/>
          <w:sz w:val="32"/>
          <w:szCs w:val="32"/>
        </w:rPr>
        <w:t xml:space="preserve"> โครงสร้างปัจจุบันไม่มีหน่วยธุรกิจที่รับผิดชอบกำไรขาดทุนของกลุ่มลูกค้าใดโดยเฉพาะ เมื่อพิจารณาร่วมกับการที่ธุรกิจหลักขาดทุนต่อเนื่อง จึงไม่มีผู้รับผิดชอบโดยตรงต่อความสามารถทำกำไรรายกลุ่มผลิตภัณฑ์ ประเด็นนี้ถูกแปลงเป็นข้อเสนอจัดตั้งหน่วยธุรกิจที่มีงบกำไรขาดทุนของตนเองในบทที่ 5</w:t>
      </w:r>
    </w:p>
    <w:p>
      <w:pPr>
        <w:pStyle w:val="Heading2"/>
        <w:keepNext/>
        <w:spacing w:after="60" w:before="140"/>
      </w:pPr>
      <w:r>
        <w:rPr>
          <w:rFonts w:ascii="TH Sarabun New" w:cs="TH Sarabun New" w:eastAsia="TH Sarabun New" w:hAnsi="TH Sarabun New"/>
          <w:b/>
          <w:bCs/>
          <w:i w:val="false"/>
          <w:iCs w:val="false"/>
          <w:sz w:val="32"/>
          <w:szCs w:val="32"/>
        </w:rPr>
        <w:t xml:space="preserve">2.3 คณะกรรมการบริหาร</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คณะกรรมการบริษัทตามหนังสือรับรองกระทรวงพาณิชย์ ซึ่งอนุมัติจากการประชุมสามัญผู้ถือหุ้นครั้งที่ 46 (29 เมษายน 2568) ประกอบด้วยกรรมการ 15 ท่าน มีนายชัยเลิศ มนูญผล เป็นประธานกรรมการ และกรรมการอิสระ 5 ท่าน คิดเป็นร้อยละ 33.3 ได้แก่ นางนุชนาถ ธรรมมโนมัย นางช่อทิพย์ ประมูล ณ อยุธยา พลเอกโกญจนาท จุณณะภาต นายสันติ บางอ้อ และนายขจรศักดิ์ วรรณรัตน์เศรษฐ [1]</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ข้อสังเกตเชิงกลยุทธ์</w:t>
      </w:r>
      <w:r>
        <w:rPr>
          <w:rFonts w:ascii="TH Sarabun New" w:cs="TH Sarabun New" w:eastAsia="TH Sarabun New" w:hAnsi="TH Sarabun New"/>
          <w:b w:val="false"/>
          <w:bCs w:val="false"/>
          <w:i w:val="false"/>
          <w:iCs w:val="false"/>
          <w:sz w:val="32"/>
          <w:szCs w:val="32"/>
        </w:rPr>
        <w:t xml:space="preserve"> กรรมการ 4 ท่านเข้ารับตำแหน่งพร้อมกันในการประชุมปี 2568 ภายหลังการเปลี่ยนโครงสร้างผู้ถือหุ้น เป็นสัญญาณว่าผู้ถือหุ้นรายใหญ่ใหม่มีเจตนาเข้ามีบทบาทกำหนดทิศทาง ซึ่งเป็นเงื่อนไขสนับสนุนแผนฟื้นฟูในบทที่ 4 ด้านคุณภาพการกำกับดูแล บริษัทได้รับผลประเมิน CGR ปี 2568 ระดับดีเลิศต่อเนื่องเป็นปีที่ 8 จากสมาคมส่งเสริมสถาบันกรรมการบริษัทไทย ได้คะแนนเต็ม 100 ด้านคุณภาพการจัดประชุมผู้ถือหุ้นต่อเนื่องเป็นปีที่ 18 และได้รับการรับรอง CAC ตั้งแต่ปี 2559 ต่ออายุล่าสุด 31 ธันวาคม 2568 คุณสมบัติชุดนี้มีน้ำหนักโดยตรงต่อการประมูลงานเครื่องแบบของราชการและรัฐวิสาหกิจ ซึ่งเป็นกลุ่มเป้าหมายของกลยุทธ์ที่เสนอ</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หมายเหตุการตรวจสอบข้อเท็จจริง</w:t>
      </w:r>
      <w:r>
        <w:rPr>
          <w:rFonts w:ascii="TH Sarabun New" w:cs="TH Sarabun New" w:eastAsia="TH Sarabun New" w:hAnsi="TH Sarabun New"/>
          <w:b w:val="false"/>
          <w:bCs w:val="false"/>
          <w:i w:val="false"/>
          <w:iCs w:val="false"/>
          <w:sz w:val="32"/>
          <w:szCs w:val="32"/>
        </w:rPr>
        <w:t xml:space="preserve"> ร่างฉบับก่อนระบุว่าบริษัทเปลี่ยนชื่อเป็น “พีเพิลการ์เมนท์” ซึ่งไม่ถูกต้อง ชื่อภาษาไทยยังคงเป็น “ประชาอาภรณ์” และรายชื่อแบรนด์ที่ได้รับสิทธิหลายแบรนด์กับผลประเมิน IOD ระดับ Top Quartile ปีที่ 3 ไม่พบการยืนยันใน One Report ปี 2568 [1]</w:t>
      </w:r>
    </w:p>
    <w:p>
      <w:pPr>
        <w:pStyle w:val="Heading2"/>
        <w:keepNext/>
        <w:spacing w:after="60" w:before="140"/>
      </w:pPr>
      <w:r>
        <w:rPr>
          <w:rFonts w:ascii="TH Sarabun New" w:cs="TH Sarabun New" w:eastAsia="TH Sarabun New" w:hAnsi="TH Sarabun New"/>
          <w:b/>
          <w:bCs/>
          <w:i w:val="false"/>
          <w:iCs w:val="false"/>
          <w:sz w:val="32"/>
          <w:szCs w:val="32"/>
        </w:rPr>
        <w:t xml:space="preserve">2.4 วิสัยทัศน์ พันธกิจ วัตถุประสงค์</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วิสัยทัศน์</w:t>
      </w:r>
      <w:r>
        <w:rPr>
          <w:rFonts w:ascii="TH Sarabun New" w:cs="TH Sarabun New" w:eastAsia="TH Sarabun New" w:hAnsi="TH Sarabun New"/>
          <w:b w:val="false"/>
          <w:bCs w:val="false"/>
          <w:i w:val="false"/>
          <w:iCs w:val="false"/>
          <w:sz w:val="32"/>
          <w:szCs w:val="32"/>
        </w:rPr>
        <w:t xml:space="preserve"> “มุ่งมั่นเป็นผู้นำในการสร้างสรรค์ผลิตภัณฑ์และบริการที่มีคุณภาพด้วยนวัตกรรมเครื่องนุ่งห่มของประเทศไทย”</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พันธกิจ 7 ข้อ</w:t>
      </w:r>
      <w:r>
        <w:rPr>
          <w:rFonts w:ascii="TH Sarabun New" w:cs="TH Sarabun New" w:eastAsia="TH Sarabun New" w:hAnsi="TH Sarabun New"/>
          <w:b w:val="false"/>
          <w:bCs w:val="false"/>
          <w:i w:val="false"/>
          <w:iCs w:val="false"/>
          <w:sz w:val="32"/>
          <w:szCs w:val="32"/>
        </w:rPr>
        <w:t xml:space="preserve"> ออกแบบและผลิตเสื้อผ้าบุรุษ ชุดกีฬา และชุดว่ายน้ำที่มีคุณภาพ พัฒนาสินค้าและบริการที่มีนวัตกรรม มุ่งเป็น One Stop Service สำหรับผลิตภัณฑ์บุรุษ สร้างการเติบโตทั้งรายได้และกำไร ส่งเสริมพนักงาน สร้างผลตอบแทนแก่ผู้ถือหุ้น และดำเนินธุรกิจด้วยความรับผิดชอบต่อสังคมและสิ่งแวดล้อม </w:t>
      </w:r>
      <w:r>
        <w:rPr>
          <w:rFonts w:ascii="TH Sarabun New" w:cs="TH Sarabun New" w:eastAsia="TH Sarabun New" w:hAnsi="TH Sarabun New"/>
          <w:b/>
          <w:bCs/>
          <w:i w:val="false"/>
          <w:iCs w:val="false"/>
          <w:sz w:val="32"/>
          <w:szCs w:val="32"/>
        </w:rPr>
        <w:t xml:space="preserve">วัตถุประสงค์และเป้าหมายระยะยาว</w:t>
      </w:r>
      <w:r>
        <w:rPr>
          <w:rFonts w:ascii="TH Sarabun New" w:cs="TH Sarabun New" w:eastAsia="TH Sarabun New" w:hAnsi="TH Sarabun New"/>
          <w:b w:val="false"/>
          <w:bCs w:val="false"/>
          <w:i w:val="false"/>
          <w:iCs w:val="false"/>
          <w:sz w:val="32"/>
          <w:szCs w:val="32"/>
        </w:rPr>
        <w:t xml:space="preserve"> อัตราการเติบโตของรายได้เฉลี่ยร้อยละ 4–5 ต่อปีในช่วงปี 2568–2572 พร้อมเป้าหมายลดก๊าซเรือนกระจก ภายใต้ปรัชญา “คนดี สินค้าดี สังคมดี” ของเครือสหพัฒน์</w:t>
      </w:r>
    </w:p>
    <w:p>
      <w:pPr>
        <w:pStyle w:val="Heading2"/>
        <w:keepNext/>
        <w:spacing w:after="60" w:before="140"/>
      </w:pPr>
      <w:r>
        <w:rPr>
          <w:rFonts w:ascii="TH Sarabun New" w:cs="TH Sarabun New" w:eastAsia="TH Sarabun New" w:hAnsi="TH Sarabun New"/>
          <w:b/>
          <w:bCs/>
          <w:i w:val="false"/>
          <w:iCs w:val="false"/>
          <w:sz w:val="32"/>
          <w:szCs w:val="32"/>
        </w:rPr>
        <w:t xml:space="preserve">2.5 กลยุทธ์ปัจจุบัน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ตามแบบ 56-1 One Report ปี 2568 บริษัทเสนอผลิตภัณฑ์และนวัตกรรมที่หลากหลายขึ้น หาลูกค้าใหม่ ควบคุมต้นทุนโดยรวม และนำระบบกึ่งอัตโนมัติมาใช้ สำหรับปี 2569 กำหนดแนวทางไว้ 5 ข้อ ได้แก่ สร้างอัตลักษณ์แบรนด์ พัฒนาช่องทางโซเชียล เลือกวัสดุที่เป็นมิตรกับสิ่งแวดล้อม สร้างความยืดหยุ่นในการผลิต และพัฒนาเทคโนโลยีการผลิต</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การประเมิน</w:t>
      </w:r>
      <w:r>
        <w:rPr>
          <w:rFonts w:ascii="TH Sarabun New" w:cs="TH Sarabun New" w:eastAsia="TH Sarabun New" w:hAnsi="TH Sarabun New"/>
          <w:b w:val="false"/>
          <w:bCs w:val="false"/>
          <w:i w:val="false"/>
          <w:iCs w:val="false"/>
          <w:sz w:val="32"/>
          <w:szCs w:val="32"/>
        </w:rPr>
        <w:t xml:space="preserve"> เป้าหมายระยะยาวที่บริษัทประกาศเป็นเป้าหมายด้าน “รายได้” เพียงด้านเดียว ไม่มีเป้าหมายความสามารถทำกำไรของธุรกิจหลักกำกับ ทั้งที่ปัญหาที่แท้จริงคือธุรกิจหลักขาดทุนเชิงปฏิบัติการ ส่วนแนวทางทั้งห้าข้อเป็นรายการกิจกรรมที่กระจายหลายทิศทาง โดยไม่ระบุว่าจะชนะในสนามใดและเลิกแข่งในสนามใด จึงเป็นการ “ปรับกิจกรรม” มากกว่า “เลือกตำแหน่งเชิงกลยุทธ์” หลักฐานคือปี 2568 ที่ดำเนินแนวทางดังกล่าว ยอดขายลดร้อยละ 21.80 และผลจากธุรกิจหลักติดลบมากที่สุดในรอบสามปี ขณะที่การส่งออกเครื่องนุ่งห่มไทยขยายตัวร้อยละ 5.2 แสดงว่าผลถดถอยไม่ได้มาจากอุตสาหกรรมเพียงอย่างเดียว</w:t>
      </w:r>
    </w:p>
    <w:p>
      <w:pPr>
        <w:pStyle w:val="Heading2"/>
        <w:keepNext/>
        <w:spacing w:after="60" w:before="140"/>
      </w:pPr>
      <w:r>
        <w:rPr>
          <w:rFonts w:ascii="TH Sarabun New" w:cs="TH Sarabun New" w:eastAsia="TH Sarabun New" w:hAnsi="TH Sarabun New"/>
          <w:b/>
          <w:bCs/>
          <w:i w:val="false"/>
          <w:iCs w:val="false"/>
          <w:sz w:val="32"/>
          <w:szCs w:val="32"/>
        </w:rPr>
        <w:t xml:space="preserve">2.6 ผลประกอบการที่ผ่านมา</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ข้อมูลในหัวข้อนี้เป็นงบการเงินเฉพาะของ PG เนื่องจากไม่มีบริษัทย่อย ตัวเลขระดับพันล้านบาทในร่างฉบับก่อนไม่ใช่ตัวเลขของ PG และถูกนำออกทั้งหมด</w:t>
      </w:r>
    </w:p>
    <w:p>
      <w:pPr>
        <w:keepNext/>
        <w:spacing w:after="50" w:before="130"/>
        <w:jc w:val="left"/>
      </w:pPr>
      <w:r>
        <w:rPr>
          <w:rFonts w:ascii="TH Sarabun New" w:cs="TH Sarabun New" w:eastAsia="TH Sarabun New" w:hAnsi="TH Sarabun New"/>
          <w:b/>
          <w:bCs/>
          <w:i w:val="false"/>
          <w:iCs w:val="false"/>
          <w:sz w:val="28"/>
          <w:szCs w:val="28"/>
        </w:rPr>
        <w:t xml:space="preserve">ตารางที่ 1  ผลการดำเนินงานและฐานะการเงินของ PG ปี 2566–2568 (หน่วย: ล้านบาท)</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429"/>
        <w:gridCol w:w="1771"/>
        <w:gridCol w:w="1771"/>
        <w:gridCol w:w="1771"/>
        <w:gridCol w:w="1726"/>
      </w:tblGrid>
      <w:tr>
        <w:trPr>
          <w:tblHeader/>
        </w:trPr>
        <w:tc>
          <w:tcPr>
            <w:tcW w:type="dxa" w:w="242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2566</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2567</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2568</w:t>
            </w:r>
          </w:p>
        </w:tc>
        <w:tc>
          <w:tcPr>
            <w:tcW w:type="dxa" w:w="172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ประเภทข้อมูล</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ยอดขายในประเทศ</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527.64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511.09</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432.66</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ยอดขายต่างประเทศ</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175.86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262.84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172.54</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ยอดขายรวม</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703.52</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773.93</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605.20</w:t>
            </w:r>
          </w:p>
        </w:tc>
        <w:tc>
          <w:tcPr>
            <w:tcW w:type="dxa" w:w="172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อัตราการเติบโตของยอดขาย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2.38</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(21.80)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กำไรขั้นต้น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151.74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182.35</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129.52</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อัตรากำไรขั้นต้น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21.57</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23.56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21.40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ค่าใช้จ่ายขายและบริหาร</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179.71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206.46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178.08</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ค่าใช้จ่ายขายและบริหาร/ยอดขาย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25.54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26.68</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29.42</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การคำนวณ</w:t>
            </w:r>
          </w:p>
        </w:tc>
      </w:tr>
      <w:tr>
        <w:tc>
          <w:tcPr>
            <w:tcW w:type="dxa" w:w="242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ผลจากธุรกิจหลักโดยประมาณ*</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(27.97)</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(24.11)</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(48.56)</w:t>
            </w:r>
          </w:p>
        </w:tc>
        <w:tc>
          <w:tcPr>
            <w:tcW w:type="dxa" w:w="172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การคำนวณ</w:t>
            </w:r>
          </w:p>
        </w:tc>
      </w:tr>
      <w:tr>
        <w:tc>
          <w:tcPr>
            <w:tcW w:type="dxa" w:w="242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อัตราผลจากธุรกิจหลัก (%)</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(3.98)</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(3.12)</w:t>
            </w:r>
          </w:p>
        </w:tc>
        <w:tc>
          <w:tcPr>
            <w:tcW w:type="dxa" w:w="1771"/>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(8.02)</w:t>
            </w:r>
          </w:p>
        </w:tc>
        <w:tc>
          <w:tcPr>
            <w:tcW w:type="dxa" w:w="172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การคำนวณ</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รายได้อื่น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64.64</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64.10</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62.14</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จากการตีมูลค่าเงินลงทุน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(9.86)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(46.21)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(19.50)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สุทธิ</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25.99</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(5.56)</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สินทรัพย์รวม / หนี้สินรวม / ส่วนของผู้ถือหุ้น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1,713.80 / 219.05 / 1,494.75</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1,576.57 / 158.34 / 1,418.23</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1,511.37 / 145.83 / 1,365.54</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อัตราส่วนสภาพคล่อง (เท่า) / D/E (เท่า)</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8.26 / 0.15</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10.87 / 0.11</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10.71 / 0.11</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ระยะเวลาขายสินค้าคงเหลือ / วงจรเงินสด (วัน)</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157.26 / 174.58</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148.11 / 166.93</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183.70 / 212.39</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r>
        <w:tc>
          <w:tcPr>
            <w:tcW w:type="dxa" w:w="24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ผลตอบแทนต่อส่วนของผู้ถือหุ้น (%)</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1.76</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0.13</w:t>
            </w:r>
          </w:p>
        </w:tc>
        <w:tc>
          <w:tcPr>
            <w:tcW w:type="dxa" w:w="177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(0.40)</w:t>
            </w:r>
          </w:p>
        </w:tc>
        <w:tc>
          <w:tcPr>
            <w:tcW w:type="dxa" w:w="172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ข้อเท็จจริง</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ที่มา: แบบ 56-1 One Report ปี 2568 [1]; งบการเงินตรวจสอบแล้วปี 2568 [2]; คำชี้แจงผลการดำเนินงานปี 2568 [3]   *ผลจากธุรกิจหลักโดยประมาณ = กำไรขั้นต้น − ค่าใช้จ่ายขายและบริหาร เป็นการคำนวณของผู้จัดทำเพื่อแยกผลของธุรกิจเสื้อผ้าออกจากรายได้อื่นและผลการตีมูลค่าเงินลงทุน ไม่ใช่บรรทัดทางบัญชีที่บริษัทเปิดเผย</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ข้อวินิจฉัยหลัก</w:t>
      </w:r>
      <w:r>
        <w:rPr>
          <w:rFonts w:ascii="TH Sarabun New" w:cs="TH Sarabun New" w:eastAsia="TH Sarabun New" w:hAnsi="TH Sarabun New"/>
          <w:b w:val="false"/>
          <w:bCs w:val="false"/>
          <w:i w:val="false"/>
          <w:iCs w:val="false"/>
          <w:sz w:val="32"/>
          <w:szCs w:val="32"/>
        </w:rPr>
        <w:t xml:space="preserve"> ตารางที่ 1 แสดงสิ่งที่บรรทัดกำไรสุทธิปกปิดไว้ คือธุรกิจผลิตและขายเสื้อผ้าสร้างกำไรขั้นต้นไม่พอครอบคลุมค่าใช้จ่ายขายและบริหารมาอย่างน้อยสามปี แม้ปี 2566 ที่รายงานกำไรสุทธิ 25.99 ล้านบาท ผลจากธุรกิจหลักก็ยังติดลบ 27.97 ล้านบาท เพราะกำไรมาจากรายได้อื่น 64.64 ล้านบาทซึ่งส่วนใหญ่เป็นเงินปันผล คำอธิบายที่ถูกต้องคือ “บริษัทมีกำไรจากสถานะการลงทุน แต่ขาดทุนจากธุรกิจที่เป็นพันธกิจหลัก” ปี 2568 รุนแรงขึ้นด้วยกลไกสองชั้น คือยอดขายลด 168.73 ล้านบาททำให้กำไรขั้นต้นหาย 52.83 ล้านบาท ขณะที่ค่าใช้จ่ายลดเพียง 28.38 ล้านบาท สะท้อนโครงสร้างค่าใช้จ่ายคงที่สูงที่ปรับตามปริมาณขายได้ช้า</w:t>
      </w:r>
    </w:p>
    <w:p>
      <w:pPr>
        <w:spacing w:after="60" w:before="60" w:line="240" w:lineRule="auto"/>
        <w:jc w:val="center"/>
      </w:pPr>
      <w:r>
        <w:drawing>
          <wp:inline distT="0" distB="0" distL="0" distR="0">
            <wp:extent cx="50482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1895475"/>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1  โครงสร้างผลการดำเนินงานของธุรกิจหลัก ปี 2566–2568  ที่มา: คำนวณจาก [1][2][3]</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ยอดขายในประเทศลดลงร้อยละ 15.35 ซึ่งบริษัทระบุสาเหตุว่ามาจากการเปลี่ยนนโยบายจัดซื้อของลูกค้าหลัก แสดงว่าความเสี่ยงจากการกระจุกตัวเกิดขึ้นจริงแล้ว ส่วนยอดส่งออกลดลงร้อยละ 34.36 ในปีที่การส่งออกเครื่องนุ่งห่มไทยโดยรวมขยายตัว ด้านการผลิต กำลังการผลิตรวมลดจาก 3,972,000 ชิ้นในปี 2566 เหลือ 2,712,000 ชิ้นในปี 2567–2568 (ลดลงร้อยละ 31.7) ผลิตจริง 2,269,318 ชิ้น อัตราการใช้กำลังการผลิตร้อยละ 83.68 ซึ่งยังสูงเพราะตัวหารถูกลดลงพร้อมตัวตั้ง ไม่ใช่เพราะคำสั่งซื้อฟื้นตัว ตัวเลขนี้จึงไม่ควรใช้สนับสนุนการลงทุนขยายกำลังการผลิต</w:t>
      </w:r>
    </w:p>
    <w:p>
      <w:pPr>
        <w:keepNext/>
        <w:spacing w:after="50" w:before="130"/>
        <w:jc w:val="left"/>
      </w:pPr>
      <w:r>
        <w:rPr>
          <w:rFonts w:ascii="TH Sarabun New" w:cs="TH Sarabun New" w:eastAsia="TH Sarabun New" w:hAnsi="TH Sarabun New"/>
          <w:b/>
          <w:bCs/>
          <w:i w:val="false"/>
          <w:iCs w:val="false"/>
          <w:sz w:val="28"/>
          <w:szCs w:val="28"/>
        </w:rPr>
        <w:t xml:space="preserve">ตารางที่ 2  โครงสร้างสินทรัพย์ของ PG ณ วันที่ 31 ธันวาคม 2568</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3441"/>
        <w:gridCol w:w="1518"/>
        <w:gridCol w:w="1923"/>
        <w:gridCol w:w="2586"/>
      </w:tblGrid>
      <w:tr>
        <w:trPr>
          <w:tblHeader/>
        </w:trPr>
        <w:tc>
          <w:tcPr>
            <w:tcW w:type="dxa" w:w="344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รายการสินทรัพย์</w:t>
            </w:r>
          </w:p>
        </w:tc>
        <w:tc>
          <w:tcPr>
            <w:tcW w:type="dxa" w:w="151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ล้านบาท</w:t>
            </w:r>
          </w:p>
        </w:tc>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 ของสินทรัพย์รวม</w:t>
            </w:r>
          </w:p>
        </w:tc>
        <w:tc>
          <w:tcPr>
            <w:tcW w:type="dxa" w:w="258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ลักษณะ</w:t>
            </w:r>
          </w:p>
        </w:tc>
      </w:tr>
      <w:t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สินทรัพย์ทางการเงิน (เงินสด 8.73 + หมุนเวียนอื่น 197.45 + ไม่หมุนเวียนครบกำหนดใน 1 ปี 40.00 + ไม่หมุนเวียนอื่น 627.51)</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873.69</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57.81</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สินทรัพย์ทางการเงิน</w:t>
            </w:r>
          </w:p>
        </w:tc>
      </w:tr>
      <w:t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สินค้าคงเหลือ</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337.11</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22.30</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เงินทุนหมุนเวียน</w:t>
            </w:r>
          </w:p>
        </w:tc>
      </w:tr>
      <w:t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ลูกหนี้การค้าและลูกหนี้อื่น</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95.88</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6.34</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เงินทุนหมุนเวียน</w:t>
            </w:r>
          </w:p>
        </w:tc>
      </w:tr>
      <w:t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ที่ดิน อาคาร และอุปกรณ์</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165.18</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10.93</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สินทรัพย์ดำเนินงาน</w:t>
            </w:r>
          </w:p>
        </w:tc>
      </w:tr>
      <w:tr>
        <w:tc>
          <w:tcPr>
            <w:tcW w:type="dxa" w:w="34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สินทรัพย์สิทธิการใช้ และสินทรัพย์อื่น</w:t>
            </w:r>
          </w:p>
        </w:tc>
        <w:tc>
          <w:tcPr>
            <w:tcW w:type="dxa" w:w="15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39.51</w:t>
            </w:r>
          </w:p>
        </w:tc>
        <w:tc>
          <w:tcPr>
            <w:tcW w:type="dxa" w:w="192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2.62</w:t>
            </w:r>
          </w:p>
        </w:tc>
        <w:tc>
          <w:tcPr>
            <w:tcW w:type="dxa" w:w="25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อื่น ๆ</w:t>
            </w:r>
          </w:p>
        </w:tc>
      </w:tr>
      <w:tr>
        <w:tc>
          <w:tcPr>
            <w:tcW w:type="dxa" w:w="3441"/>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รวมสินทรัพย์</w:t>
            </w:r>
          </w:p>
        </w:tc>
        <w:tc>
          <w:tcPr>
            <w:tcW w:type="dxa" w:w="1518"/>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1,511.37</w:t>
            </w:r>
          </w:p>
        </w:tc>
        <w:tc>
          <w:tcPr>
            <w:tcW w:type="dxa" w:w="1923"/>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100.00</w:t>
            </w:r>
          </w:p>
        </w:tc>
        <w:tc>
          <w:tcPr>
            <w:tcW w:type="dxa" w:w="2586"/>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ที่มา: แบบ 56-1 One Report ปี 2568 หัวข้อคำอธิบายและวิเคราะห์ฐานะการเงิน [1]  แถวสุดท้ายเป็นการคำนวณของผู้จัดทำ</w:t>
      </w:r>
    </w:p>
    <w:p>
      <w:pPr>
        <w:spacing w:after="60" w:before="60" w:line="240" w:lineRule="auto"/>
        <w:jc w:val="center"/>
      </w:pPr>
      <w:r>
        <w:drawing>
          <wp:inline distT="0" distB="0" distL="0" distR="0">
            <wp:extent cx="48101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0125" cy="1628775"/>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2  โครงสร้างสินทรัพย์ของ PG ณ 31 ธันวาคม 2568  ที่มา: คำนวณจาก [1]</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สินทรัพย์ทางการเงิน 873.69 ล้านบาทสูงกว่าฐานการผลิตจริง 5.3 เท่า โดยส่วนไม่หมุนเวียน 627.51 ล้านบาทประกอบด้วยเงินลงทุนในตลาดหลักทรัพย์ 228.50 ล้านบาท นอกตลาด 81.82 ล้านบาท และตราสารหนี้ 73.59 ล้านบาท สร้างเงินปันผล 28.40 ล้านบาทในปี 2568 การถือครองเช่นนี้ไม่ผิดในตัวเอง แต่เมื่อธุรกิจหลักขาดทุนเชิงปฏิบัติการ 48.56 ล้านบาทและบริษัทยังจ่ายเงินปันผล 48.0 ล้านบาทในปีที่ขาดทุนสุทธิ ย่อมเกิดคำถามเรื่องการจัดสรรทุนที่ตอบไม่ได้ด้วยการปรับกิจกรรมการตลาด ด้านสินค้าคงเหลือ จาก 337.11 ล้านบาท เป็นสินค้าสำเร็จรูป 237.46 ล้านบาทหรือร้อยละ 70.4 พร้อมค่าเผื่อสินค้าล้าสมัย 15.91 ล้านบาท สัดส่วนที่สูงเช่นนี้ในธุรกิจที่บริษัทเองระบุว่าสินค้าเปลี่ยนเร็ว เป็นสัญญาณของการผลิตเพื่อเก็บสต็อกมากกว่าผลิตตามคำสั่งซื้อ</w:t>
      </w:r>
    </w:p>
    <w:p>
      <w:pPr>
        <w:keepNext/>
        <w:spacing w:after="50" w:before="130"/>
        <w:jc w:val="left"/>
      </w:pPr>
      <w:r>
        <w:rPr>
          <w:rFonts w:ascii="TH Sarabun New" w:cs="TH Sarabun New" w:eastAsia="TH Sarabun New" w:hAnsi="TH Sarabun New"/>
          <w:b/>
          <w:bCs/>
          <w:i w:val="false"/>
          <w:iCs w:val="false"/>
          <w:sz w:val="28"/>
          <w:szCs w:val="28"/>
        </w:rPr>
        <w:t xml:space="preserve">ตารางที่ 3  ผลการดำเนินงานงวดหกเดือนแรก ปี 2569 เทียบกับปี 2568 (หน่วย: ล้านบาท)</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620"/>
        <w:gridCol w:w="840"/>
        <w:gridCol w:w="840"/>
        <w:gridCol w:w="1010"/>
        <w:gridCol w:w="1860"/>
        <w:gridCol w:w="840"/>
        <w:gridCol w:w="840"/>
        <w:gridCol w:w="1618"/>
      </w:tblGrid>
      <w:tr>
        <w:trPr>
          <w:tblHeader/>
        </w:trPr>
        <w:tc>
          <w:tcPr>
            <w:tcW w:type="dxa" w:w="162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6M/2568</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6M/2569</w:t>
            </w:r>
          </w:p>
        </w:tc>
        <w:tc>
          <w:tcPr>
            <w:tcW w:type="dxa" w:w="101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เปลี่ยนแปลง</w:t>
            </w:r>
          </w:p>
        </w:tc>
        <w:tc>
          <w:tcPr>
            <w:tcW w:type="dxa" w:w="186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รายการ</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6M/2568</w:t>
            </w:r>
          </w:p>
        </w:tc>
        <w:tc>
          <w:tcPr>
            <w:tcW w:type="dxa" w:w="8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6M/2569</w:t>
            </w:r>
          </w:p>
        </w:tc>
        <w:tc>
          <w:tcPr>
            <w:tcW w:type="dxa" w:w="161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เปลี่ยนแปลง</w:t>
            </w:r>
          </w:p>
        </w:tc>
      </w:tr>
      <w:tr>
        <w:tc>
          <w:tcPr>
            <w:tcW w:type="dxa" w:w="16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รายได้จากการขาย</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292.72</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285.05</w:t>
            </w:r>
          </w:p>
        </w:tc>
        <w:tc>
          <w:tcPr>
            <w:tcW w:type="dxa" w:w="101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-2.62%</w:t>
            </w:r>
          </w:p>
        </w:tc>
        <w:tc>
          <w:tcPr>
            <w:tcW w:type="dxa" w:w="186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รายได้อื่น</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32.61</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29.77</w:t>
            </w:r>
          </w:p>
        </w:tc>
        <w:tc>
          <w:tcPr>
            <w:tcW w:type="dxa" w:w="16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-8.70%</w:t>
            </w:r>
          </w:p>
        </w:tc>
      </w:tr>
      <w:tr>
        <w:tc>
          <w:tcPr>
            <w:tcW w:type="dxa" w:w="16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กำไรขั้นต้น</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59.93</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59.35</w:t>
            </w:r>
          </w:p>
        </w:tc>
        <w:tc>
          <w:tcPr>
            <w:tcW w:type="dxa" w:w="101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-0.97%</w:t>
            </w:r>
          </w:p>
        </w:tc>
        <w:tc>
          <w:tcPr>
            <w:tcW w:type="dxa" w:w="186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ตีมูลค่าเงินลงทุน</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(22.67)</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7.36</w:t>
            </w:r>
          </w:p>
        </w:tc>
        <w:tc>
          <w:tcPr>
            <w:tcW w:type="dxa" w:w="16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พลิกเป็นกำไร</w:t>
            </w:r>
          </w:p>
        </w:tc>
      </w:tr>
      <w:tr>
        <w:tc>
          <w:tcPr>
            <w:tcW w:type="dxa" w:w="16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ค่าใช้จ่ายขายและบริหาร</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92.09</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76.21</w:t>
            </w:r>
          </w:p>
        </w:tc>
        <w:tc>
          <w:tcPr>
            <w:tcW w:type="dxa" w:w="101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-17.24%</w:t>
            </w:r>
          </w:p>
        </w:tc>
        <w:tc>
          <w:tcPr>
            <w:tcW w:type="dxa" w:w="186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กำไร/(ขาดทุน) สุทธิ</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(19.27)</w:t>
            </w:r>
          </w:p>
        </w:tc>
        <w:tc>
          <w:tcPr>
            <w:tcW w:type="dxa" w:w="84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17.92</w:t>
            </w:r>
          </w:p>
        </w:tc>
        <w:tc>
          <w:tcPr>
            <w:tcW w:type="dxa" w:w="161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+192.97%</w:t>
            </w:r>
          </w:p>
        </w:tc>
      </w:tr>
      <w:tr>
        <w:tc>
          <w:tcPr>
            <w:tcW w:type="dxa" w:w="1620"/>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ผลจากธุรกิจหลัก</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(32.16)</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(16.86)</w:t>
            </w:r>
          </w:p>
        </w:tc>
        <w:tc>
          <w:tcPr>
            <w:tcW w:type="dxa" w:w="101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ขาดทุนลดลง 15.30</w:t>
            </w:r>
          </w:p>
        </w:tc>
        <w:tc>
          <w:tcPr>
            <w:tcW w:type="dxa" w:w="1860"/>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อัตราผลจากธุรกิจหลัก</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(10.99%)</w:t>
            </w:r>
          </w:p>
        </w:tc>
        <w:tc>
          <w:tcPr>
            <w:tcW w:type="dxa" w:w="84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(5.91%)</w:t>
            </w:r>
          </w:p>
        </w:tc>
        <w:tc>
          <w:tcPr>
            <w:tcW w:type="dxa" w:w="1618"/>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ดีขึ้น 5.08 จุด</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ที่มา: คำชี้แจงผลการดำเนินงานไตรมาสที่ 2 ปี 2569 ลงวันที่ 11 สิงหาคม 2569 [4]  ตัวเลข 6M/2568 คำนวณย้อนกลับจากอัตราการเปลี่ยนแปลงที่บริษัทเปิดเผย</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ตัวเลขครึ่งปีแรก 2569 ต้องอ่านอย่างระมัดระวัง บริษัทกลับมามีกำไรสุทธิ 17.92 ล้านบาทและผลขาดทุนจากธุรกิจหลักลดจาก 32.16 เหลือ 16.86 ล้านบาท ซึ่งเป็นการปรับตัวที่มีนัยสำคัญ แต่เมื่อแยกที่มาพบว่ามาจากสามแหล่งที่ไม่ใช่การเติบโตของธุรกิจหลัก คือการลดค่าใช้จ่ายพนักงาน 15.88 ล้านบาท การพลิกกลับของผลตีมูลค่าเงินลงทุน และรายได้อื่น ขณะที่ยอดขายยังลดร้อยละ 2.62 และกำไรขั้นต้นยังต่ำกว่าค่าใช้จ่ายขายและบริหาร 16.86 ล้านบาท </w:t>
      </w:r>
      <w:r>
        <w:rPr>
          <w:rFonts w:ascii="TH Sarabun New" w:cs="TH Sarabun New" w:eastAsia="TH Sarabun New" w:hAnsi="TH Sarabun New"/>
          <w:b/>
          <w:bCs/>
          <w:i w:val="false"/>
          <w:iCs w:val="false"/>
          <w:sz w:val="32"/>
          <w:szCs w:val="32"/>
        </w:rPr>
        <w:t xml:space="preserve">ข้อสรุปที่ถูกต้องคือ “กำไรสุทธิฟื้นแล้ว แต่ธุรกิจหลักยังไม่ฟื้น”</w:t>
      </w:r>
      <w:r>
        <w:rPr>
          <w:rFonts w:ascii="TH Sarabun New" w:cs="TH Sarabun New" w:eastAsia="TH Sarabun New" w:hAnsi="TH Sarabun New"/>
          <w:b w:val="false"/>
          <w:bCs w:val="false"/>
          <w:i w:val="false"/>
          <w:iCs w:val="false"/>
          <w:sz w:val="32"/>
          <w:szCs w:val="32"/>
        </w:rPr>
        <w:t xml:space="preserve"> และเนื่องจากการลดค่าใช้จ่ายพนักงานทำซ้ำได้จำกัด การฟื้นตัวที่ยั่งยืนต้องมาจากการยกระดับอัตรากำไรขั้นต้น</w:t>
      </w:r>
    </w:p>
    <w:p>
      <w:pPr>
        <w:pStyle w:val="Heading1"/>
        <w:keepNext/>
        <w:spacing w:after="80" w:before="180"/>
      </w:pPr>
      <w:r>
        <w:rPr>
          <w:rFonts w:ascii="TH Sarabun New" w:cs="TH Sarabun New" w:eastAsia="TH Sarabun New" w:hAnsi="TH Sarabun New"/>
          <w:b/>
          <w:bCs/>
          <w:i w:val="false"/>
          <w:iCs w:val="false"/>
          <w:sz w:val="36"/>
          <w:szCs w:val="36"/>
        </w:rPr>
        <w:t xml:space="preserve">3. การวิเคราะห์สภาพแวดล้อมเชิงกลยุทธ์</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บทนี้ยึดหลักการจำแนกตามบทเรียนบทที่ 4 และ 5 คือ </w:t>
      </w:r>
      <w:r>
        <w:rPr>
          <w:rFonts w:ascii="TH Sarabun New" w:cs="TH Sarabun New" w:eastAsia="TH Sarabun New" w:hAnsi="TH Sarabun New"/>
          <w:b/>
          <w:bCs/>
          <w:i w:val="false"/>
          <w:iCs w:val="false"/>
          <w:sz w:val="32"/>
          <w:szCs w:val="32"/>
        </w:rPr>
        <w:t xml:space="preserve">โอกาสและอุปสรรคต้องเป็นปัจจัยภายนอกที่บริษัทควบคุมไม่ได้ ส่วนจุดแข็งและจุดอ่อนต้องเป็นทรัพยากร ความสามารถ กระบวนการ หรือผลลัพธ์ภายในองค์กร</w:t>
      </w:r>
      <w:r>
        <w:rPr>
          <w:rFonts w:ascii="TH Sarabun New" w:cs="TH Sarabun New" w:eastAsia="TH Sarabun New" w:hAnsi="TH Sarabun New"/>
          <w:b w:val="false"/>
          <w:bCs w:val="false"/>
          <w:i w:val="false"/>
          <w:iCs w:val="false"/>
          <w:sz w:val="32"/>
          <w:szCs w:val="32"/>
        </w:rPr>
        <w:t xml:space="preserve"> ปัจจัยเช่นการแข่งขันจากสินค้านำเข้า ต้นทุนวัตถุดิบและค่าแรงในตลาด และการเปลี่ยนแปลงพฤติกรรมผู้บริโภค จึงจัดเป็นอุปสรรค ไม่ใช่จุดอ่อนตามที่ปรากฏในร่างรายงานฉบับก่อนหน้า</w:t>
      </w:r>
    </w:p>
    <w:p>
      <w:pPr>
        <w:pStyle w:val="Heading2"/>
        <w:keepNext/>
        <w:spacing w:after="60" w:before="140"/>
      </w:pPr>
      <w:r>
        <w:rPr>
          <w:rFonts w:ascii="TH Sarabun New" w:cs="TH Sarabun New" w:eastAsia="TH Sarabun New" w:hAnsi="TH Sarabun New"/>
          <w:b/>
          <w:bCs/>
          <w:i w:val="false"/>
          <w:iCs w:val="false"/>
          <w:sz w:val="32"/>
          <w:szCs w:val="32"/>
        </w:rPr>
        <w:t xml:space="preserve">3.1 การวิเคราะห์สภาพแวดล้อมภายนอก</w:t>
      </w:r>
    </w:p>
    <w:p>
      <w:pPr>
        <w:pStyle w:val="Heading3"/>
        <w:keepNext/>
        <w:spacing w:after="70" w:before="150"/>
      </w:pPr>
      <w:r>
        <w:rPr>
          <w:rFonts w:ascii="TH Sarabun New" w:cs="TH Sarabun New" w:eastAsia="TH Sarabun New" w:hAnsi="TH Sarabun New"/>
          <w:b/>
          <w:bCs/>
          <w:i w:val="false"/>
          <w:iCs w:val="false"/>
          <w:sz w:val="32"/>
          <w:szCs w:val="32"/>
        </w:rPr>
        <w:t xml:space="preserve">3.1.1 การวิเคราะห์สภาพแวดล้อมภายนอกทั่วไป (STEEP)</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ทุกปัจจัยเชื่อมตามลำดับ </w:t>
      </w:r>
      <w:r>
        <w:rPr>
          <w:rFonts w:ascii="TH Sarabun New" w:cs="TH Sarabun New" w:eastAsia="TH Sarabun New" w:hAnsi="TH Sarabun New"/>
          <w:b/>
          <w:bCs/>
          <w:i w:val="false"/>
          <w:iCs w:val="false"/>
          <w:sz w:val="32"/>
          <w:szCs w:val="32"/>
        </w:rPr>
        <w:t xml:space="preserve">การเปลี่ยนแปลงภายนอกและหลักฐาน → ผลต่ออุตสาหกรรมและนัยเฉพาะต่อ PG → จัดเป็นโอกาสหรืออุปสรรค</w:t>
      </w:r>
    </w:p>
    <w:p>
      <w:pPr>
        <w:keepNext/>
        <w:spacing w:after="50" w:before="130"/>
        <w:jc w:val="left"/>
      </w:pPr>
      <w:r>
        <w:rPr>
          <w:rFonts w:ascii="TH Sarabun New" w:cs="TH Sarabun New" w:eastAsia="TH Sarabun New" w:hAnsi="TH Sarabun New"/>
          <w:b/>
          <w:bCs/>
          <w:i w:val="false"/>
          <w:iCs w:val="false"/>
          <w:sz w:val="28"/>
          <w:szCs w:val="28"/>
        </w:rPr>
        <w:t xml:space="preserve">ตารางที่ 4  สรุปการวิเคราะห์ STEEP และนัยต่อ PG</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215"/>
        <w:gridCol w:w="3340"/>
        <w:gridCol w:w="3901"/>
        <w:gridCol w:w="1012"/>
      </w:tblGrid>
      <w:tr>
        <w:trPr>
          <w:tblHeader/>
        </w:trPr>
        <w:tc>
          <w:tcPr>
            <w:tcW w:type="dxa" w:w="121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มิติ</w:t>
            </w:r>
          </w:p>
        </w:tc>
        <w:tc>
          <w:tcPr>
            <w:tcW w:type="dxa" w:w="33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การเปลี่ยนแปลงและหลักฐาน</w:t>
            </w:r>
          </w:p>
        </w:tc>
        <w:tc>
          <w:tcPr>
            <w:tcW w:type="dxa" w:w="390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นัยต่ออุตสาหกรรมและต่อ PG</w:t>
            </w:r>
          </w:p>
        </w:tc>
        <w:tc>
          <w:tcPr>
            <w:tcW w:type="dxa" w:w="101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O/T</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สังคม</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กำลังซื้อในประเทศอ่อนแอ ตลาดไทยมีเสื้อผ้ามือสองและแบรนด์ลดราคาจำนวนมาก บริษัทระบุเองว่าผู้บริโภคมีโอกาสซื้อสินค้าดีราคาถูกจากการเร่งระบายสต็อก [1]</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ราคาในตลาดเสื้อผ้าแฟชั่นทั่วไปถูกกดทั้งระบบ PG ซึ่งขายผ่านค้าปลีกในประเทศเป็นหลักถูกกดทั้งราคาและปริมาณ สะท้อนในยอดขายในประเทศที่ลดลง 15.35%</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T</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สังคม</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ความต้องการเครื่องแบบวิชาชีพที่ตอบโจทย์การใช้งานจริง เช่น ความสบาย ความคล่องตัว และการยับยั้งแบคทีเรีย บริษัทระบุว่าปี 2568 ขยายตลาดชุดทางการแพทย์ผ่านตัวแทนและขายตรงจนยอดขายเติบโตต่อเนื่อง [1] และ DITP ชี้ว่าผู้ผลิตไทยขยับสู่สิ่งทอเชิงฟังก์ชันมูลค่าสูงได้ [9]</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อุปสงค์กลุ่มนี้ตัดสินใจซื้อด้วยคุณสมบัติและมาตรฐาน ไม่ใช่ราคาต่อชิ้น จึงเป็นสนามที่ PG ซึ่งมีผ้าถักของตนเอง มาตรฐานคุณภาพ และฐานลูกค้าเครื่องแบบอยู่แล้ว แข่งขันได้โดยไม่ต้องลงไปแข่งราคา</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O</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เทคโนโลยี</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คู่แข่งระดับภูมิภาคยกระดับด้วย garment engineering โรงงานดิจิทัล และแพลตฟอร์มรับงาน on-demand [14] รวมถึง AI และ Industry 4.0 [15] ขณะที่โรงงานไทยส่วนใหญ่ยังพึ่งแรงงานเป็นหลัก [1]</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มาตรฐานความเร็วและความยืดหยุ่นของอุตสาหกรรมถูกยกให้สูงขึ้น ผู้ที่ไม่ปรับตัวจะเสียงานที่ต้องการการตอบสนองเร็ว ซึ่งเป็นสนามเดียวกับที่ PG ตั้งใจจะเข้า</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T</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เทคโนโลยี</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ต้นทุนเข้าถึงเครื่องมือดิจิทัลสำหรับงาน B2B (CRM ระบบคิดต้นทุน S&amp;OP และระบบตรวจสอบย้อนกลับ) ลดลงมากเทียบกับการลงทุนเครื่องจักร</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เปิดทางให้ผู้ผลิตขนาดกลางยกระดับความสามารถเชิงพาณิชย์ด้วยเงินลงทุนไม่มาก เหมาะกับข้อจำกัดด้านขนาดของ PG แต่ต้องผูกกับกรณีทางธุรกิจที่ชัดเจน</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O</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เศรษฐกิจ</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อุตสาหกรรมเครื่องนุ่งห่มไทยหดตัวเชิงโครงสร้าง ดัชนีผลผลิตลดเฉลี่ย 6.6% ต่อปีช่วงปี 2559–2568 อัตราการใช้กำลังการผลิตลดจาก 64.8% เหลือ 46.1% และคาดว่าส่วนแบ่งตลาดโลกของไทยจะต่ำกว่า 0.5% [1]</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ตลาดโดยรวมไม่ขยายตัวพอรองรับกลยุทธ์เพิ่มปริมาณ การเติบโตต้องมาจากการแย่งส่วนแบ่งหรือการขยับสู่สินค้ามูลค่าสูงกว่า</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T</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เศรษฐกิจ</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การส่งออกเครื่องนุ่งห่มไทยกลับมาขยายตัวปี 2568 โดย สศอ. รายงาน 5.61% [8] ส่วนข้อมูลที่บริษัทอ้างอิงระบุ 5.2% มูลค่า 2,014 ล้านดอลลาร์ [1] หมวดที่ขยายตัวคือชุดกีฬา เสื้อโปโล ชุดเด็กอ่อน และชุดชั้นใน</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การฟื้นตัวเกิดเฉพาะบางหมวด PG มีฐานผลิตในหมวดที่ขยายตัวอยู่แล้ว แต่ยอดส่งออกของบริษัทกลับลดลง 34.36% ในปีเดียวกัน จึงเป็นโอกาสที่ยังใช้ประโยชน์ไม่ได้</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O</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เศรษฐกิจ</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ต้นทุนแรงงานไทย 325–386 ดอลลาร์/เดือน เทียบบังกลาเทศ 103–133 และเวียดนาม 131–188 [1] ประกอบกับการนำเข้าเครื่องนุ่งห่มโตเฉลี่ย 9.1% ต่อปี มูลค่า 1,713 ล้านดอลลาร์ กว่าครึ่งจากจีนและเวียดนาม [1]</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โครงสร้างต้นทุนของผู้ผลิตไทยเสียเปรียบถาวรในงานที่แข่งด้วยราคา กลยุทธ์ผู้นำต้นทุนจึงเป็นไปไม่ได้ และตลาดในประเทศซึ่งเป็นรายได้ 71.49% ของ PG ถูกกดโดยตรง</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T</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สิ่งแวดล้อม</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สหภาพยุโรปผลักดันยุทธศาสตร์สิ่งทอยั่งยืนและหมุนเวียน [10] และระเบียบ ESPR ที่กำหนดเรื่องความทนทาน การซ่อมได้ สัดส่วนวัสดุรีไซเคิล และหนังสือเดินทางผลิตภัณฑ์ดิจิทัล [11]</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ผู้ซื้อสากลใช้ข้อมูลวัสดุและการตรวจสอบย้อนกลับเป็นเกณฑ์คัดเลือกผู้ผลิต ผู้ที่มี GRS และ ISO 14001 พร้อมใช้ เปลี่ยนภาระการปฏิบัติตามกฎเป็นข้อเสนอคุณค่าได้ PG มีมาตรฐานครบแล้วแต่ยังไม่มีข้อเสนอเชิงพาณิชย์</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O</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การเมืองและกฎหมาย</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มาตรการภาษีตอบโต้ของสหรัฐฯ ที่เริ่มต้น 36% ก่อนเจรจาลดเหลือ 19% ทำให้ลูกค้าลดและเลื่อนคำสั่งซื้อ [1] ประกอบกับความผันผวนของค่าเงินบาท</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ผู้ส่งออกไทยเผชิญความไม่แน่นอนในการวางแผน สหรัฐฯ คิดเป็นกว่า 40% ของการส่งออกเครื่องนุ่งห่มไทย ความเสี่ยงจึงกระจุกตัว</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T</w:t>
            </w:r>
          </w:p>
        </w:tc>
      </w:tr>
      <w:tr>
        <w:tc>
          <w:tcPr>
            <w:tcW w:type="dxa" w:w="121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การเมืองและกฎหมาย</w:t>
            </w:r>
          </w:p>
        </w:tc>
        <w:tc>
          <w:tcPr>
            <w:tcW w:type="dxa" w:w="33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ระเบียบสหภาพยุโรปว่าด้วยการห้ามสินค้าจากแรงงานบังคับจะบังคับใช้จริงวันที่ 14 ธันวาคม 2570 โดยสิ่งทอเป็นอุตสาหกรรมกลุ่มเสี่ยง [12]</w:t>
            </w:r>
          </w:p>
        </w:tc>
        <w:tc>
          <w:tcPr>
            <w:tcW w:type="dxa" w:w="390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เพิ่มภาระการตรวจสอบย้อนกลับ แต่ยกระดับกำแพงการเข้าตลาดสำหรับผู้ผลิตที่ไม่มีระบบข้อมูล จึงเป็นประโยชน์ต่อผู้ที่ลงทุนล่วงหน้า</w:t>
            </w:r>
          </w:p>
        </w:tc>
        <w:tc>
          <w:tcPr>
            <w:tcW w:type="dxa" w:w="101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O</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ที่มา: สังเคราะห์จากแหล่งอ้างอิงที่ระบุในวงเล็บเหลี่ยม รายละเอียดดูบรรณานุกรม</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ข้อแก้ไขที่สำคัญ</w:t>
      </w:r>
      <w:r>
        <w:rPr>
          <w:rFonts w:ascii="TH Sarabun New" w:cs="TH Sarabun New" w:eastAsia="TH Sarabun New" w:hAnsi="TH Sarabun New"/>
          <w:b w:val="false"/>
          <w:bCs w:val="false"/>
          <w:i w:val="false"/>
          <w:iCs w:val="false"/>
          <w:sz w:val="32"/>
          <w:szCs w:val="32"/>
        </w:rPr>
        <w:t xml:space="preserve"> ร่างฉบับก่อนจัดมาตรการปรับราคาคาร์บอนก่อนข้ามพรมแดน (CBAM) เป็นอุปสรรคที่ทำให้สินค้าของ PG มีต้นทุนภาษีเพิ่มโดยตรง ซึ่งไม่ถูกต้อง เพราะขอบเขตที่ CBAM ครอบคลุมในระยะถาวรคือซีเมนต์ เหล็กและเหล็กกล้า อะลูมิเนียม ปุ๋ย ไฟฟ้า และไฮโดรเจน ไม่รวมเครื่องนุ่งห่ม [18] แรงกดดันด้านสิ่งแวดล้อมที่เกี่ยวข้องกับ PG จริงคือกฎเกณฑ์เศรษฐกิจหมุนเวียน การออกแบบเชิงนิเวศ ข้อมูลผลิตภัณฑ์ และแรงงานบังคับ ทั้งนี้ One Report ปี 2568 ของบริษัทเองก็อ้าง CBAM ในลักษณะเดียวกัน จึงควรทบทวนการสื่อสารด้วย</w:t>
      </w:r>
    </w:p>
    <w:p>
      <w:pPr>
        <w:pStyle w:val="Heading3"/>
        <w:keepNext/>
        <w:spacing w:after="70" w:before="150"/>
      </w:pPr>
      <w:r>
        <w:rPr>
          <w:rFonts w:ascii="TH Sarabun New" w:cs="TH Sarabun New" w:eastAsia="TH Sarabun New" w:hAnsi="TH Sarabun New"/>
          <w:b/>
          <w:bCs/>
          <w:i w:val="false"/>
          <w:iCs w:val="false"/>
          <w:sz w:val="32"/>
          <w:szCs w:val="32"/>
        </w:rPr>
        <w:t xml:space="preserve">3.1.2 การวิเคราะห์อุตสาหกรรม (Five Forces Model)</w:t>
      </w:r>
    </w:p>
    <w:p>
      <w:pPr>
        <w:keepNext/>
        <w:spacing w:after="50" w:before="130"/>
        <w:jc w:val="left"/>
      </w:pPr>
      <w:r>
        <w:rPr>
          <w:rFonts w:ascii="TH Sarabun New" w:cs="TH Sarabun New" w:eastAsia="TH Sarabun New" w:hAnsi="TH Sarabun New"/>
          <w:b/>
          <w:bCs/>
          <w:i w:val="false"/>
          <w:iCs w:val="false"/>
          <w:sz w:val="28"/>
          <w:szCs w:val="28"/>
        </w:rPr>
        <w:t xml:space="preserve">ตารางที่ 5  สรุปการวิเคราะห์แรงกดดันทั้งห้าของอุตสาหกรรมที่ PG แข่งขันอยู่</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923"/>
        <w:gridCol w:w="1113"/>
        <w:gridCol w:w="6432"/>
      </w:tblGrid>
      <w:tr>
        <w:trPr>
          <w:tblHeader/>
        </w:trPr>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แรงกดดัน</w:t>
            </w:r>
          </w:p>
        </w:tc>
        <w:tc>
          <w:tcPr>
            <w:tcW w:type="dxa" w:w="111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ระดับ</w:t>
            </w:r>
          </w:p>
        </w:tc>
        <w:tc>
          <w:tcPr>
            <w:tcW w:type="dxa" w:w="643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หลักฐานและนัยเชิงกลยุทธ์ต่อ PG</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การแข่งขันระหว่างคู่แข่งเดิม</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สูงมาก (5/5)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คู่แข่งไทยรายใหญ่มีฐานผลิตหลายประเทศและกำลังผลิตหลายสิบล้านชิ้นต่อปี [13][14] ตลาดในประเทศถูกกดด้วยสินค้านำเข้าที่โต 9.1% ต่อปี และอุตสาหกรรมมีอัตราการใช้กำลังการผลิตเพียง 46.1% ซึ่งเป็นภาวะกำลังผลิตส่วนเกิน การแข่งขันจึงลงสู่ราคาโดยอัตโนมัติ PG ที่มีต้นทุนต่อหน่วยสูงกว่าไม่ควรเลือกสนามนี้เป็นสนามหลัก</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อำนาจต่อรองของผู้ซื้อ</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สูงมาก (5/5)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ผู้ซื้อ OEM ลดคำสั่งซื้อ เลื่อนการผลิต หรือย้ายฐานได้ทันทีโดยผู้ผลิตรับความเสี่ยงทั้งหมด [1] และ PG มีลูกค้ารายเดียวคิดเป็น 40.12% ของยอดขายรวม ความไม่สมดุลนี้เป็นสาเหตุโดยตรงของอัตรากำไรขั้นต้นที่ต่ำ ทางแก้เชิงโครงสร้างคือเปลี่ยนฐานลูกค้าไปสู่กลุ่มที่ซื้อด้วยสเปกและสัญญา</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อำนาจต่อรองของผู้ขายปัจจัยการผลิต</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ต่ำถึงปานกลาง (2/5)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 2568 มีคู่ค้า 222 ราย ในประเทศ 77% ต่างประเทศ 23% ไม่มีรายใดเกิน 10% ของยอดจัดซื้อ พร้อมการประเมินผู้ขายประจำปี [1] และผลิตผ้าถักเองที่กบินทร์บุรี เป็นแรงกดดันเดียวที่ PG ได้เปรียบ ควรใช้เป็นฐานรับประกันคุณภาพและเวลาส่งมอบ ข้อจำกัดคือวัสดุเชิงฟังก์ชันที่มีใบรับรองเฉพาะบางชนิดยังต้องนำเข้า</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ภัยคุกคามจากผู้เข้าใหม่</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 (3/5)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การตัดเย็บทั่วไปเข้าตลาดได้ไม่ยาก แต่การเข้าถึงลูกค้าองค์กร การได้รับการรับรองมาตรฐาน และการสร้างระบบตรวจสอบย้อนกลับต้องใช้เวลาและประวัติผลงาน กำแพงในงานเครื่องแบบและงานโครงการจึงสูงกว่างานตัดเย็บทั่วไป</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ภัยคุกคามจากสินค้าทดแทน</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สูง (4/5)</w:t>
            </w:r>
          </w:p>
        </w:tc>
        <w:tc>
          <w:tcPr>
            <w:tcW w:type="dxa" w:w="64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เสื้อผ้านำเข้าราคาต่ำ แบรนด์ลดราคา เสื้อผ้ามือสอง และการแต่งกายลำลองในที่ทำงาน ทดแทนเสื้อผ้าแฟชั่นกลุ่มเดิมได้ [1] แต่มีผลจำกัดกับเครื่องแบบวิชาชีพที่มีข้อกำหนดด้านความปลอดภัยและภาพลักษณ์องค์กร</w:t>
            </w:r>
          </w:p>
        </w:tc>
      </w:tr>
    </w:tbl>
    <w:p>
      <w:pPr>
        <w:keepNext w:val="false"/>
        <w:spacing w:after="50" w:line="240"/>
        <w:ind w:firstLine="480"/>
        <w:jc w:val="both"/>
      </w:pPr>
      <w:r>
        <w:rPr>
          <w:rFonts w:ascii="TH Sarabun New" w:cs="TH Sarabun New" w:eastAsia="TH Sarabun New" w:hAnsi="TH Sarabun New"/>
          <w:b/>
          <w:bCs/>
          <w:i w:val="false"/>
          <w:iCs w:val="false"/>
          <w:sz w:val="32"/>
          <w:szCs w:val="32"/>
        </w:rPr>
        <w:t xml:space="preserve">บทสรุป</w:t>
      </w:r>
      <w:r>
        <w:rPr>
          <w:rFonts w:ascii="TH Sarabun New" w:cs="TH Sarabun New" w:eastAsia="TH Sarabun New" w:hAnsi="TH Sarabun New"/>
          <w:b w:val="false"/>
          <w:bCs w:val="false"/>
          <w:i w:val="false"/>
          <w:iCs w:val="false"/>
          <w:sz w:val="32"/>
          <w:szCs w:val="32"/>
        </w:rPr>
        <w:t xml:space="preserve"> แรงกดดันสี่ในห้าอยู่ระดับสูงถึงสูงมาก อุตสาหกรรมรับจ้างผลิตเสื้อผ้าทั่วไปจึงไม่น่าดึงดูด แต่ข้อสรุปที่ถูกต้องไม่ใช่ “ควรออกจากอุตสาหกรรม” หากคือ “ควรเปลี่ยนตำแหน่งภายในอุตสาหกรรม” เพราะแรงกดดันไม่ได้รุนแรงเท่ากันทุกกลุ่มลูกค้า ในงานที่ต้องปรับแต่งตามข้อกำหนดเฉพาะ ล็อตเล็ก เติมสินค้าสม่ำเสมอ และพิสูจน์คุณสมบัติได้ อำนาจต่อรองของผู้ซื้อจะลดลง กำแพงการเข้าตลาดสูงขึ้น และภัยจากสินค้าทดแทนน้อยลง นี่คือช่องว่างที่เหมาะสม (Propitious Niche) ตามบทเรียนบทที่ 6</w:t>
      </w:r>
    </w:p>
    <w:p>
      <w:pPr>
        <w:pStyle w:val="Heading3"/>
        <w:keepNext/>
        <w:spacing w:after="70" w:before="150"/>
      </w:pPr>
      <w:r>
        <w:rPr>
          <w:rFonts w:ascii="TH Sarabun New" w:cs="TH Sarabun New" w:eastAsia="TH Sarabun New" w:hAnsi="TH Sarabun New"/>
          <w:b/>
          <w:bCs/>
          <w:i w:val="false"/>
          <w:iCs w:val="false"/>
          <w:sz w:val="32"/>
          <w:szCs w:val="32"/>
        </w:rPr>
        <w:t xml:space="preserve">3.1.3 การวิเคราะห์คู่แข่งขันหลักและปัจจัยแห่งความสำเร็จ (KSF)</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การวิเคราะห์คู่แข่งต้องแยกตามสนามแข่งขัน เพราะบริษัทเครื่องนุ่งห่มที่ดูคล้ายกันมีรูปแบบธุรกิจต่างกัน โรงงานรับจ้างผลิตแข่งด้วยขนาดและต้นทุน เจ้าของแบรนด์แข่งด้วยการตลาดและช่องทาง ส่วนผู้ขายงานเครื่องแบบแข่งด้วยการออกแบบตามโจทย์ การบริการ และการส่งมอบตามสัญญา</w:t>
      </w:r>
    </w:p>
    <w:p>
      <w:pPr>
        <w:keepNext/>
        <w:spacing w:after="50" w:before="130"/>
        <w:jc w:val="left"/>
      </w:pPr>
      <w:r>
        <w:rPr>
          <w:rFonts w:ascii="TH Sarabun New" w:cs="TH Sarabun New" w:eastAsia="TH Sarabun New" w:hAnsi="TH Sarabun New"/>
          <w:b/>
          <w:bCs/>
          <w:i w:val="false"/>
          <w:iCs w:val="false"/>
          <w:sz w:val="28"/>
          <w:szCs w:val="28"/>
        </w:rPr>
        <w:t xml:space="preserve">ตารางที่ 6  ข้อมูลเปรียบเทียบ PG กับคู่แข่งและกลุ่มเทียบเคียงตามสนามแข่งขัน</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923"/>
        <w:gridCol w:w="4251"/>
        <w:gridCol w:w="3294"/>
      </w:tblGrid>
      <w:tr>
        <w:trPr>
          <w:tblHeader/>
        </w:trPr>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บริษัท (สนาม)</w:t>
            </w:r>
          </w:p>
        </w:tc>
        <w:tc>
          <w:tcPr>
            <w:tcW w:type="dxa" w:w="425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ขนาดธุรกิจปี 2568 และศักยภาพ</w:t>
            </w:r>
          </w:p>
        </w:tc>
        <w:tc>
          <w:tcPr>
            <w:tcW w:type="dxa" w:w="329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ตำแหน่งเชิงกลยุทธ์</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(สนาม 1 และ 2)</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ยอดขาย 605.20 ลบ. อัตรากำไรขั้นต้น 21.40% กำลังผลิต 2.712 ล้านชิ้น/ปี พนักงาน 715 คน โรงงาน 2 แห่งในไทย ผลิตผ้าถักเอง</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ผู้ผลิตขนาดกลางที่ทำได้หลายอย่างแต่ยังไม่มีสนามที่ชนะชัดเจน</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Nice Group Holding (1)</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 &gt;17,481 ลบ. 16 โรงงานใน 4 ประเทศ พนักงาน &gt;23,000 คน กำลังผลิต &gt;72 ล้านชิ้น/ปี</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ผู้นำด้านขนาดและระบบอัตโนมัติ แข่งด้วยต้นทุนต่อหน่วยและความยืดหยุ่นของห่วงโซ่อุปทาน</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Hi-Tech Apparel (1)</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ไม่เปิดเผยรายได้ พนักงาน &gt;14,000 คน ฐานผลิตในไทย กัมพูชา เวียดนาม ลาว และอียิปต์ ผลิต &gt;40 ล้านชิ้น/ปี</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ผู้นำด้านขนาดผสานเทคโนโลยี เน้นชุดกีฬาและ activewear มีโรงงานดิจิทัลและแพลตฟอร์มรับงาน on-demand</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VT Garment (1)</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ไม่เปิดเผยรายได้ พนักงานประมาณ 3,000 คน ฐานผลิตไทยและเมียนมา</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ใกล้แนวทางสร้างความแตกต่างแบบมุ่งเน้นมากที่สุด เน้นชุดกีฬา เสื้อคลุม อุปกรณ์ป้องกัน มี Fair Trade, Higg FEM, GRS และ LEED</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Warrix Sport (2)</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รายได้จากการขายและบริการ 1,701.44 ลบ. มีแบรนด์ ช่องทางค้าปลีกและออนไลน์ และฐานงานโครงการ</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คู่แข่งโดยตรงที่สุดในงานเครื่องแบบและงานโครงการ มีทั้งแบรนด์และช่องทาง</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Sabina และ MC Group (2 – เทียบเคียง)</w:t>
            </w:r>
          </w:p>
        </w:tc>
        <w:tc>
          <w:tcPr>
            <w:tcW w:type="dxa" w:w="425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Sabina รายได้รวม 3,338.88 ลบ. กำไรสุทธิ 410.76 ลบ. อัตรากำไรขั้นต้น 51.47% / MC Group ยอดขาย 4,152 ลบ. อัตรากำไรขั้นต้น 63.9% กำไรสุทธิ 760 ลบ. ออนไลน์ 17%</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แสดงระดับอัตรากำไรที่โมเดลแบรนด์สร้างได้ แต่ต้องอาศัยแบรนด์ ข้อมูลลูกค้า และงบการตลาดจำนวนมาก</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ที่มา: [13] Nice Group; [14] Hi-Tech Apparel; [15] VT Garment; [16] Warrix One Report 2568; [17] Sabina; [19] MC Group; ข้อมูล PG จาก [1]</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รายได้ของ Nice Group สูงกว่า PG ประมาณ 28.9 เท่า กำลังผลิตของ Hi-Tech Apparel สูงกว่า PG ประมาณ 14.8 เท่า พร้อมฐานผลิตห้าประเทศที่ให้ความยืดหยุ่นด้านแหล่งกำเนิดสินค้าซึ่ง PG ไม่มี ในทางกลับกัน อัตรากำไรขั้นต้นของ PG ที่ 21.40% ต่ำกว่า Sabina และ MC Group มาก ซึ่งเป็นช่องว่างของโมเดลธุรกิจ ไม่ใช่ของประสิทธิภาพการผลิตเพียงอย่างเดียว</w:t>
      </w:r>
    </w:p>
    <w:p>
      <w:pPr>
        <w:keepNext/>
        <w:spacing w:after="50" w:before="130"/>
        <w:jc w:val="left"/>
      </w:pPr>
      <w:r>
        <w:rPr>
          <w:rFonts w:ascii="TH Sarabun New" w:cs="TH Sarabun New" w:eastAsia="TH Sarabun New" w:hAnsi="TH Sarabun New"/>
          <w:b/>
          <w:bCs/>
          <w:i w:val="false"/>
          <w:iCs w:val="false"/>
          <w:sz w:val="28"/>
          <w:szCs w:val="28"/>
        </w:rPr>
        <w:t xml:space="preserve">ตารางที่ 7  การเปรียบเทียบตามปัจจัยแห่งความสำเร็จ (KSF) แยกตามสนามแข่งขัน</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126"/>
        <w:gridCol w:w="709"/>
        <w:gridCol w:w="709"/>
        <w:gridCol w:w="759"/>
        <w:gridCol w:w="759"/>
        <w:gridCol w:w="759"/>
        <w:gridCol w:w="3647"/>
      </w:tblGrid>
      <w:tr>
        <w:trPr>
          <w:tblHeader/>
        </w:trPr>
        <w:tc>
          <w:tcPr>
            <w:tcW w:type="dxa" w:w="212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ปัจจัยแห่งความสำเร็จ (KSF)</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น้ำหนัก</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PG Rating</w:t>
            </w:r>
          </w:p>
        </w:tc>
        <w:tc>
          <w:tcPr>
            <w:tcW w:type="dxa" w:w="75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PG คะแนน</w:t>
            </w:r>
          </w:p>
        </w:tc>
        <w:tc>
          <w:tcPr>
            <w:tcW w:type="dxa" w:w="75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คู่แข่ง Rating</w:t>
            </w:r>
          </w:p>
        </w:tc>
        <w:tc>
          <w:tcPr>
            <w:tcW w:type="dxa" w:w="75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คู่แข่ง คะแนน</w:t>
            </w:r>
          </w:p>
        </w:tc>
        <w:tc>
          <w:tcPr>
            <w:tcW w:type="dxa" w:w="364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ข้อสังเกต</w:t>
            </w:r>
          </w:p>
        </w:tc>
      </w:tr>
      <w:tr>
        <w:tc>
          <w:tcPr>
            <w:tcW w:type="dxa" w:w="9468"/>
            <w:gridSpan w:val="7"/>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สนามที่ 1: การรับจ้างผลิตเพื่อส่งออก (คู่แข่งอ้างอิง: Hi-Tech Apparel)</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 ขนาดการผลิตและต้นทุนต่อหน่วย</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2.712 ล้านชิ้น เทียบคู่แข่งกว่า 40 ล้านชิ้นต่อปี</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 ฐานการผลิตหลายประเทศและความยืดหยุ่นด้านแหล่งกำเนิดสินค้า</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0.75</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ผลิตในไทยเท่านั้น จึงบริหารความเสี่ยงด้านภาษีการค้าไม่ได้</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 วิศวกรรมผลิตภัณฑ์และความสามารถ ODM</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0.75</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มีฐาน ODM จากการออกแบบและถักผ้าเอง แต่ยังไม่มีทีมวิศวกรรมผลิตภัณฑ์เต็มรูปแบบ</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4. ความคล่องตัวในงานล็อตเล็กและสเปกเฉพาะ</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เป็นช่องว่างที่ PG ไล่ตามได้ใกล้ที่สุดในสนามนี้</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5. มาตรฐานคุณภาพและความยั่งยืน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0.75</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มี ISO 9001, ISO 14001, GRS, COOL MODE และฉลากเบอร์ 5</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 ระบบดิจิทัลในการผลิตและการวางแผน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0.50</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เพิ่งเริ่มระบบกึ่งอัตโนมัติ ขณะที่คู่แข่งมีโรงงานดิจิทัลแล้ว</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7. ความน่าเชื่อถือด้านการส่งมอบและคุณภาพ</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0.40</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ยังไม่เปิดเผยตัวชี้วัดการส่งมอบตรงเวลา จึงประเมินได้เพียงระดับกลาง</w:t>
            </w:r>
          </w:p>
        </w:tc>
      </w:tr>
      <w:tr>
        <w:tc>
          <w:tcPr>
            <w:tcW w:type="dxa" w:w="2126"/>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รวมสนามที่ 1</w:t>
            </w: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w:t>
            </w:r>
          </w:p>
        </w:tc>
        <w:tc>
          <w:tcPr>
            <w:tcW w:type="dxa" w:w="709"/>
            <w:shd w:fill="FCE4D6" w:color="auto" w:val="clear"/>
            <w:tcMar>
              <w:top w:type="dxa" w:w="10"/>
              <w:left w:type="dxa" w:w="60"/>
              <w:bottom w:type="dxa" w:w="10"/>
              <w:right w:type="dxa" w:w="60"/>
            </w:tcMar>
            <w:vAlign w:val="center"/>
          </w:tcPr>
          <w:p>
            <w:pPr>
              <w:spacing w:after="10" w:line="228"/>
              <w:jc w:val="center"/>
            </w:pPr>
          </w:p>
        </w:tc>
        <w:tc>
          <w:tcPr>
            <w:tcW w:type="dxa" w:w="75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2.55</w:t>
            </w:r>
          </w:p>
        </w:tc>
        <w:tc>
          <w:tcPr>
            <w:tcW w:type="dxa" w:w="759"/>
            <w:shd w:fill="FCE4D6" w:color="auto" w:val="clear"/>
            <w:tcMar>
              <w:top w:type="dxa" w:w="10"/>
              <w:left w:type="dxa" w:w="60"/>
              <w:bottom w:type="dxa" w:w="10"/>
              <w:right w:type="dxa" w:w="60"/>
            </w:tcMar>
            <w:vAlign w:val="center"/>
          </w:tcPr>
          <w:p>
            <w:pPr>
              <w:spacing w:after="10" w:line="228"/>
              <w:jc w:val="center"/>
            </w:pPr>
          </w:p>
        </w:tc>
        <w:tc>
          <w:tcPr>
            <w:tcW w:type="dxa" w:w="75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4.75</w:t>
            </w:r>
          </w:p>
        </w:tc>
        <w:tc>
          <w:tcPr>
            <w:tcW w:type="dxa" w:w="3647"/>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PG ตามหลัง 2.20 คะแนน</w:t>
            </w:r>
          </w:p>
        </w:tc>
      </w:tr>
      <w:tr>
        <w:tc>
          <w:tcPr>
            <w:tcW w:type="dxa" w:w="9468"/>
            <w:gridSpan w:val="7"/>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สนามที่ 2: เครื่องแบบ งานโครงการ และช่องทางในประเทศ (คู่แข่งอ้างอิง: Warrix)</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 ความแข็งแรงของแบรนด์ต่อผู้บริโภค</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0.75</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จำหน่ายในประเทศผ่าน I.C.C. เป็นหลัก จึงไม่มีความสัมพันธ์ตรงกับผู้บริโภค</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 ความสามารถขายโครงการและงานประมูลให้องค์กร</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0.80</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มีลูกค้ากลุ่มสถาบันการเงิน ราชการ รัฐวิสาหกิจ และสถานศึกษาอยู่แล้ว แต่ยังไม่มีทีมขายโครงการเฉพาะ</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 การออกแบบผลิตภัณฑ์เชิงฟังก์ชันสำหรับงานเฉพาะ</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0.80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0.80</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ผลิตผ้าถักเองและมีวัสดุเชิงฟังก์ชันหลายรายการ เป็นจุดที่เทียบเท่าคู่แข่ง</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4. การควบคุมช่องทางจำหน่ายและข้อมูลลูกค้า</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เป็นจุดอ่อนที่ชัดเจนที่สุดของ PG ในสนามนี้</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5. การผลิตเองและการควบคุมคุณภาพและต้นทุน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0.45</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PG ได้เปรียบเพราะมีโรงงานผ้าถักและโรงงานตัดเย็บของตนเอง</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 บริการหลังการขายและการเติมสินค้าตามสัญญา</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5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0.45</w:t>
            </w:r>
          </w:p>
        </w:tc>
        <w:tc>
          <w:tcPr>
            <w:tcW w:type="dxa" w:w="364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ทั้งสองรายยังไม่มีระบบเติมสินค้าตามสัญญาที่สมบูรณ์ เป็นช่องว่างที่ยังว่างอยู่</w:t>
            </w:r>
          </w:p>
        </w:tc>
      </w:tr>
      <w:tr>
        <w:tc>
          <w:tcPr>
            <w:tcW w:type="dxa" w:w="2126"/>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รวมสนามที่ 2</w:t>
            </w: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w:t>
            </w:r>
          </w:p>
        </w:tc>
        <w:tc>
          <w:tcPr>
            <w:tcW w:type="dxa" w:w="709"/>
            <w:shd w:fill="FCE4D6" w:color="auto" w:val="clear"/>
            <w:tcMar>
              <w:top w:type="dxa" w:w="10"/>
              <w:left w:type="dxa" w:w="60"/>
              <w:bottom w:type="dxa" w:w="10"/>
              <w:right w:type="dxa" w:w="60"/>
            </w:tcMar>
            <w:vAlign w:val="center"/>
          </w:tcPr>
          <w:p>
            <w:pPr>
              <w:spacing w:after="10" w:line="228"/>
              <w:jc w:val="center"/>
            </w:pPr>
          </w:p>
        </w:tc>
        <w:tc>
          <w:tcPr>
            <w:tcW w:type="dxa" w:w="75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2.90</w:t>
            </w:r>
          </w:p>
        </w:tc>
        <w:tc>
          <w:tcPr>
            <w:tcW w:type="dxa" w:w="759"/>
            <w:shd w:fill="FCE4D6" w:color="auto" w:val="clear"/>
            <w:tcMar>
              <w:top w:type="dxa" w:w="10"/>
              <w:left w:type="dxa" w:w="60"/>
              <w:bottom w:type="dxa" w:w="10"/>
              <w:right w:type="dxa" w:w="60"/>
            </w:tcMar>
            <w:vAlign w:val="center"/>
          </w:tcPr>
          <w:p>
            <w:pPr>
              <w:spacing w:after="10" w:line="228"/>
              <w:jc w:val="center"/>
            </w:pPr>
          </w:p>
        </w:tc>
        <w:tc>
          <w:tcPr>
            <w:tcW w:type="dxa" w:w="75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3.85</w:t>
            </w:r>
          </w:p>
        </w:tc>
        <w:tc>
          <w:tcPr>
            <w:tcW w:type="dxa" w:w="3647"/>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PG ตามหลังเพียง 0.95 คะแนน</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คะแนน 1–5 เป็นการประเมินของผู้จัดทำจากหลักฐานสาธารณะ ไม่ใช่คะแนนที่บริษัทใดประกาศ ที่มา: [1][14][16]</w:t>
      </w:r>
    </w:p>
    <w:p>
      <w:pPr>
        <w:spacing w:after="60" w:before="60" w:line="240" w:lineRule="auto"/>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33625"/>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3  ช่องว่างคะแนนถ่วงน้ำหนักรายปัจจัยแห่งความสำเร็จ แยกตามสนามแข่งขัน  ที่มา: คำนวณจากตารางที่ 7</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ข้อสรุปที่กำหนดทิศทางของรายงานทั้งฉบับ</w:t>
      </w:r>
      <w:r>
        <w:rPr>
          <w:rFonts w:ascii="TH Sarabun New" w:cs="TH Sarabun New" w:eastAsia="TH Sarabun New" w:hAnsi="TH Sarabun New"/>
          <w:b w:val="false"/>
          <w:bCs w:val="false"/>
          <w:i w:val="false"/>
          <w:iCs w:val="false"/>
          <w:sz w:val="32"/>
          <w:szCs w:val="32"/>
        </w:rPr>
        <w:t xml:space="preserve"> ในสนามที่ 1 PG ตามหลัง 2.20 คะแนน โดยช่องว่างส่วนใหญ่อยู่ในปัจจัยที่แก้ไม่ได้ในระยะสั้น คือขนาดการผลิตและฐานการผลิตหลายประเทศ ซึ่งมีน้ำหนักรวม 0.35 แต่ในสนามที่ 2 PG ตามหลังเพียง 0.95 คะแนน และที่สำคัญกว่าคือ </w:t>
      </w:r>
      <w:r>
        <w:rPr>
          <w:rFonts w:ascii="TH Sarabun New" w:cs="TH Sarabun New" w:eastAsia="TH Sarabun New" w:hAnsi="TH Sarabun New"/>
          <w:b/>
          <w:bCs/>
          <w:i w:val="false"/>
          <w:iCs w:val="false"/>
          <w:sz w:val="32"/>
          <w:szCs w:val="32"/>
        </w:rPr>
        <w:t xml:space="preserve">PG มีคะแนนสูงกว่าคู่แข่งในปัจจัยการผลิตเองและการควบคุมคุณภาพ และเสมอกันในการออกแบบผลิตภัณฑ์เชิงฟังก์ชัน</w:t>
      </w:r>
      <w:r>
        <w:rPr>
          <w:rFonts w:ascii="TH Sarabun New" w:cs="TH Sarabun New" w:eastAsia="TH Sarabun New" w:hAnsi="TH Sarabun New"/>
          <w:b w:val="false"/>
          <w:bCs w:val="false"/>
          <w:i w:val="false"/>
          <w:iCs w:val="false"/>
          <w:sz w:val="32"/>
          <w:szCs w:val="32"/>
        </w:rPr>
        <w:t xml:space="preserve"> ซึ่งรวมกันมีน้ำหนัก 0.35 ส่วนปัจจัยที่ตามหลังมากที่สุดคือแบรนด์และการควบคุมช่องทาง (น้ำหนักรวม 0.30) ซึ่งจำเป็นเฉพาะกับโมเดลขายตรงถึงผู้บริโภค ไม่ใช่โมเดลขายเครื่องแบบให้องค์กร ช่องว่างที่ PG มีโอกาสชนะที่สุดจึงอยู่ที่จุดตัดระหว่างการผลิตผ้าถักและตัดเย็บเอง หลักฐานด้านมาตรฐาน ประสบการณ์งานเครื่องแบบ และเครือข่ายผู้ถือหุ้น อนึ่ง ปัจจัยที่ 6 คือบริการหลังการขายและการเติมสินค้าตามสัญญา ทั้ง PG และคู่แข่งยังทำได้ไม่ดี จึงเป็นจุดที่การลงทุนสร้างความแตกต่างให้ผลตอบแทนสูงสุด</w:t>
      </w:r>
    </w:p>
    <w:p>
      <w:pPr>
        <w:pStyle w:val="Heading3"/>
        <w:keepNext/>
        <w:spacing w:after="70" w:before="150"/>
      </w:pPr>
      <w:r>
        <w:rPr>
          <w:rFonts w:ascii="TH Sarabun New" w:cs="TH Sarabun New" w:eastAsia="TH Sarabun New" w:hAnsi="TH Sarabun New"/>
          <w:b/>
          <w:bCs/>
          <w:i w:val="false"/>
          <w:iCs w:val="false"/>
          <w:sz w:val="32"/>
          <w:szCs w:val="32"/>
        </w:rPr>
        <w:t xml:space="preserve">3.1.4 การวิเคราะห์โอกาสและอุปสรรค</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โอกาสและอุปสรรคทั้งหมดกลั่นมาจากตารางที่ 4–7 โดยไม่มีการสร้างปัจจัยใหม่ในขั้นตอน EFAS และผ่านการทดสอบสองข้อ คือเป็นเรื่องนอกการควบคุมของ PG จริงหรือไม่ และมีนัยเฉพาะต่อ PG อย่างไร แนวโน้มที่ฟังดูดีแต่ไม่มีเส้นทางเชื่อมไปยังทรัพยากรของ PG จะไม่ถูกจัดเป็นโอกาส</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โอกาส</w:t>
      </w:r>
      <w:r>
        <w:rPr>
          <w:rFonts w:ascii="TH Sarabun New" w:cs="TH Sarabun New" w:eastAsia="TH Sarabun New" w:hAnsi="TH Sarabun New"/>
          <w:b w:val="false"/>
          <w:bCs w:val="false"/>
          <w:i w:val="false"/>
          <w:iCs w:val="false"/>
          <w:sz w:val="32"/>
          <w:szCs w:val="32"/>
        </w:rPr>
        <w:t xml:space="preserve"> ประกอบด้วย O1 อุปสงค์เครื่องแบบและชุดทำงานเชิงฟังก์ชันในกลุ่มการแพทย์ บริการ และอุตสาหกรรม O2 กฎเกณฑ์และเกณฑ์จัดซื้อสากลที่ให้ค่ากับการตรวจสอบย้อนกลับและเศรษฐกิจหมุนเวียน O3 การกลับมาขยายตัวของการส่งออกเครื่องนุ่งห่มไทยในบางหมวด O4 การเปลี่ยนโครงสร้างผู้ถือหุ้นและการเข้าถึงเครือข่ายเครือสหพัฒน์ และ O5 ต้นทุนการเข้าถึงเครื่องมือดิจิทัลสำหรับงาน B2B ที่ลดลง</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อุปสรรค</w:t>
      </w:r>
      <w:r>
        <w:rPr>
          <w:rFonts w:ascii="TH Sarabun New" w:cs="TH Sarabun New" w:eastAsia="TH Sarabun New" w:hAnsi="TH Sarabun New"/>
          <w:b w:val="false"/>
          <w:bCs w:val="false"/>
          <w:i w:val="false"/>
          <w:iCs w:val="false"/>
          <w:sz w:val="32"/>
          <w:szCs w:val="32"/>
        </w:rPr>
        <w:t xml:space="preserve"> ประกอบด้วย T1 การแข่งขันด้านต้นทุนจากผู้ผลิตต่างประเทศและสินค้านำเข้าราคาต่ำ T2 อำนาจต่อรองของผู้ซื้อในอุตสาหกรรมรับจ้างผลิตและค้าปลีก T3 กำลังซื้อในประเทศที่อ่อนแอและการเปลี่ยนนโยบายจัดซื้อของลูกค้ารายใหญ่ T4 ความไม่แน่นอนจากมาตรการภาษีการค้าและอัตราแลกเปลี่ยน และ T5 การหดตัวเชิงโครงสร้างของอุตสาหกรรมและช่องว่างด้านเทคโนโลยี</w:t>
      </w:r>
    </w:p>
    <w:p>
      <w:pPr>
        <w:pStyle w:val="Heading3"/>
        <w:keepNext/>
        <w:spacing w:after="70" w:before="150"/>
      </w:pPr>
      <w:r>
        <w:rPr>
          <w:rFonts w:ascii="TH Sarabun New" w:cs="TH Sarabun New" w:eastAsia="TH Sarabun New" w:hAnsi="TH Sarabun New"/>
          <w:b/>
          <w:bCs/>
          <w:i w:val="false"/>
          <w:iCs w:val="false"/>
          <w:sz w:val="32"/>
          <w:szCs w:val="32"/>
        </w:rPr>
        <w:t xml:space="preserve">3.1.5 บทสรุปการวิเคราะห์ปัจจัยภายนอก (EFAS)</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ตาราง EFAS จัดทำตามหลักเกณฑ์ในบทเรียนบทที่ 4 คือน้ำหนักสะท้อน </w:t>
      </w:r>
      <w:r>
        <w:rPr>
          <w:rFonts w:ascii="TH Sarabun New" w:cs="TH Sarabun New" w:eastAsia="TH Sarabun New" w:hAnsi="TH Sarabun New"/>
          <w:b/>
          <w:bCs/>
          <w:i w:val="false"/>
          <w:iCs w:val="false"/>
          <w:sz w:val="32"/>
          <w:szCs w:val="32"/>
        </w:rPr>
        <w:t xml:space="preserve">ความสำคัญ</w:t>
      </w:r>
      <w:r>
        <w:rPr>
          <w:rFonts w:ascii="TH Sarabun New" w:cs="TH Sarabun New" w:eastAsia="TH Sarabun New" w:hAnsi="TH Sarabun New"/>
          <w:b w:val="false"/>
          <w:bCs w:val="false"/>
          <w:i w:val="false"/>
          <w:iCs w:val="false"/>
          <w:sz w:val="32"/>
          <w:szCs w:val="32"/>
        </w:rPr>
        <w:t xml:space="preserve"> ของปัจจัยต่อตำแหน่งเชิงกลยุทธ์ ผลรวมเท่ากับ 1.00 ส่วนคะแนน (Rating) ใช้มาตรา 1–5 สะท้อน </w:t>
      </w:r>
      <w:r>
        <w:rPr>
          <w:rFonts w:ascii="TH Sarabun New" w:cs="TH Sarabun New" w:eastAsia="TH Sarabun New" w:hAnsi="TH Sarabun New"/>
          <w:b/>
          <w:bCs/>
          <w:i w:val="false"/>
          <w:iCs w:val="false"/>
          <w:sz w:val="32"/>
          <w:szCs w:val="32"/>
        </w:rPr>
        <w:t xml:space="preserve">คุณภาพการตอบสนองของบริษัทต่อปัจจัยนั้น</w:t>
      </w:r>
      <w:r>
        <w:rPr>
          <w:rFonts w:ascii="TH Sarabun New" w:cs="TH Sarabun New" w:eastAsia="TH Sarabun New" w:hAnsi="TH Sarabun New"/>
          <w:b w:val="false"/>
          <w:bCs w:val="false"/>
          <w:i w:val="false"/>
          <w:iCs w:val="false"/>
          <w:sz w:val="32"/>
          <w:szCs w:val="32"/>
        </w:rPr>
        <w:t xml:space="preserve"> โดย 5 คือดีเด่น 3 คือปานกลาง และ 1 คือแย่มาก ข้อผิดพลาดที่แก้ไขในรายงานฉบับนี้คือการให้คะแนน 5 เพราะปัจจัยนั้นสำคัญ ซึ่งเป็นการนำความสำคัญมาใส่ซ้ำในช่อง Rating</w:t>
      </w:r>
    </w:p>
    <w:p>
      <w:pPr>
        <w:keepNext/>
        <w:spacing w:after="50" w:before="130"/>
        <w:jc w:val="left"/>
      </w:pPr>
      <w:r>
        <w:rPr>
          <w:rFonts w:ascii="TH Sarabun New" w:cs="TH Sarabun New" w:eastAsia="TH Sarabun New" w:hAnsi="TH Sarabun New"/>
          <w:b/>
          <w:bCs/>
          <w:i w:val="false"/>
          <w:iCs w:val="false"/>
          <w:sz w:val="28"/>
          <w:szCs w:val="28"/>
        </w:rPr>
        <w:t xml:space="preserve">ตารางที่ 8  สรุปการวิเคราะห์ปัจจัยภายนอก (EFAS Matrix) ของ PG</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480"/>
        <w:gridCol w:w="709"/>
        <w:gridCol w:w="658"/>
        <w:gridCol w:w="709"/>
        <w:gridCol w:w="4912"/>
      </w:tblGrid>
      <w:tr>
        <w:trPr>
          <w:tblHeader/>
        </w:trPr>
        <w:tc>
          <w:tcPr>
            <w:tcW w:type="dxa" w:w="248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ปัจจัยภายนอก (External Factors)</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น้ำหนัก</w:t>
            </w:r>
          </w:p>
        </w:tc>
        <w:tc>
          <w:tcPr>
            <w:tcW w:type="dxa" w:w="65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Rating</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คะแนน</w:t>
            </w:r>
          </w:p>
        </w:tc>
        <w:tc>
          <w:tcPr>
            <w:tcW w:type="dxa" w:w="491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เหตุผลของน้ำหนักและคะแนน</w:t>
            </w:r>
          </w:p>
        </w:tc>
      </w:tr>
      <w:tr>
        <w:tc>
          <w:tcPr>
            <w:tcW w:type="dxa" w:w="9468"/>
            <w:gridSpan w:val="5"/>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โอกาส (Opportunities)</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O1 อุปสงค์เครื่องแบบและชุดทำงานเชิงฟังก์ชันในกลุ่มการแพทย์ บริการ และอุตสาหกรรม</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0.12</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0.36</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น้ำหนักสูงสุดในกลุ่มโอกาส เพราะเป็นตลาดเดียวที่ตรงกับทรัพยากรของ PG มากที่สุด คะแนน 3 เพราะเริ่มขยายตลาดชุดทางการแพทย์แล้ว แต่ยังไม่ยกเป็นแกนธุรกิจ ไม่มีหน่วยงานรับผิดชอบเฉพาะ และยังไม่เปิดเผยยอดขายกลุ่มนี้แยก</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O2 กฎเกณฑ์และเกณฑ์จัดซื้อสากลที่ให้ค่ากับการตรวจสอบย้อนกลับและเศรษฐกิจหมุนเวียน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0.09</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0.27</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กระทบเฉพาะยอดขายส่งออก 28.51% แต่กำหนดการเข้าถึงลูกค้ามูลค่าสูง คะแนน 3 เพราะมี ISO 14001 GRS แล้ว แต่ยังไม่มีระบบข้อมูลระดับ SKU และยังไม่แปลงเป็นข้อเสนอขาย</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O3 การกลับมาขยายตัวของการส่งออกเครื่องนุ่งห่มไทยในบางหมวด</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0.07</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0.14</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ฟื้นตัวเฉพาะบางหมวดและยังไม่ยั่งยืน คะแนน 2 เพราะในปีที่อุตสาหกรรมขยายตัว 5.2–5.61% ยอดส่งออกของ PG กลับลด 34.36% แสดงว่าตอบสนองแย่กว่าค่าเฉลี่ยอุตสาหกรรม</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O4 การเปลี่ยนโครงสร้างผู้ถือหุ้นและการเข้าถึงเครือข่ายเครือสหพัฒน์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น้ำหนักสูงเพราะเปลี่ยนเงื่อนไขทั้งเงินทุน การกำกับดูแล และการเข้าถึงลูกค้า คะแนน 3 เพราะตอบสนองในระดับโครงสร้างแล้วโดยแต่งตั้งกรรมการใหม่ 4 ท่าน แต่ยังไม่มีผลลัพธ์เชิงพาณิชย์ที่วัดได้</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O5 ต้นทุนการเข้าถึงเครื่องมือดิจิทัลสำหรับงาน B2B ที่ลดลง</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0.05</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น้ำหนักต่ำเพราะเป็นปัจจัยสนับสนุน คะแนน 2 เพราะการลงทุนเทคโนโลยีมุ่งไปที่ระบบกึ่งอัตโนมัติในการผลิต ยังไม่มีการลงทุนระบบงานขายและการคิดต้นทุน</w:t>
            </w:r>
          </w:p>
        </w:tc>
      </w:tr>
      <w:tr>
        <w:tc>
          <w:tcPr>
            <w:tcW w:type="dxa" w:w="9468"/>
            <w:gridSpan w:val="5"/>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อุปสรรค (Threats)</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T1 การแข่งขันด้านต้นทุนจากผู้ผลิตต่างประเทศและสินค้านำเข้าราคาต่ำ</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น้ำหนักสูงสุดเพราะกำหนดเพดานอัตรากำไรขั้นต้นโดยตรง คะแนน 2 เพราะยังตอบด้วยการลดต้นทุนและเสนอสินค้าหลากหลายขึ้น ซึ่งเป็นการตอบในกติกาของคู่แข่ง ไม่ใช่การเปลี่ยนสนาม</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T2 อำนาจต่อรองของผู้ซื้อในอุตสาหกรรมรับจ้างผลิตและค้าปลีก</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0.13</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0.26</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แรงกดดันระดับ 5/5 คะแนน 2 เพราะยังพึ่งความสัมพันธ์กับผู้จัดจำหน่ายรายเดียวเป็นกลไกหลัก ไม่มีสัญญาระยะยาวหรือกลไกปรับราคาที่เปิดเผย</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T3 กำลังซื้อในประเทศที่อ่อนแอและการเปลี่ยนนโยบายจัดซื้อของลูกค้ารายใหญ่</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0.12</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0.24</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กระทบยอดขาย 71.49% คะแนน 2 เพราะผลกระทบเกิดจริงแล้ว ยอดขายในประเทศลด 15.35% และยังลดต่อเนื่องในครึ่งแรกปี 2569 มาตรการที่ใช้ตอบยังชดเชยไม่ได้</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T4 ความไม่แน่นอนจากมาตรการภาษีการค้าและอัตราแลกเปลี่ยน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0.09</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0.27</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กระทบเฉพาะส่วนส่งออก คะแนน 3 เพราะมีนโยบายบริหารความเสี่ยงอัตราแลกเปลี่ยนชัดเจน ทั้ง natural hedging บัญชีเงินฝากสกุลต่างประเทศ และสัญญาซื้อขายล่วงหน้า</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T5 การหดตัวเชิงโครงสร้างของอุตสาหกรรมและช่องว่างด้านเทคโนโลยี</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0.08</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0.16</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แรงกดดันระยะยาวที่เปลี่ยนช้า คะแนน 2 เพราะเพิ่งเริ่มระบบกึ่งอัตโนมัติ ขณะที่คู่แข่งมีโรงงานดิจิทัลแล้ว</w:t>
            </w:r>
          </w:p>
        </w:tc>
      </w:tr>
      <w:tr>
        <w:tc>
          <w:tcPr>
            <w:tcW w:type="dxa" w:w="2480"/>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w:t>
            </w: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w:t>
            </w:r>
          </w:p>
        </w:tc>
        <w:tc>
          <w:tcPr>
            <w:tcW w:type="dxa" w:w="658"/>
            <w:shd w:fill="FCE4D6" w:color="auto" w:val="clear"/>
            <w:tcMar>
              <w:top w:type="dxa" w:w="10"/>
              <w:left w:type="dxa" w:w="60"/>
              <w:bottom w:type="dxa" w:w="10"/>
              <w:right w:type="dxa" w:w="60"/>
            </w:tcMar>
            <w:vAlign w:val="center"/>
          </w:tcPr>
          <w:p>
            <w:pPr>
              <w:spacing w:after="10" w:line="228"/>
              <w:jc w:val="center"/>
            </w:pP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2.40</w:t>
            </w:r>
          </w:p>
        </w:tc>
        <w:tc>
          <w:tcPr>
            <w:tcW w:type="dxa" w:w="4912"/>
            <w:shd w:fill="FCE4D6" w:color="auto" w:val="clear"/>
            <w:tcMar>
              <w:top w:type="dxa" w:w="10"/>
              <w:left w:type="dxa" w:w="60"/>
              <w:bottom w:type="dxa" w:w="10"/>
              <w:right w:type="dxa" w:w="60"/>
            </w:tcMar>
            <w:vAlign w:val="center"/>
          </w:tcPr>
          <w:p>
            <w:pPr>
              <w:spacing w:after="10" w:line="228"/>
              <w:jc w:val="left"/>
            </w:pPr>
          </w:p>
        </w:tc>
      </w:tr>
    </w:tbl>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น้ำหนักและคะแนนเป็นการประเมินของผู้จัดทำจากหลักฐานในหัวข้อ 3.1.1–3.1.3 ไม่ใช่ตัวเลขที่บริษัทประกาศ</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การแปลผล</w:t>
      </w:r>
      <w:r>
        <w:rPr>
          <w:rFonts w:ascii="TH Sarabun New" w:cs="TH Sarabun New" w:eastAsia="TH Sarabun New" w:hAnsi="TH Sarabun New"/>
          <w:b w:val="false"/>
          <w:bCs w:val="false"/>
          <w:i w:val="false"/>
          <w:iCs w:val="false"/>
          <w:sz w:val="32"/>
          <w:szCs w:val="32"/>
        </w:rPr>
        <w:t xml:space="preserve"> คะแนนรวม 2.40 ต่ำกว่าค่ากลาง 3.00 หมายความว่า PG ตอบสนองต่อปัจจัยภายนอกต่ำกว่าระดับปานกลาง โอกาสคะแนนสูงสุดคือ O1 ที่ 0.36 ซึ่งเป็นทั้งโอกาสที่ใหญ่ที่สุดและที่ใช้ประโยชน์ไม่เต็มที่ ส่วนอุปสรรคที่มีผลสูงสุดคือ T1 ที่ 0.30 และ T2 ที่ 0.26 ข้อสังเกตที่สำคัญกว่าตัวเลขรวมคือ </w:t>
      </w:r>
      <w:r>
        <w:rPr>
          <w:rFonts w:ascii="TH Sarabun New" w:cs="TH Sarabun New" w:eastAsia="TH Sarabun New" w:hAnsi="TH Sarabun New"/>
          <w:b/>
          <w:bCs/>
          <w:i w:val="false"/>
          <w:iCs w:val="false"/>
          <w:sz w:val="32"/>
          <w:szCs w:val="32"/>
        </w:rPr>
        <w:t xml:space="preserve">รูปแบบของคะแนน</w:t>
      </w:r>
      <w:r>
        <w:rPr>
          <w:rFonts w:ascii="TH Sarabun New" w:cs="TH Sarabun New" w:eastAsia="TH Sarabun New" w:hAnsi="TH Sarabun New"/>
          <w:b w:val="false"/>
          <w:bCs w:val="false"/>
          <w:i w:val="false"/>
          <w:iCs w:val="false"/>
          <w:sz w:val="32"/>
          <w:szCs w:val="32"/>
        </w:rPr>
        <w:t xml:space="preserve"> ปัจจัยที่ได้ 2 ต้องตอบด้วยการเปลี่ยนตำแหน่งเชิงกลยุทธ์ ส่วนปัจจัยที่ได้ 3 ตอบด้วยเครื่องมือบริหารที่มีอยู่แล้ว จึงชี้ว่าปัญหาของ PG ไม่ใช่การขาดเครื่องมือ แต่คือยังไม่ได้เลือกสนามที่เครื่องมือเหล่านั้นจะสร้างมูลค่าได้</w:t>
      </w:r>
    </w:p>
    <w:p>
      <w:pPr>
        <w:pStyle w:val="Heading2"/>
        <w:keepNext/>
        <w:spacing w:after="60" w:before="140"/>
      </w:pPr>
      <w:r>
        <w:rPr>
          <w:rFonts w:ascii="TH Sarabun New" w:cs="TH Sarabun New" w:eastAsia="TH Sarabun New" w:hAnsi="TH Sarabun New"/>
          <w:b/>
          <w:bCs/>
          <w:i w:val="false"/>
          <w:iCs w:val="false"/>
          <w:sz w:val="32"/>
          <w:szCs w:val="32"/>
        </w:rPr>
        <w:t xml:space="preserve">3.2 การวิเคราะห์สภาพแวดล้อมภายใน</w:t>
      </w:r>
    </w:p>
    <w:p>
      <w:pPr>
        <w:pStyle w:val="Heading3"/>
        <w:keepNext/>
        <w:spacing w:after="70" w:before="150"/>
      </w:pPr>
      <w:r>
        <w:rPr>
          <w:rFonts w:ascii="TH Sarabun New" w:cs="TH Sarabun New" w:eastAsia="TH Sarabun New" w:hAnsi="TH Sarabun New"/>
          <w:b/>
          <w:bCs/>
          <w:i w:val="false"/>
          <w:iCs w:val="false"/>
          <w:sz w:val="32"/>
          <w:szCs w:val="32"/>
        </w:rPr>
        <w:t xml:space="preserve">3.2.1 การวิเคราะห์ทรัพยากรภายในองค์กร</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ทรัพยากรที่มีตัวตน</w:t>
      </w:r>
      <w:r>
        <w:rPr>
          <w:rFonts w:ascii="TH Sarabun New" w:cs="TH Sarabun New" w:eastAsia="TH Sarabun New" w:hAnsi="TH Sarabun New"/>
          <w:b w:val="false"/>
          <w:bCs w:val="false"/>
          <w:i w:val="false"/>
          <w:iCs w:val="false"/>
          <w:sz w:val="32"/>
          <w:szCs w:val="32"/>
        </w:rPr>
        <w:t xml:space="preserve"> ฐานการผลิตสองแห่งที่ควบคุมกระบวนการได้ตั้งแต่ถักผ้าจนถึงเสื้อผ้าสำเร็จรูป ที่ดิน อาคารและอุปกรณ์สุทธิ 165.18 ล้านบาท (ร้อยละ 10.93 ของสินทรัพย์รวม) ปี 2568 ซื้อเครื่องจักรเพิ่ม 15.96 ล้านบาท กำลังการผลิตรวม 2,712,000 ชิ้นต่อปี (รวมผู้รับจ้างผลิต) สินทรัพย์ทางการเงิน 873.69 ล้านบาทซึ่งสร้างเงินปันผล 28.40 ล้านบาท และระบบผลิตไฟฟ้าจากแสงอาทิตย์ 1,202.75 กิโลวัตต์พีก</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ทรัพยากรที่ไม่มีตัวตน</w:t>
      </w:r>
      <w:r>
        <w:rPr>
          <w:rFonts w:ascii="TH Sarabun New" w:cs="TH Sarabun New" w:eastAsia="TH Sarabun New" w:hAnsi="TH Sarabun New"/>
          <w:b w:val="false"/>
          <w:bCs w:val="false"/>
          <w:i w:val="false"/>
          <w:iCs w:val="false"/>
          <w:sz w:val="32"/>
          <w:szCs w:val="32"/>
        </w:rPr>
        <w:t xml:space="preserve"> มาตรฐานและใบรับรอง ได้แก่ ISO 9001, ISO 14001, Global Recycled Standard (GRS), ฉลาก COOL MODE, ฉลากประหยัดไฟเบอร์ 5 และการควบคุมสารเคมีตามแนวทาง REACH ผ่านคู่ค้า นวัตกรรมวัสดุเชิงฟังก์ชัน ได้แก่ เส้นใย SORONA by DuPont ที่ลดการใช้พลังงานฟอสซิลได้ถึงร้อยละ 37 ผ้า DRY TECH เสื้อ COOL MODE ผลิตภัณฑ์รีไซเคิลและอัพไซเคิล และชุดสครับทางการแพทย์ที่ยับยั้งแบคทีเรีย รวมถึงชื่อเสียงด้านธรรมาภิบาลและความสัมพันธ์ในเครือสหพัฒน์</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ทรัพยากรบุคคลและองค์กร</w:t>
      </w:r>
      <w:r>
        <w:rPr>
          <w:rFonts w:ascii="TH Sarabun New" w:cs="TH Sarabun New" w:eastAsia="TH Sarabun New" w:hAnsi="TH Sarabun New"/>
          <w:b w:val="false"/>
          <w:bCs w:val="false"/>
          <w:i w:val="false"/>
          <w:iCs w:val="false"/>
          <w:sz w:val="32"/>
          <w:szCs w:val="32"/>
        </w:rPr>
        <w:t xml:space="preserve"> พนักงาน 715 คน ฐานคู่ค้า 222 ราย (ในประเทศร้อยละ 77) พร้อมระบบประเมินคู่ค้าประจำปีแบ่งเกรด A–C</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ความสามารถที่มีอยู่จริง</w:t>
      </w:r>
      <w:r>
        <w:rPr>
          <w:rFonts w:ascii="TH Sarabun New" w:cs="TH Sarabun New" w:eastAsia="TH Sarabun New" w:hAnsi="TH Sarabun New"/>
          <w:b w:val="false"/>
          <w:bCs w:val="false"/>
          <w:i w:val="false"/>
          <w:iCs w:val="false"/>
          <w:sz w:val="32"/>
          <w:szCs w:val="32"/>
        </w:rPr>
        <w:t xml:space="preserve"> สี่กลุ่ม คือ (1) การบูรณาการตั้งแต่ผ้าถักถึงเสื้อผ้าสำเร็จรูป ซึ่งเป็นเงื่อนไขจำเป็นของงานที่มีข้อกำหนดเชิงเทคนิค (2) การพัฒนาผลิตภัณฑ์เชิงฟังก์ชัน ซึ่งพิสูจน์ได้จากการรับรองของหน่วยงานภายนอกและชุดสครับเฉพาะทาง มิใช่เพียงการออกแบบลายและสีตามฤดูกาล (3) การรับงานเครื่องแบบองค์กรให้สถาบันการเงิน ราชการ รัฐวิสาหกิจ เอกชน สถาบันการศึกษา และในปี 2568 ขยายสู่เครื่องแบบทางการแพทย์ และ (4) การบริหารคู่ค้าและการจัดหา </w:t>
      </w:r>
      <w:r>
        <w:rPr>
          <w:rFonts w:ascii="TH Sarabun New" w:cs="TH Sarabun New" w:eastAsia="TH Sarabun New" w:hAnsi="TH Sarabun New"/>
          <w:b/>
          <w:bCs/>
          <w:i w:val="false"/>
          <w:iCs w:val="false"/>
          <w:sz w:val="32"/>
          <w:szCs w:val="32"/>
        </w:rPr>
        <w:t xml:space="preserve">ความสามารถที่ยังไม่มีและเป็นเงื่อนไขของกลยุทธ์ที่เสนอ</w:t>
      </w:r>
      <w:r>
        <w:rPr>
          <w:rFonts w:ascii="TH Sarabun New" w:cs="TH Sarabun New" w:eastAsia="TH Sarabun New" w:hAnsi="TH Sarabun New"/>
          <w:b w:val="false"/>
          <w:bCs w:val="false"/>
          <w:i w:val="false"/>
          <w:iCs w:val="false"/>
          <w:sz w:val="32"/>
          <w:szCs w:val="32"/>
        </w:rPr>
        <w:t xml:space="preserve"> ได้แก่ การวิเคราะห์กำไรระดับลูกค้าและ SKU ก่อนรับงาน การขายแบบ Account-based B2B และการบริหารงานประมูล บริการเติมสินค้าตามสัญญา และข้อมูลตรวจสอบย้อนกลับระดับล็อต ทั้งสี่ข้อถูกแปลงเป็นโครงการในบทที่ 5</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ข้อจำกัดของข้อมูล</w:t>
      </w:r>
      <w:r>
        <w:rPr>
          <w:rFonts w:ascii="TH Sarabun New" w:cs="TH Sarabun New" w:eastAsia="TH Sarabun New" w:hAnsi="TH Sarabun New"/>
          <w:b w:val="false"/>
          <w:bCs w:val="false"/>
          <w:i w:val="false"/>
          <w:iCs w:val="false"/>
          <w:sz w:val="32"/>
          <w:szCs w:val="32"/>
        </w:rPr>
        <w:t xml:space="preserve"> บริษัทไม่เปิดเผยตัวชี้วัดผลิตภาพระดับปฏิบัติการ เช่น อัตราส่งมอบตรงเวลา อัตราของเสีย หรือผลิตภาพแรงงาน รายงานจึงเทียบความสามารถด้านการผลิตเชิงปริมาณกับคู่แข่งไม่ได้ (ดูหัวข้อ 6.1)</w:t>
      </w:r>
    </w:p>
    <w:p>
      <w:pPr>
        <w:pStyle w:val="Heading3"/>
        <w:keepNext/>
        <w:spacing w:after="70" w:before="150"/>
      </w:pPr>
      <w:r>
        <w:rPr>
          <w:rFonts w:ascii="TH Sarabun New" w:cs="TH Sarabun New" w:eastAsia="TH Sarabun New" w:hAnsi="TH Sarabun New"/>
          <w:b/>
          <w:bCs/>
          <w:i w:val="false"/>
          <w:iCs w:val="false"/>
          <w:sz w:val="32"/>
          <w:szCs w:val="32"/>
        </w:rPr>
        <w:t xml:space="preserve">3.2.2 ความสามารถหลักขององค์กร</w:t>
      </w:r>
    </w:p>
    <w:p>
      <w:pPr>
        <w:keepNext/>
        <w:spacing w:after="50" w:before="130"/>
        <w:jc w:val="left"/>
      </w:pPr>
      <w:r>
        <w:rPr>
          <w:rFonts w:ascii="TH Sarabun New" w:cs="TH Sarabun New" w:eastAsia="TH Sarabun New" w:hAnsi="TH Sarabun New"/>
          <w:b/>
          <w:bCs/>
          <w:i w:val="false"/>
          <w:iCs w:val="false"/>
          <w:sz w:val="28"/>
          <w:szCs w:val="28"/>
        </w:rPr>
        <w:t xml:space="preserve">ตารางที่ 9  การวิเคราะห์ทรัพยากรและความสามารถของ PG ด้วยกรอบ VRIO</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530"/>
        <w:gridCol w:w="709"/>
        <w:gridCol w:w="911"/>
        <w:gridCol w:w="911"/>
        <w:gridCol w:w="1113"/>
        <w:gridCol w:w="3294"/>
      </w:tblGrid>
      <w:tr>
        <w:trPr>
          <w:tblHeader/>
        </w:trPr>
        <w:tc>
          <w:tcPr>
            <w:tcW w:type="dxa" w:w="253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ทรัพยากร / ความสามารถ</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V</w:t>
            </w:r>
          </w:p>
        </w:tc>
        <w:tc>
          <w:tcPr>
            <w:tcW w:type="dxa" w:w="91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R</w:t>
            </w:r>
          </w:p>
        </w:tc>
        <w:tc>
          <w:tcPr>
            <w:tcW w:type="dxa" w:w="91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I</w:t>
            </w:r>
          </w:p>
        </w:tc>
        <w:tc>
          <w:tcPr>
            <w:tcW w:type="dxa" w:w="111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O</w:t>
            </w:r>
          </w:p>
        </w:tc>
        <w:tc>
          <w:tcPr>
            <w:tcW w:type="dxa" w:w="329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ผลเชิงกลยุทธ์</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ฐานะการเงินแข็งแรงและสินทรัพย์ทางการเงินสูง (D/E 0.11 เท่า)</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ไม่</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ยังไม่เต็มที่</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ความได้เปรียบชั่วคราว เงินทุนลอกเลียนได้ คุณค่าเกิดเมื่อจัดสรรทุนไปสู่ธุรกิจหลัก</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ความสามารถบูรณาการผ้าถัก–ออกแบบ–แพตเทิร์น–ตัดเย็บในองค์กรเดียว</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ค่อนข้างหายาก</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ยาก</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ยังไม่เต็มที่</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ความได้เปรียบที่อาจยั่งยืน แต่ยังไม่ถูกจัดองค์กรให้แปลงเป็นอัตรากำไร</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ระบบมาตรฐานและใบรับรอง (ISO 9001, ISO 14001, GRS, COOL MODE, เบอร์ 5)</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ไม่</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ไม่</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ความเท่าเทียมในการแข่งขัน เป็นบัตรผ่านเข้าตลาด เพราะคู่แข่งอ้างอิงมีเทียบเท่าหรือมากกว่า</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วัสดุและผลิตภัณฑ์เชิงฟังก์ชัน (SORONA, DRY TECH, COOL MODE, ชุดสครับ)</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ยังไม่เต็มที่</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ความได้เปรียบชั่วคราว วัสดุบางรายการซื้อได้จากผู้ผลิตเดียวกัน สิ่งที่ลอกเลียนยากคือการผสมวัสดุกับการออกแบบและการผลิต</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ความสัมพันธ์กับเครือสหพัฒน์ I.C.C. และ SPI</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หายาก</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ยากมาก</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กำลังปรับ</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ความได้เปรียบที่อาจยั่งยืน แต่ปัจจุบันสร้างทั้งยอดขายและความเสี่ยงจากการกระจุกตัวไปพร้อมกัน</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ประสบการณ์และฐานลูกค้าเครื่องแบบองค์กรและชุดทางการแพทย์</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ยังไม่มีหน่วยงานเฉพาะ</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ความได้เปรียบชั่วคราว เป็นทรัพยากรที่ควรยกระดับเป็นความสามารถหลักตามกลยุทธ์ที่เสนอ</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ธรรมาภิบาลและชื่อเสียง (CGR ดีเลิศ 8 ปี, CAC)</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ปานกลาง</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ยาก</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ความได้เปรียบเล็กน้อย ลดต้นทุนความน่าเชื่อถือในการเข้าประมูลงานภาครัฐและองค์กรขนาดใหญ่</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ขนาดการผลิตและระบบดิจิทัลในโรงงาน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ต่ำกว่าคู่แข่ง</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ไม่</w:t>
            </w:r>
          </w:p>
        </w:tc>
        <w:tc>
          <w:tcPr>
            <w:tcW w:type="dxa" w:w="911"/>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ไม่</w:t>
            </w:r>
          </w:p>
        </w:tc>
        <w:tc>
          <w:tcPr>
            <w:tcW w:type="dxa" w:w="1113"/>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ไม่</w:t>
            </w:r>
          </w:p>
        </w:tc>
        <w:tc>
          <w:tcPr>
            <w:tcW w:type="dxa" w:w="329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ความเสียเปรียบในการแข่งขัน จึงไม่ควรเลือกสนามที่ตัดสินด้วยปัจจัยนี้</w:t>
            </w:r>
          </w:p>
        </w:tc>
      </w:tr>
    </w:tbl>
    <w:p>
      <w:pPr>
        <w:keepNext w:val="false"/>
        <w:spacing w:after="50" w:line="240"/>
        <w:ind w:firstLine="480"/>
        <w:jc w:val="both"/>
      </w:pPr>
      <w:r>
        <w:rPr>
          <w:rFonts w:ascii="TH Sarabun New" w:cs="TH Sarabun New" w:eastAsia="TH Sarabun New" w:hAnsi="TH Sarabun New"/>
          <w:b/>
          <w:bCs/>
          <w:i w:val="false"/>
          <w:iCs w:val="false"/>
          <w:sz w:val="32"/>
          <w:szCs w:val="32"/>
        </w:rPr>
        <w:t xml:space="preserve">ความสามารถหลัก</w:t>
      </w:r>
      <w:r>
        <w:rPr>
          <w:rFonts w:ascii="TH Sarabun New" w:cs="TH Sarabun New" w:eastAsia="TH Sarabun New" w:hAnsi="TH Sarabun New"/>
          <w:b w:val="false"/>
          <w:bCs w:val="false"/>
          <w:i w:val="false"/>
          <w:iCs w:val="false"/>
          <w:sz w:val="32"/>
          <w:szCs w:val="32"/>
        </w:rPr>
        <w:t xml:space="preserve"> ไม่ใช่ “การมีผลิตภัณฑ์หลากหลาย” อย่างที่ร่างฉบับก่อนระบุ เพราะความหลากหลายที่ไม่สร้างกำไรคือภาระ ความสามารถหลักที่แท้จริงคือ </w:t>
      </w:r>
      <w:r>
        <w:rPr>
          <w:rFonts w:ascii="TH Sarabun New" w:cs="TH Sarabun New" w:eastAsia="TH Sarabun New" w:hAnsi="TH Sarabun New"/>
          <w:b/>
          <w:bCs/>
          <w:i w:val="false"/>
          <w:iCs w:val="false"/>
          <w:sz w:val="32"/>
          <w:szCs w:val="32"/>
        </w:rPr>
        <w:t xml:space="preserve">การบูรณาการวัสดุ คุณสมบัติเชิงฟังก์ชัน การออกแบบ การควบคุมคุณภาพ และการผลิต ให้ตอบโจทย์การใช้งานของลูกค้าองค์กรได้ในองค์กรเดียว</w:t>
      </w:r>
      <w:r>
        <w:rPr>
          <w:rFonts w:ascii="TH Sarabun New" w:cs="TH Sarabun New" w:eastAsia="TH Sarabun New" w:hAnsi="TH Sarabun New"/>
          <w:b w:val="false"/>
          <w:bCs w:val="false"/>
          <w:i w:val="false"/>
          <w:iCs w:val="false"/>
          <w:sz w:val="32"/>
          <w:szCs w:val="32"/>
        </w:rPr>
        <w:t xml:space="preserve"> ซึ่งผ่านเกณฑ์ V และ R และผ่าน I ระดับหนึ่ง แต่ยังไม่ผ่าน O เพราะขาดโครงสร้างองค์กร ระบบวัดผล และกระบวนการขายที่รองรับ</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ความสามารถที่โดดเด่นซึ่งควรสร้าง</w:t>
      </w:r>
      <w:r>
        <w:rPr>
          <w:rFonts w:ascii="TH Sarabun New" w:cs="TH Sarabun New" w:eastAsia="TH Sarabun New" w:hAnsi="TH Sarabun New"/>
          <w:b w:val="false"/>
          <w:bCs w:val="false"/>
          <w:i w:val="false"/>
          <w:iCs w:val="false"/>
          <w:sz w:val="32"/>
          <w:szCs w:val="32"/>
        </w:rPr>
        <w:t xml:space="preserve"> ปัจจุบัน PG </w:t>
      </w:r>
      <w:r>
        <w:rPr>
          <w:rFonts w:ascii="TH Sarabun New" w:cs="TH Sarabun New" w:eastAsia="TH Sarabun New" w:hAnsi="TH Sarabun New"/>
          <w:b/>
          <w:bCs/>
          <w:i w:val="false"/>
          <w:iCs w:val="false"/>
          <w:sz w:val="32"/>
          <w:szCs w:val="32"/>
        </w:rPr>
        <w:t xml:space="preserve">ยังไม่มี</w:t>
      </w:r>
      <w:r>
        <w:rPr>
          <w:rFonts w:ascii="TH Sarabun New" w:cs="TH Sarabun New" w:eastAsia="TH Sarabun New" w:hAnsi="TH Sarabun New"/>
          <w:b w:val="false"/>
          <w:bCs w:val="false"/>
          <w:i w:val="false"/>
          <w:iCs w:val="false"/>
          <w:sz w:val="32"/>
          <w:szCs w:val="32"/>
        </w:rPr>
        <w:t xml:space="preserve"> ความสามารถที่โดดเด่นซึ่งสร้างความได้เปรียบยั่งยืนได้จริง เพราะทุกความสามารถติดที่เกณฑ์ O การอ้าง “ประสบการณ์กว่า 45 ปี” และ “การผลิตให้แบรนด์ระดับโลก” ไม่ผ่านการทดสอบ เพราะคู่แข่งอ้างอิงทุกรายก็มีเช่นกันขณะที่ผลทางการเงินของ PG ด้อยกว่า สิ่งที่ควรสร้างภายในกรอบเวลาของแผนคือ </w:t>
      </w:r>
      <w:r>
        <w:rPr>
          <w:rFonts w:ascii="TH Sarabun New" w:cs="TH Sarabun New" w:eastAsia="TH Sarabun New" w:hAnsi="TH Sarabun New"/>
          <w:b/>
          <w:bCs/>
          <w:i w:val="false"/>
          <w:iCs w:val="false"/>
          <w:sz w:val="32"/>
          <w:szCs w:val="32"/>
        </w:rPr>
        <w:t xml:space="preserve">การออกแบบและส่งมอบโซลูชันเครื่องแบบตามภารกิจการใช้งานจริง พร้อมหลักฐานคุณสมบัติและความยั่งยืนระดับ SKU และล็อต และบริการเติมสินค้าตามสัญญา</w:t>
      </w:r>
      <w:r>
        <w:rPr>
          <w:rFonts w:ascii="TH Sarabun New" w:cs="TH Sarabun New" w:eastAsia="TH Sarabun New" w:hAnsi="TH Sarabun New"/>
          <w:b w:val="false"/>
          <w:bCs w:val="false"/>
          <w:i w:val="false"/>
          <w:iCs w:val="false"/>
          <w:sz w:val="32"/>
          <w:szCs w:val="32"/>
        </w:rPr>
        <w:t xml:space="preserve"> ซึ่งตารางที่ 7 ชี้ว่ายังไม่มีผู้เล่นรายใดทำได้ดี</w:t>
      </w:r>
    </w:p>
    <w:p>
      <w:pPr>
        <w:pStyle w:val="Heading3"/>
        <w:keepNext/>
        <w:spacing w:after="70" w:before="150"/>
      </w:pPr>
      <w:r>
        <w:rPr>
          <w:rFonts w:ascii="TH Sarabun New" w:cs="TH Sarabun New" w:eastAsia="TH Sarabun New" w:hAnsi="TH Sarabun New"/>
          <w:b/>
          <w:bCs/>
          <w:i w:val="false"/>
          <w:iCs w:val="false"/>
          <w:sz w:val="32"/>
          <w:szCs w:val="32"/>
        </w:rPr>
        <w:t xml:space="preserve">3.2.3 ความได้เปรียบทางการแข่งขันขององค์กร</w:t>
      </w:r>
    </w:p>
    <w:p>
      <w:pPr>
        <w:keepNext/>
        <w:spacing w:after="50" w:before="130"/>
        <w:jc w:val="left"/>
      </w:pPr>
      <w:r>
        <w:rPr>
          <w:rFonts w:ascii="TH Sarabun New" w:cs="TH Sarabun New" w:eastAsia="TH Sarabun New" w:hAnsi="TH Sarabun New"/>
          <w:b/>
          <w:bCs/>
          <w:i w:val="false"/>
          <w:iCs w:val="false"/>
          <w:sz w:val="28"/>
          <w:szCs w:val="28"/>
        </w:rPr>
        <w:t xml:space="preserve">ตารางที่ 10  การประเมินความได้เปรียบทางการแข่งขันแยกตามหน้าที่</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417"/>
        <w:gridCol w:w="5419"/>
        <w:gridCol w:w="2632"/>
      </w:tblGrid>
      <w:tr>
        <w:trPr>
          <w:tblHeader/>
        </w:trPr>
        <w:tc>
          <w:tcPr>
            <w:tcW w:type="dxa" w:w="141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หน้าที่</w:t>
            </w:r>
          </w:p>
        </w:tc>
        <w:tc>
          <w:tcPr>
            <w:tcW w:type="dxa" w:w="541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หลักฐานและการประเมิน</w:t>
            </w:r>
          </w:p>
        </w:tc>
        <w:tc>
          <w:tcPr>
            <w:tcW w:type="dxa" w:w="263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สรุป</w:t>
            </w:r>
          </w:p>
        </w:tc>
      </w:tr>
      <w:tr>
        <w:tc>
          <w:tcPr>
            <w:tcW w:type="dxa" w:w="141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การตลาดและการขาย</w:t>
            </w:r>
          </w:p>
        </w:tc>
        <w:tc>
          <w:tcPr>
            <w:tcW w:type="dxa" w:w="541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ในประเทศพึ่งพา I.C.C. เป็นผู้จัดจำหน่ายหลัก เสริมด้วยอีคอมเมิร์ซสำหรับ House Brand เอาต์เล็ต และการขายตรงเครื่องแบบให้องค์กร ส่งออกหลักไปสหรัฐฯ และอาเซียน จุดอ่อนคือไม่มีความสัมพันธ์และข้อมูลตรงกับผู้ใช้ปลายทาง และไม่ปรากฏทีมขายโครงการหรือระบบ CRM</w:t>
            </w:r>
          </w:p>
        </w:tc>
        <w:tc>
          <w:tcPr>
            <w:tcW w:type="dxa" w:w="26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ความเสียเปรียบเชิงเปรียบเทียบเมื่อวัดด้วยเกณฑ์ของสนามที่ 2</w:t>
            </w:r>
          </w:p>
        </w:tc>
      </w:tr>
      <w:tr>
        <w:tc>
          <w:tcPr>
            <w:tcW w:type="dxa" w:w="141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การผลิต</w:t>
            </w:r>
          </w:p>
        </w:tc>
        <w:tc>
          <w:tcPr>
            <w:tcW w:type="dxa" w:w="541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จุดแข็งคือการผลิตแบบบูรณาการจากผ้าถักถึงเสื้อผ้าสำเร็จรูปและการเริ่มใช้ระบบกึ่งอัตโนมัติ จุดอ่อนคือขนาดเล็กกว่าคู่แข่งหลายเท่า กำลังการผลิตถูกลดลง 31.7% ในสองปี และไม่เปิดเผยตัวชี้วัดประสิทธิภาพ ทำให้ยืนยันผลตอบแทนของการลงทุนเครื่องจักรไม่ได้</w:t>
            </w:r>
          </w:p>
        </w:tc>
        <w:tc>
          <w:tcPr>
            <w:tcW w:type="dxa" w:w="26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ได้เปรียบเฉพาะงานที่ต้องคุมผ้าและการตัดเย็บพร้อมกัน แต่เสียเปรียบในงานที่ตัดสินด้วยต้นทุนต่อชิ้น</w:t>
            </w:r>
          </w:p>
        </w:tc>
      </w:tr>
      <w:tr>
        <w:tc>
          <w:tcPr>
            <w:tcW w:type="dxa" w:w="141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การวิจัยและพัฒนาผลิตภัณฑ์</w:t>
            </w:r>
          </w:p>
        </w:tc>
        <w:tc>
          <w:tcPr>
            <w:tcW w:type="dxa" w:w="541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มีหลักฐานชัดเจนที่สุด ทั้ง SORONA, DRY TECH, COOL MODE, เบอร์ 5, GRS และชุดสครับเฉพาะทาง แต่ผลยังไม่ปรากฏในอัตรากำไรขั้นต้นที่ 21.40% ชี้ว่านวัตกรรมถูกใช้เป็นจุดขายเชิงภาพลักษณ์มากกว่าเหตุผลในการตั้งราคา</w:t>
            </w:r>
          </w:p>
        </w:tc>
        <w:tc>
          <w:tcPr>
            <w:tcW w:type="dxa" w:w="26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ได้เปรียบด้านความสามารถ แต่ยังไม่ได้เปรียบด้านผลลัพธ์</w:t>
            </w:r>
          </w:p>
        </w:tc>
      </w:tr>
      <w:tr>
        <w:tc>
          <w:tcPr>
            <w:tcW w:type="dxa" w:w="141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การจัดหาและห่วงโซ่อุปทาน</w:t>
            </w:r>
          </w:p>
        </w:tc>
        <w:tc>
          <w:tcPr>
            <w:tcW w:type="dxa" w:w="541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คู่ค้า 222 รายไม่มีรายใดเกิน 10% ของยอดจัดซื้อ พร้อมระบบประเมินคู่ค้าและการควบคุมสารเคมีตามมาตรฐานสากล อำนาจต่อรองของผู้ขายจึงต่ำถึงปานกลาง ข้อจำกัดคือวัสดุเชิงฟังก์ชันที่มีใบรับรองบางชนิดยังต้องนำเข้า</w:t>
            </w:r>
          </w:p>
        </w:tc>
        <w:tc>
          <w:tcPr>
            <w:tcW w:type="dxa" w:w="26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ความได้เปรียบที่ใช้เป็นฐานรับประกันคุณภาพและกำหนดเวลาส่งมอบให้ลูกค้าองค์กรได้</w:t>
            </w:r>
          </w:p>
        </w:tc>
      </w:tr>
      <w:tr>
        <w:tc>
          <w:tcPr>
            <w:tcW w:type="dxa" w:w="141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ทรัพยากรมนุษย์</w:t>
            </w:r>
          </w:p>
        </w:tc>
        <w:tc>
          <w:tcPr>
            <w:tcW w:type="dxa" w:w="541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พนักงาน 715 คน มีนโยบายพัฒนาบุคลากร แต่การฟื้นตัวของกำไรครึ่งแรกปี 2569 มาจากการลดค่าใช้จ่ายพนักงานเป็นหลัก ซึ่งทำซ้ำได้จำกัดและเสี่ยงกัดกร่อนความสามารถ โดยเฉพาะเมื่อกลยุทธ์ต้องการทักษะใหม่ คือ วิศวกรการขาย นักเทคโนโลยีสิ่งทอ และผู้เชี่ยวชาญ IE/ข้อมูล</w:t>
            </w:r>
          </w:p>
        </w:tc>
        <w:tc>
          <w:tcPr>
            <w:tcW w:type="dxa" w:w="26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ยังไม่ใช่ความได้เปรียบ และเป็นความเสี่ยงที่ต้องบริหารระหว่างการฟื้นฟู</w:t>
            </w:r>
          </w:p>
        </w:tc>
      </w:tr>
      <w:tr>
        <w:tc>
          <w:tcPr>
            <w:tcW w:type="dxa" w:w="141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การเงินและการจัดสรรทุน</w:t>
            </w:r>
          </w:p>
        </w:tc>
        <w:tc>
          <w:tcPr>
            <w:tcW w:type="dxa" w:w="541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มิติความมั่นคง PG ได้เปรียบชัดเจนด้วย D/E 0.11 เท่าและสภาพคล่อง 10.71 เท่า แต่มิติการจัดสรรทุนเสียเปรียบ เพราะสินทรัพย์ 57.81% อยู่ในเงินลงทุนทางการเงิน ขณะที่ฐานสินทรัพย์การผลิตมีเพียง 10.93% และยังจ่ายเงินปันผล 48.0 ล้านบาทในปีที่ขาดทุนสุทธิ</w:t>
            </w:r>
          </w:p>
        </w:tc>
        <w:tc>
          <w:tcPr>
            <w:tcW w:type="dxa" w:w="26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มีความสามารถลงทุนสูงมาก แต่ยังไม่มีกลไกจัดสรรทุนที่เชื่อมกับผลตอบแทนจากธุรกิจหลัก เป็นเงื่อนไขที่กลยุทธ์ต้องแก้เป็นอันดับแรก</w:t>
            </w:r>
          </w:p>
        </w:tc>
      </w:tr>
    </w:tbl>
    <w:p>
      <w:pPr>
        <w:pStyle w:val="Heading3"/>
        <w:keepNext/>
        <w:spacing w:after="70" w:before="150"/>
      </w:pPr>
      <w:r>
        <w:rPr>
          <w:rFonts w:ascii="TH Sarabun New" w:cs="TH Sarabun New" w:eastAsia="TH Sarabun New" w:hAnsi="TH Sarabun New"/>
          <w:b/>
          <w:bCs/>
          <w:i w:val="false"/>
          <w:iCs w:val="false"/>
          <w:sz w:val="32"/>
          <w:szCs w:val="32"/>
        </w:rPr>
        <w:t xml:space="preserve">3.2.4 การวิเคราะห์จุดแข็งและจุดอ่อน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จุดแข็งและจุดอ่อนกลั่นมาจากหัวข้อ 3.2.1–3.2.3 โดยผ่านการทดสอบว่า </w:t>
      </w:r>
      <w:r>
        <w:rPr>
          <w:rFonts w:ascii="TH Sarabun New" w:cs="TH Sarabun New" w:eastAsia="TH Sarabun New" w:hAnsi="TH Sarabun New"/>
          <w:b/>
          <w:bCs/>
          <w:i w:val="false"/>
          <w:iCs w:val="false"/>
          <w:sz w:val="32"/>
          <w:szCs w:val="32"/>
        </w:rPr>
        <w:t xml:space="preserve">สิ่งที่บริษัทมีสร้างคุณค่าเชิงกลยุทธ์หรือสนับสนุนผลการแข่งขันจริงหรือไม่</w:t>
      </w:r>
      <w:r>
        <w:rPr>
          <w:rFonts w:ascii="TH Sarabun New" w:cs="TH Sarabun New" w:eastAsia="TH Sarabun New" w:hAnsi="TH Sarabun New"/>
          <w:b w:val="false"/>
          <w:bCs w:val="false"/>
          <w:i w:val="false"/>
          <w:iCs w:val="false"/>
          <w:sz w:val="32"/>
          <w:szCs w:val="32"/>
        </w:rPr>
        <w:t xml:space="preserve"> สิ่งที่เป็นเจ้าของแต่ไม่สร้างความแตกต่างจะไม่ถูกจัดเป็นจุดแข็ง</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จุดแข็ง</w:t>
      </w:r>
      <w:r>
        <w:rPr>
          <w:rFonts w:ascii="TH Sarabun New" w:cs="TH Sarabun New" w:eastAsia="TH Sarabun New" w:hAnsi="TH Sarabun New"/>
          <w:b w:val="false"/>
          <w:bCs w:val="false"/>
          <w:i w:val="false"/>
          <w:iCs w:val="false"/>
          <w:sz w:val="32"/>
          <w:szCs w:val="32"/>
        </w:rPr>
        <w:t xml:space="preserve"> S1 ฐานะการเงินแข็งแรงและแทบไม่มีภาระหนี้ S2 ความสามารถบูรณาการผ้าถัก–ออกแบบ–แพตเทิร์น–ตัดเย็บในโรงงานของตนเอง S3 ฐานผลิตภัณฑ์เชิงฟังก์ชันและมาตรฐานสิ่งแวดล้อมที่ได้รับการรับรองจากภายนอก S4 ประสบการณ์และฐานลูกค้าเครื่องแบบองค์กรและชุดทางการแพทย์ S5 ฐานคู่ค้าที่กระจายตัวและระบบบริหารคู่ค้า และ S6 ธรรมาภิบาลและชื่อเสียงที่ได้รับการรับรองต่อเนื่อง</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จุดอ่อน</w:t>
      </w:r>
      <w:r>
        <w:rPr>
          <w:rFonts w:ascii="TH Sarabun New" w:cs="TH Sarabun New" w:eastAsia="TH Sarabun New" w:hAnsi="TH Sarabun New"/>
          <w:b w:val="false"/>
          <w:bCs w:val="false"/>
          <w:i w:val="false"/>
          <w:iCs w:val="false"/>
          <w:sz w:val="32"/>
          <w:szCs w:val="32"/>
        </w:rPr>
        <w:t xml:space="preserve"> W1 ธุรกิจหลักขาดทุนเชิงปฏิบัติการต่อเนื่องสามปีและค่าใช้จ่ายขายและบริหารสูงกว่ากำไรขั้นต้น W2 การกระจุกตัวของลูกค้าและช่องทางจำหน่าย W3 การบริหารสินค้าคงเหลือและเงินทุนหมุนเวียน W4 ขนาดการผลิตและช่องว่างด้านผลิตภาพเทียบคู่แข่งระดับภูมิภาค W5 การจัดสรรทุนที่ยังไม่เชื่อมกับผลตอบแทนของธุรกิจหลัก และ W6 การขาดโครงสร้างองค์กรและระบบข้อมูลที่รองรับการทำกำไรรายกลุ่มลูกค้า</w:t>
      </w:r>
    </w:p>
    <w:p>
      <w:pPr>
        <w:pStyle w:val="Heading3"/>
        <w:keepNext/>
        <w:spacing w:after="70" w:before="150"/>
      </w:pPr>
      <w:r>
        <w:rPr>
          <w:rFonts w:ascii="TH Sarabun New" w:cs="TH Sarabun New" w:eastAsia="TH Sarabun New" w:hAnsi="TH Sarabun New"/>
          <w:b/>
          <w:bCs/>
          <w:i w:val="false"/>
          <w:iCs w:val="false"/>
          <w:sz w:val="32"/>
          <w:szCs w:val="32"/>
        </w:rPr>
        <w:t xml:space="preserve">3.2.5 บทสรุปการวิเคราะห์ปัจจัยภายใน (IFAS)</w:t>
      </w:r>
    </w:p>
    <w:p>
      <w:pPr>
        <w:keepNext/>
        <w:spacing w:after="50" w:before="130"/>
        <w:jc w:val="left"/>
      </w:pPr>
      <w:r>
        <w:rPr>
          <w:rFonts w:ascii="TH Sarabun New" w:cs="TH Sarabun New" w:eastAsia="TH Sarabun New" w:hAnsi="TH Sarabun New"/>
          <w:b/>
          <w:bCs/>
          <w:i w:val="false"/>
          <w:iCs w:val="false"/>
          <w:sz w:val="28"/>
          <w:szCs w:val="28"/>
        </w:rPr>
        <w:t xml:space="preserve">ตารางที่ 11  สรุปการวิเคราะห์ปัจจัยภายใน (IFAS Matrix) ของ PG</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480"/>
        <w:gridCol w:w="709"/>
        <w:gridCol w:w="658"/>
        <w:gridCol w:w="709"/>
        <w:gridCol w:w="4912"/>
      </w:tblGrid>
      <w:tr>
        <w:trPr>
          <w:tblHeader/>
        </w:trPr>
        <w:tc>
          <w:tcPr>
            <w:tcW w:type="dxa" w:w="248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ปัจจัยภายใน (Internal Factors)</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น้ำหนัก</w:t>
            </w:r>
          </w:p>
        </w:tc>
        <w:tc>
          <w:tcPr>
            <w:tcW w:type="dxa" w:w="65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Rating</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คะแนน</w:t>
            </w:r>
          </w:p>
        </w:tc>
        <w:tc>
          <w:tcPr>
            <w:tcW w:type="dxa" w:w="491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เหตุผลของน้ำหนักและคะแนน</w:t>
            </w:r>
          </w:p>
        </w:tc>
      </w:tr>
      <w:tr>
        <w:tc>
          <w:tcPr>
            <w:tcW w:type="dxa" w:w="9468"/>
            <w:gridSpan w:val="5"/>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จุดแข็ง (Strengths)</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S1 ฐานะการเงินแข็งแรงและแทบไม่มีภาระหนี้ (D/E 0.11 เท่า สภาพคล่อง 10.71 เท่า ส่วนของผู้ถือหุ้น 1,365.54 ล้านบาท)</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0.40</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เงื่อนไขที่ทำให้แผนฟื้นฟูเป็นไปได้โดยไม่ต้องก่อหนี้ คะแนน 4 เพราะรักษาวินัยทางการเงินได้ดีเยี่ยม แต่ยังไม่ได้ 5 เพราะยังไม่นำความสามารถทางการเงินมาพลิกฟื้นธุรกิจหลักอย่างเป็นระบบ</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S2 ความสามารถบูรณาการผ้าถัก–ออกแบบ–แพตเทิร์น–ตัดเย็บในโรงงานของตนเอง</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0.11</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0.44</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น้ำหนักสูงสุดในกลุ่มจุดแข็ง เพราะเป็นฐานของความแตกต่างในสนามที่เลือก และตารางที่ 7 แสดงว่า PG ได้คะแนนสูงกว่าคู่แข่งโดยตรง คะแนน 4 เพราะมีอยู่จริงและใช้งานอยู่ แต่ยังไม่ถูกจัดองค์กรให้แปลงเป็นอัตรากำไร</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S3 ฐานผลิตภัณฑ์เชิงฟังก์ชันและมาตรฐานสิ่งแวดล้อมที่ได้รับการรับรองจากภายนอก</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0.09</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0.36</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เงื่อนไขการเข้าถึงลูกค้าองค์กรและลูกค้า EU และเป็นหลักฐานที่ตอบเกณฑ์จัดซื้อได้ทันทีโดยไม่ต้องลงทุนเพิ่ม คะแนน 4 เพราะมีใบรับรองครบและมีผลิตภัณฑ์จริงหลายรายการ</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S4 ประสบการณ์และฐานลูกค้าเครื่องแบบองค์กรและชุดทางการแพทย์</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0.08</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0.24</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จุดตั้งต้นที่ทำให้ระยะเวลาสู่รายได้สั้นกว่าการเริ่มใหม่ คะแนน 3 เพราะมีลูกค้าอยู่จริงและขยายตลาดชุดทางการแพทย์แล้ว แต่ยังบริหารแบบงานรับจ้างทั่วไป ไม่มีทีมขายเฉพาะและไม่แยกวัดผลกำไร</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S5 ฐานคู่ค้าที่กระจายตัวและระบบบริหารคู่ค้า (222 ราย ไม่มีรายใดเกิน 10%)</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0.05</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ปัจจัยสนับสนุนที่ช่วยรับประกันคุณภาพและกำหนดเวลาส่งมอบต่อลูกค้าองค์กร คะแนน 4 เพราะมีระบบประเมินคู่ค้าและการควบคุมสารเคมีที่ใช้งานจริง</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S6 ธรรมาภิบาลและชื่อเสียงที่ได้รับการรับรองต่อเนื่อง (CGR ดีเลิศ 8 ปี, CAC)</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0.04</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0.16</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สร้างคุณค่าเฉพาะในงานประมูลและงานองค์กร ซึ่งเป็นกลุ่มเป้าหมายของกลยุทธ์ คะแนน 4 เพราะผลประเมินอยู่ระดับสูงต่อเนื่องยาวนาน</w:t>
            </w:r>
          </w:p>
        </w:tc>
      </w:tr>
      <w:tr>
        <w:tc>
          <w:tcPr>
            <w:tcW w:type="dxa" w:w="9468"/>
            <w:gridSpan w:val="5"/>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จุดอ่อน (Weaknesses)</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W1 ธุรกิจหลักขาดทุนเชิงปฏิบัติการต่อเนื่องสามปี และค่าใช้จ่ายขายและบริหารสูงกว่ากำไรขั้นต้น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0.16</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0.16</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น้ำหนักสูงสุดเพราะกำหนดความอยู่รอดของธุรกิจ คะแนน 1 เพราะสถานการณ์เลวลงต่อเนื่องสามปี และการปรับปรุงปี 2569 มาจากการลดค่าใช้จ่ายพนักงานซึ่งทำซ้ำได้จำกัด ไม่ใช่การยกระดับอัตรากำไรขั้นต้น</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W2 การกระจุกตัวของลูกค้าและช่องทางจำหน่าย (I.C.C. 40.12% ของยอดขายรวม และ 56.13% ของยอดขายในประเทศ)</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0.11</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0.22</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ความเสี่ยงเกิดจริงแล้วในปี 2568 เมื่อการเปลี่ยนนโยบายจัดซื้อของลูกค้าหลักทำให้ยอดขายในประเทศลด 15.35% คะแนน 2 เพราะมาตรการที่ใช้ตอบยังเล็กเกินกว่าจะชดเชยได้</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W3 การบริหารสินค้าคงเหลือและเงินทุนหมุนเวียน (337.11 ล้านบาท 184 วัน วงจรเงินสด 212 วัน สินค้าสำเร็จรูป 70.4%)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0.09</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0.18</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กดผลตอบแทนและเสี่ยงสินค้าล้าสมัย คะแนน 2 เพราะมูลค่าสินค้าคงเหลือลด 23.67 ล้านบาทในปี 2568 แต่จำนวนวันกลับยืดออก 35.6 วัน แสดงว่ามาจากยอดขายที่หายไปมากกว่าการบริหารที่ดีขึ้น</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W4 ขนาดการผลิตและช่องว่างด้านผลิตภาพเทียบคู่แข่งระดับภูมิภาค</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0.06</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0.12</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ข้อจำกัดถาวรที่แก้ไม่ได้ในกรอบเวลาของแผน คะแนน 2 เพราะตอบด้วยการลดกำลังการผลิตและเริ่มระบบกึ่งอัตโนมัติ แต่ยังไม่มีตัวชี้วัดผลิตภาพที่พิสูจน์ผลได้</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W5 การจัดสรรทุนที่ยังไม่เชื่อมกับผลตอบแทนของธุรกิจหลัก</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0.06</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0.12</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ปัญหาเชิงนโยบายที่แก้ได้เร็วหากมีการตัดสินใจ คะแนน 2 เพราะสัดส่วนสินทรัพย์ทางการเงินยังสูง 57.81% และจ่ายเงินปันผลในปีที่ขาดทุนสุทธิ</w:t>
            </w:r>
          </w:p>
        </w:tc>
      </w:tr>
      <w:tr>
        <w:tc>
          <w:tcPr>
            <w:tcW w:type="dxa" w:w="2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W6 การขาดโครงสร้างองค์กรและระบบข้อมูลที่รองรับการทำกำไรรายกลุ่มลูกค้า</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0.05</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491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สาเหตุเบื้องหลังของ W1 คะแนน 2 เพราะไม่ปรากฏหน่วยธุรกิจที่รับผิดชอบกำไรขาดทุนหรือการเปิดเผยกำไรแยกตามกลุ่ม</w:t>
            </w:r>
          </w:p>
        </w:tc>
      </w:tr>
      <w:tr>
        <w:tc>
          <w:tcPr>
            <w:tcW w:type="dxa" w:w="2480"/>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w:t>
            </w: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w:t>
            </w:r>
          </w:p>
        </w:tc>
        <w:tc>
          <w:tcPr>
            <w:tcW w:type="dxa" w:w="658"/>
            <w:shd w:fill="FCE4D6" w:color="auto" w:val="clear"/>
            <w:tcMar>
              <w:top w:type="dxa" w:w="10"/>
              <w:left w:type="dxa" w:w="60"/>
              <w:bottom w:type="dxa" w:w="10"/>
              <w:right w:type="dxa" w:w="60"/>
            </w:tcMar>
            <w:vAlign w:val="center"/>
          </w:tcPr>
          <w:p>
            <w:pPr>
              <w:spacing w:after="10" w:line="228"/>
              <w:jc w:val="center"/>
            </w:pP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2.70</w:t>
            </w:r>
          </w:p>
        </w:tc>
        <w:tc>
          <w:tcPr>
            <w:tcW w:type="dxa" w:w="4912"/>
            <w:shd w:fill="FCE4D6" w:color="auto" w:val="clear"/>
            <w:tcMar>
              <w:top w:type="dxa" w:w="10"/>
              <w:left w:type="dxa" w:w="60"/>
              <w:bottom w:type="dxa" w:w="10"/>
              <w:right w:type="dxa" w:w="60"/>
            </w:tcMar>
            <w:vAlign w:val="center"/>
          </w:tcPr>
          <w:p>
            <w:pPr>
              <w:spacing w:after="10" w:line="228"/>
              <w:jc w:val="left"/>
            </w:pPr>
          </w:p>
        </w:tc>
      </w:tr>
    </w:tbl>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การแปลผล</w:t>
      </w:r>
      <w:r>
        <w:rPr>
          <w:rFonts w:ascii="TH Sarabun New" w:cs="TH Sarabun New" w:eastAsia="TH Sarabun New" w:hAnsi="TH Sarabun New"/>
          <w:b w:val="false"/>
          <w:bCs w:val="false"/>
          <w:i w:val="false"/>
          <w:iCs w:val="false"/>
          <w:sz w:val="32"/>
          <w:szCs w:val="32"/>
        </w:rPr>
        <w:t xml:space="preserve"> คะแนนรวม 2.70 ต่ำกว่าค่ากลาง 3.00 จุดแข็งที่มีคะแนนถ่วงน้ำหนักสูงสุดคือ S2 ที่ 0.44 รองลงมา S1 ที่ 0.40 และ S3 ที่ 0.36 ส่วนจุดอ่อนเร่งด่วนที่สุดคือ W1 ซึ่งมีน้ำหนักสูงสุด 0.16 แต่ได้คะแนนต่ำสุดเพียง 1 โครงสร้างคะแนนชี้ว่า </w:t>
      </w:r>
      <w:r>
        <w:rPr>
          <w:rFonts w:ascii="TH Sarabun New" w:cs="TH Sarabun New" w:eastAsia="TH Sarabun New" w:hAnsi="TH Sarabun New"/>
          <w:b/>
          <w:bCs/>
          <w:i w:val="false"/>
          <w:iCs w:val="false"/>
          <w:sz w:val="32"/>
          <w:szCs w:val="32"/>
        </w:rPr>
        <w:t xml:space="preserve">จุดแข็งของ PG อยู่ในหมวดทรัพยากรและความสามารถทั้งหมด ขณะที่จุดอ่อนอยู่ในหมวดผลลัพธ์ โครงสร้างองค์กร และการจัดสรรทุน</w:t>
      </w:r>
      <w:r>
        <w:rPr>
          <w:rFonts w:ascii="TH Sarabun New" w:cs="TH Sarabun New" w:eastAsia="TH Sarabun New" w:hAnsi="TH Sarabun New"/>
          <w:b w:val="false"/>
          <w:bCs w:val="false"/>
          <w:i w:val="false"/>
          <w:iCs w:val="false"/>
          <w:sz w:val="32"/>
          <w:szCs w:val="32"/>
        </w:rPr>
        <w:t xml:space="preserve"> กล่าวคือ PG ไม่ได้ขาดสิ่งที่จะใช้แข่งขัน แต่ขาดกลไกแปลงสิ่งที่มีให้เป็นผลตอบแทน จึงไม่ใช่ปัญหาที่แก้ด้วยการซื้อเครื่องจักรหรือขยายสายผลิตภัณฑ์ แต่แก้ด้วยการเลือกสนาม จัดโครงสร้างองค์กรใหม่ และสร้างวินัยในการจัดสรรทุน</w:t>
      </w:r>
    </w:p>
    <w:p>
      <w:pPr>
        <w:pStyle w:val="Heading1"/>
        <w:keepNext/>
        <w:spacing w:after="80" w:before="180"/>
      </w:pPr>
      <w:r>
        <w:rPr>
          <w:rFonts w:ascii="TH Sarabun New" w:cs="TH Sarabun New" w:eastAsia="TH Sarabun New" w:hAnsi="TH Sarabun New"/>
          <w:b/>
          <w:bCs/>
          <w:i w:val="false"/>
          <w:iCs w:val="false"/>
          <w:sz w:val="36"/>
          <w:szCs w:val="36"/>
        </w:rPr>
        <w:t xml:space="preserve">4. การวิเคราะห์ปัจจัยเชิงกลยุทธ์</w:t>
      </w:r>
    </w:p>
    <w:p>
      <w:pPr>
        <w:pStyle w:val="Heading2"/>
        <w:keepNext/>
        <w:spacing w:after="60" w:before="140"/>
      </w:pPr>
      <w:r>
        <w:rPr>
          <w:rFonts w:ascii="TH Sarabun New" w:cs="TH Sarabun New" w:eastAsia="TH Sarabun New" w:hAnsi="TH Sarabun New"/>
          <w:b/>
          <w:bCs/>
          <w:i w:val="false"/>
          <w:iCs w:val="false"/>
          <w:sz w:val="32"/>
          <w:szCs w:val="32"/>
        </w:rPr>
        <w:t xml:space="preserve">4.1 บทสรุปการวิเคราะห์ปัจจัยเชิงกลยุทธ์ (SFAS Matrix)</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ตาราง SFAS ตามบทเรียนบทที่ 6 คัดเฉพาะปัจจัยสำคัญที่สุดจาก EFAS และ IFAS มารวมกัน แล้วกำหนดน้ำหนักใหม่ให้ผลรวม 1.00 พร้อมระบุกรอบเวลา รายงานคัดเลือก 12 จาก 23 ปัจจัย ตามเกณฑ์สามข้อ คือมีคะแนนถ่วงน้ำหนักสูงในตารางต้นทาง มีผลต่อการเลือกสนามแข่งขัน และถูกใช้สร้างกลยุทธ์ใน TOWS ปัจจัยที่ตัดออก (O3 O5 T4 T5 S5 S6 W4 W5 W6) ยังใช้ออกแบบแผนปฏิบัติการในบทที่ 5</w:t>
      </w:r>
    </w:p>
    <w:p>
      <w:pPr>
        <w:keepNext/>
        <w:spacing w:after="50" w:before="130"/>
        <w:jc w:val="left"/>
      </w:pPr>
      <w:r>
        <w:rPr>
          <w:rFonts w:ascii="TH Sarabun New" w:cs="TH Sarabun New" w:eastAsia="TH Sarabun New" w:hAnsi="TH Sarabun New"/>
          <w:b/>
          <w:bCs/>
          <w:i w:val="false"/>
          <w:iCs w:val="false"/>
          <w:sz w:val="28"/>
          <w:szCs w:val="28"/>
        </w:rPr>
        <w:t xml:space="preserve">ตารางที่ 12  สรุปการวิเคราะห์ปัจจัยเชิงกลยุทธ์ (SFAS Matrix) ของ PG</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126"/>
        <w:gridCol w:w="709"/>
        <w:gridCol w:w="658"/>
        <w:gridCol w:w="709"/>
        <w:gridCol w:w="425"/>
        <w:gridCol w:w="476"/>
        <w:gridCol w:w="425"/>
        <w:gridCol w:w="3940"/>
      </w:tblGrid>
      <w:tr>
        <w:trPr>
          <w:tblHeader/>
        </w:trPr>
        <w:tc>
          <w:tcPr>
            <w:tcW w:type="dxa" w:w="212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ปัจจัยเชิงกลยุทธ์</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น้ำหนัก</w:t>
            </w:r>
          </w:p>
        </w:tc>
        <w:tc>
          <w:tcPr>
            <w:tcW w:type="dxa" w:w="65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Rating</w:t>
            </w:r>
          </w:p>
        </w:tc>
        <w:tc>
          <w:tcPr>
            <w:tcW w:type="dxa" w:w="70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คะแนน</w:t>
            </w:r>
          </w:p>
        </w:tc>
        <w:tc>
          <w:tcPr>
            <w:tcW w:type="dxa" w:w="42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สั้น</w:t>
            </w:r>
          </w:p>
        </w:tc>
        <w:tc>
          <w:tcPr>
            <w:tcW w:type="dxa" w:w="47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กลาง</w:t>
            </w:r>
          </w:p>
        </w:tc>
        <w:tc>
          <w:tcPr>
            <w:tcW w:type="dxa" w:w="42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ยาว</w:t>
            </w:r>
          </w:p>
        </w:tc>
        <w:tc>
          <w:tcPr>
            <w:tcW w:type="dxa" w:w="394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เหตุผลที่เป็นปัจจัยวิกฤต และผลเชิงกลยุทธ์</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S1 ฐานะการเงินแข็งแรงและแทบไม่มีภาระหนี้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0.07</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0.28</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แหล่งเงินทุนเดียวของแผนโดยไม่ต้องก่อหนี้ ต้องใช้ทุนอย่างมีวินัยผ่านการอนุมัติเป็นขั้น ไม่ใช่ลงทุนกระจาย</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S2 ความสามารถบูรณาการผ้าถัก–ออกแบบ–แพตเทิร์น–ตัดเย็บ</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0.11</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0.44</w:t>
            </w:r>
          </w:p>
        </w:tc>
        <w:tc>
          <w:tcPr>
            <w:tcW w:type="dxa" w:w="425"/>
            <w:tcMar>
              <w:top w:type="dxa" w:w="10"/>
              <w:left w:type="dxa" w:w="60"/>
              <w:bottom w:type="dxa" w:w="10"/>
              <w:right w:type="dxa" w:w="60"/>
            </w:tcMar>
            <w:vAlign w:val="center"/>
          </w:tcPr>
          <w:p>
            <w:pPr>
              <w:spacing w:after="10" w:line="228"/>
              <w:jc w:val="center"/>
            </w:pP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ความสามารถเดียวที่ผ่านเกณฑ์ V R และ I พร้อมกัน เป็นแกนของความแตกต่าง ต้องจัดองค์กรรองรับให้ผ่านเกณฑ์ O</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S3 ฐานผลิตภัณฑ์เชิงฟังก์ชันและมาตรฐานที่ได้รับการรับรอง</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0.08</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0.32</w:t>
            </w:r>
          </w:p>
        </w:tc>
        <w:tc>
          <w:tcPr>
            <w:tcW w:type="dxa" w:w="425"/>
            <w:tcMar>
              <w:top w:type="dxa" w:w="10"/>
              <w:left w:type="dxa" w:w="60"/>
              <w:bottom w:type="dxa" w:w="10"/>
              <w:right w:type="dxa" w:w="60"/>
            </w:tcMar>
            <w:vAlign w:val="center"/>
          </w:tcPr>
          <w:p>
            <w:pPr>
              <w:spacing w:after="10" w:line="228"/>
              <w:jc w:val="center"/>
            </w:pP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หลักฐานที่ทำให้ขายด้วยคุณสมบัติแทนราคาได้ ต้องแปลงใบรับรองเป็นเอกสารข้อเสนอขายระดับ SKU</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S4 ฐานลูกค้าเครื่องแบบองค์กรและชุดทางการแพทย์</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0.07</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0.21</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จุดตั้งต้นที่ทำให้ระยะเวลาสู่รายได้สั้น และเป็นฐานลูกค้าอ้างอิงสำหรับขยายสู่กลุ่มใหม่</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W1 ธุรกิจหลักขาดทุนและค่าใช้จ่ายขายและบริหารสูงกว่ากำไรขั้นต้น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0.17</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0.17</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76"/>
            <w:tcMar>
              <w:top w:type="dxa" w:w="10"/>
              <w:left w:type="dxa" w:w="60"/>
              <w:bottom w:type="dxa" w:w="10"/>
              <w:right w:type="dxa" w:w="60"/>
            </w:tcMar>
            <w:vAlign w:val="center"/>
          </w:tcPr>
          <w:p>
            <w:pPr>
              <w:spacing w:after="10" w:line="228"/>
              <w:jc w:val="center"/>
            </w:pPr>
          </w:p>
        </w:tc>
        <w:tc>
          <w:tcPr>
            <w:tcW w:type="dxa" w:w="425"/>
            <w:tcMar>
              <w:top w:type="dxa" w:w="10"/>
              <w:left w:type="dxa" w:w="60"/>
              <w:bottom w:type="dxa" w:w="10"/>
              <w:right w:type="dxa" w:w="60"/>
            </w:tcMar>
            <w:vAlign w:val="center"/>
          </w:tcPr>
          <w:p>
            <w:pPr>
              <w:spacing w:after="10" w:line="228"/>
              <w:jc w:val="center"/>
            </w:pP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วิกฤตที่สุดเพราะกำหนดความอยู่รอด กลยุทธ์ต้องเริ่มด้วยการฟื้นฟู และต้องมีเกณฑ์กำไรก่อนรับงาน</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W2 การกระจุกตัวของลูกค้าและช่องทาง (40.12% ของยอดขายรวม)</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0.09</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0.18</w:t>
            </w:r>
          </w:p>
        </w:tc>
        <w:tc>
          <w:tcPr>
            <w:tcW w:type="dxa" w:w="425"/>
            <w:tcMar>
              <w:top w:type="dxa" w:w="10"/>
              <w:left w:type="dxa" w:w="60"/>
              <w:bottom w:type="dxa" w:w="10"/>
              <w:right w:type="dxa" w:w="60"/>
            </w:tcMar>
            <w:vAlign w:val="center"/>
          </w:tcPr>
          <w:p>
            <w:pPr>
              <w:spacing w:after="10" w:line="228"/>
              <w:jc w:val="center"/>
            </w:pP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รายได้ผันผวนตามการตัดสินใจของลูกค้ารายเดียว ต้องสร้างช่องทางขายตรง B2B ควบคู่กติกาช่องทางร่วมกับ I.C.C.</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W3 การบริหารสินค้าคงเหลือและเงินทุนหมุนเวียน (184 วัน)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0.07</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0.14</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ตรึงเงินทุนและเสี่ยงสินค้าล้าสมัย ต้องเปลี่ยนจากผลิตเก็บสต็อกไปสู่ผลิตตามคำสั่งซื้อและสัญญาเติมสินค้า</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O1 อุปสงค์เครื่องแบบและชุดทำงานเชิงฟังก์ชัน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425"/>
            <w:tcMar>
              <w:top w:type="dxa" w:w="10"/>
              <w:left w:type="dxa" w:w="60"/>
              <w:bottom w:type="dxa" w:w="10"/>
              <w:right w:type="dxa" w:w="60"/>
            </w:tcMar>
            <w:vAlign w:val="center"/>
          </w:tcPr>
          <w:p>
            <w:pPr>
              <w:spacing w:after="10" w:line="228"/>
              <w:jc w:val="center"/>
            </w:pP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ตลาดเดียวที่ตรงกับ S2 S3 และ S4 พร้อมกัน จึงเป็นสนามที่ควรเลือกเป็นแกนการเติบโต</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O2 กฎเกณฑ์และเกณฑ์จัดซื้อสากลด้านการตรวจสอบย้อนกลับ</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0.05</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425"/>
            <w:tcMar>
              <w:top w:type="dxa" w:w="10"/>
              <w:left w:type="dxa" w:w="60"/>
              <w:bottom w:type="dxa" w:w="10"/>
              <w:right w:type="dxa" w:w="60"/>
            </w:tcMar>
            <w:vAlign w:val="center"/>
          </w:tcPr>
          <w:p>
            <w:pPr>
              <w:spacing w:after="10" w:line="228"/>
              <w:jc w:val="center"/>
            </w:pP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จะเป็นเงื่อนไขบังคับของการส่งออกในระยะกลาง เปลี่ยนภาระตามกฎให้เป็นข้อเสนอคุณค่า</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O4 การเปลี่ยนโครงสร้างผู้ถือหุ้นและเครือข่ายเครือสหพัฒน์</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0.04</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0.12</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เปลี่ยนเงื่อนไขการอนุมัติแผนและการเข้าถึงลูกค้านำร่อง ใช้เป็นลูกค้าอ้างอิงในระยะแรก</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T1 การแข่งขันด้านต้นทุนจากผู้ผลิตต่างประเทศและสินค้านำเข้าราคาต่ำ</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กำหนดเพดานอัตรากำไร ห้ามเลือกกลยุทธ์ผู้นำต้นทุนโดยเด็ดขาด</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T2 อำนาจต่อรองของผู้ซื้อในอุตสาหกรรม</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0.05</w:t>
            </w:r>
          </w:p>
        </w:tc>
        <w:tc>
          <w:tcPr>
            <w:tcW w:type="dxa" w:w="65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709"/>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42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7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w:t>
            </w:r>
          </w:p>
        </w:tc>
        <w:tc>
          <w:tcPr>
            <w:tcW w:type="dxa" w:w="425"/>
            <w:tcMar>
              <w:top w:type="dxa" w:w="10"/>
              <w:left w:type="dxa" w:w="60"/>
              <w:bottom w:type="dxa" w:w="10"/>
              <w:right w:type="dxa" w:w="60"/>
            </w:tcMar>
            <w:vAlign w:val="center"/>
          </w:tcPr>
          <w:p>
            <w:pPr>
              <w:spacing w:after="10" w:line="228"/>
              <w:jc w:val="center"/>
            </w:pPr>
          </w:p>
        </w:tc>
        <w:tc>
          <w:tcPr>
            <w:tcW w:type="dxa" w:w="394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ราคาถูกกำหนดโดยผู้ซื้อ ต้องย้ายสู่สัญญาที่มีกลไกปรับราคาและมูลค่าเพิ่มจากบริการ</w:t>
            </w:r>
          </w:p>
        </w:tc>
      </w:tr>
      <w:tr>
        <w:tc>
          <w:tcPr>
            <w:tcW w:type="dxa" w:w="2126"/>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w:t>
            </w: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w:t>
            </w:r>
          </w:p>
        </w:tc>
        <w:tc>
          <w:tcPr>
            <w:tcW w:type="dxa" w:w="658"/>
            <w:shd w:fill="FCE4D6" w:color="auto" w:val="clear"/>
            <w:tcMar>
              <w:top w:type="dxa" w:w="10"/>
              <w:left w:type="dxa" w:w="60"/>
              <w:bottom w:type="dxa" w:w="10"/>
              <w:right w:type="dxa" w:w="60"/>
            </w:tcMar>
            <w:vAlign w:val="center"/>
          </w:tcPr>
          <w:p>
            <w:pPr>
              <w:spacing w:after="10" w:line="228"/>
              <w:jc w:val="center"/>
            </w:pPr>
          </w:p>
        </w:tc>
        <w:tc>
          <w:tcPr>
            <w:tcW w:type="dxa" w:w="709"/>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2.61</w:t>
            </w:r>
          </w:p>
        </w:tc>
        <w:tc>
          <w:tcPr>
            <w:tcW w:type="dxa" w:w="425"/>
            <w:shd w:fill="FCE4D6" w:color="auto" w:val="clear"/>
            <w:tcMar>
              <w:top w:type="dxa" w:w="10"/>
              <w:left w:type="dxa" w:w="60"/>
              <w:bottom w:type="dxa" w:w="10"/>
              <w:right w:type="dxa" w:w="60"/>
            </w:tcMar>
            <w:vAlign w:val="center"/>
          </w:tcPr>
          <w:p>
            <w:pPr>
              <w:spacing w:after="10" w:line="228"/>
              <w:jc w:val="center"/>
            </w:pPr>
          </w:p>
        </w:tc>
        <w:tc>
          <w:tcPr>
            <w:tcW w:type="dxa" w:w="476"/>
            <w:shd w:fill="FCE4D6" w:color="auto" w:val="clear"/>
            <w:tcMar>
              <w:top w:type="dxa" w:w="10"/>
              <w:left w:type="dxa" w:w="60"/>
              <w:bottom w:type="dxa" w:w="10"/>
              <w:right w:type="dxa" w:w="60"/>
            </w:tcMar>
            <w:vAlign w:val="center"/>
          </w:tcPr>
          <w:p>
            <w:pPr>
              <w:spacing w:after="10" w:line="228"/>
              <w:jc w:val="center"/>
            </w:pPr>
          </w:p>
        </w:tc>
        <w:tc>
          <w:tcPr>
            <w:tcW w:type="dxa" w:w="425"/>
            <w:shd w:fill="FCE4D6" w:color="auto" w:val="clear"/>
            <w:tcMar>
              <w:top w:type="dxa" w:w="10"/>
              <w:left w:type="dxa" w:w="60"/>
              <w:bottom w:type="dxa" w:w="10"/>
              <w:right w:type="dxa" w:w="60"/>
            </w:tcMar>
            <w:vAlign w:val="center"/>
          </w:tcPr>
          <w:p>
            <w:pPr>
              <w:spacing w:after="10" w:line="228"/>
              <w:jc w:val="center"/>
            </w:pPr>
          </w:p>
        </w:tc>
        <w:tc>
          <w:tcPr>
            <w:tcW w:type="dxa" w:w="3940"/>
            <w:shd w:fill="FCE4D6" w:color="auto" w:val="clear"/>
            <w:tcMar>
              <w:top w:type="dxa" w:w="10"/>
              <w:left w:type="dxa" w:w="60"/>
              <w:bottom w:type="dxa" w:w="10"/>
              <w:right w:type="dxa" w:w="60"/>
            </w:tcMar>
            <w:vAlign w:val="center"/>
          </w:tcPr>
          <w:p>
            <w:pPr>
              <w:spacing w:after="10" w:line="228"/>
              <w:jc w:val="left"/>
            </w:pPr>
          </w:p>
        </w:tc>
      </w:tr>
    </w:tbl>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สั้น = ภายใน 1 ปี, กลาง = 1–3 ปี, ยาว = มากกว่า 3 ปี  น้ำหนักถูกกำหนดใหม่ให้ผลรวมเท่ากับ 1.00 ตามหลักเกณฑ์ SFAS</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การแปลผล</w:t>
      </w:r>
      <w:r>
        <w:rPr>
          <w:rFonts w:ascii="TH Sarabun New" w:cs="TH Sarabun New" w:eastAsia="TH Sarabun New" w:hAnsi="TH Sarabun New"/>
          <w:b w:val="false"/>
          <w:bCs w:val="false"/>
          <w:i w:val="false"/>
          <w:iCs w:val="false"/>
          <w:sz w:val="32"/>
          <w:szCs w:val="32"/>
        </w:rPr>
        <w:t xml:space="preserve"> คะแนนรวม 2.61 อ่านร่วมกับ EFAS 2.40 และ IFAS 2.70 สรุปได้ว่าทั้งสภาพแวดล้อมภายนอกไม่เอื้อและการตอบสนองภายในยังไม่แข็งแรง ซึ่งตามกรอบในบทเรียนหมายความว่า </w:t>
      </w:r>
      <w:r>
        <w:rPr>
          <w:rFonts w:ascii="TH Sarabun New" w:cs="TH Sarabun New" w:eastAsia="TH Sarabun New" w:hAnsi="TH Sarabun New"/>
          <w:b/>
          <w:bCs/>
          <w:i w:val="false"/>
          <w:iCs w:val="false"/>
          <w:sz w:val="32"/>
          <w:szCs w:val="32"/>
        </w:rPr>
        <w:t xml:space="preserve">บริษัทต้องเปลี่ยนกลยุทธ์ ไม่ใช่เพียงปรับกิจกรรมการตลาดหรือลดต้นทุนเพิ่ม</w:t>
      </w:r>
      <w:r>
        <w:rPr>
          <w:rFonts w:ascii="TH Sarabun New" w:cs="TH Sarabun New" w:eastAsia="TH Sarabun New" w:hAnsi="TH Sarabun New"/>
          <w:b w:val="false"/>
          <w:bCs w:val="false"/>
          <w:i w:val="false"/>
          <w:iCs w:val="false"/>
          <w:sz w:val="32"/>
          <w:szCs w:val="32"/>
        </w:rPr>
        <w:t xml:space="preserve"> ปัจจัยคะแนนสูงสุดคือ S2 ที่ 0.44 รองลงมา S3 ที่ 0.32 และ O1 ที่ 0.30 ขณะที่ W1 แม้มีน้ำหนักสูงสุด 0.17 กลับได้คะแนนเพียง 0.17 เพราะ Rating ต่ำสุดคือ 1 ข้อสรุปคือ </w:t>
      </w:r>
      <w:r>
        <w:rPr>
          <w:rFonts w:ascii="TH Sarabun New" w:cs="TH Sarabun New" w:eastAsia="TH Sarabun New" w:hAnsi="TH Sarabun New"/>
          <w:b/>
          <w:bCs/>
          <w:i w:val="false"/>
          <w:iCs w:val="false"/>
          <w:sz w:val="32"/>
          <w:szCs w:val="32"/>
        </w:rPr>
        <w:t xml:space="preserve">ปัจจัยสำคัญที่สุดต่อความอยู่รอดคือปัจจัยที่บริษัทตอบสนองได้แย่ที่สุด และเครื่องมือที่ดีที่สุดคือ S2 S3 และ S4 ในตลาด O1</w:t>
      </w:r>
    </w:p>
    <w:p>
      <w:pPr>
        <w:pStyle w:val="Heading2"/>
        <w:keepNext/>
        <w:spacing w:after="60" w:before="140"/>
      </w:pPr>
      <w:r>
        <w:rPr>
          <w:rFonts w:ascii="TH Sarabun New" w:cs="TH Sarabun New" w:eastAsia="TH Sarabun New" w:hAnsi="TH Sarabun New"/>
          <w:b/>
          <w:bCs/>
          <w:i w:val="false"/>
          <w:iCs w:val="false"/>
          <w:sz w:val="32"/>
          <w:szCs w:val="32"/>
        </w:rPr>
        <w:t xml:space="preserve">4.2 TOWS Matrix</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TOWS สร้างจากปัจจัยที่ผ่านการคัดเลือกใน SFAS เท่านั้น กลยุทธ์แต่ละข้อระบุว่าเกิดจากการจับคู่ปัจจัยใด และเขียนเป็นการกระทำที่มีเป้าหมายวัดได้</w:t>
      </w:r>
    </w:p>
    <w:p>
      <w:pPr>
        <w:keepNext/>
        <w:spacing w:after="50" w:before="130"/>
        <w:jc w:val="left"/>
      </w:pPr>
      <w:r>
        <w:rPr>
          <w:rFonts w:ascii="TH Sarabun New" w:cs="TH Sarabun New" w:eastAsia="TH Sarabun New" w:hAnsi="TH Sarabun New"/>
          <w:b/>
          <w:bCs/>
          <w:i w:val="false"/>
          <w:iCs w:val="false"/>
          <w:sz w:val="28"/>
          <w:szCs w:val="28"/>
        </w:rPr>
        <w:t xml:space="preserve">ตารางที่ 13  TOWS Matrix ของ PG</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1923"/>
        <w:gridCol w:w="3772"/>
        <w:gridCol w:w="3773"/>
      </w:tblGrid>
      <w:tr>
        <w:trPr>
          <w:tblHeader/>
        </w:trPr>
        <w:tc>
          <w:tcPr>
            <w:tcW w:type="dxa" w:w="192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ปัจจัยภายนอก / ปัจจัยภายใน</w:t>
            </w:r>
          </w:p>
        </w:tc>
        <w:tc>
          <w:tcPr>
            <w:tcW w:type="dxa" w:w="377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จุดแข็ง (S)</w:t>
            </w:r>
          </w:p>
          <w:p>
            <w:pPr>
              <w:spacing w:after="10" w:line="228"/>
              <w:jc w:val="center"/>
            </w:pPr>
            <w:r>
              <w:rPr>
                <w:rFonts w:ascii="TH Sarabun New" w:cs="TH Sarabun New" w:eastAsia="TH Sarabun New" w:hAnsi="TH Sarabun New"/>
                <w:b/>
                <w:bCs/>
                <w:i w:val="false"/>
                <w:iCs w:val="false"/>
                <w:sz w:val="26"/>
                <w:szCs w:val="26"/>
              </w:rPr>
              <w:t xml:space="preserve">S1 ฐานะการเงินแข็งแรง</w:t>
            </w:r>
          </w:p>
          <w:p>
            <w:pPr>
              <w:spacing w:after="10" w:line="228"/>
              <w:jc w:val="center"/>
            </w:pPr>
            <w:r>
              <w:rPr>
                <w:rFonts w:ascii="TH Sarabun New" w:cs="TH Sarabun New" w:eastAsia="TH Sarabun New" w:hAnsi="TH Sarabun New"/>
                <w:b/>
                <w:bCs/>
                <w:i w:val="false"/>
                <w:iCs w:val="false"/>
                <w:sz w:val="26"/>
                <w:szCs w:val="26"/>
              </w:rPr>
              <w:t xml:space="preserve">S2 บูรณาการผ้าถักถึงเสื้อผ้าสำเร็จรูป</w:t>
            </w:r>
          </w:p>
          <w:p>
            <w:pPr>
              <w:spacing w:after="10" w:line="228"/>
              <w:jc w:val="center"/>
            </w:pPr>
            <w:r>
              <w:rPr>
                <w:rFonts w:ascii="TH Sarabun New" w:cs="TH Sarabun New" w:eastAsia="TH Sarabun New" w:hAnsi="TH Sarabun New"/>
                <w:b/>
                <w:bCs/>
                <w:i w:val="false"/>
                <w:iCs w:val="false"/>
                <w:sz w:val="26"/>
                <w:szCs w:val="26"/>
              </w:rPr>
              <w:t xml:space="preserve">S3 ผลิตภัณฑ์เชิงฟังก์ชันและมาตรฐานที่ได้รับการรับรอง</w:t>
            </w:r>
          </w:p>
          <w:p>
            <w:pPr>
              <w:spacing w:after="10" w:line="228"/>
              <w:jc w:val="center"/>
            </w:pPr>
            <w:r>
              <w:rPr>
                <w:rFonts w:ascii="TH Sarabun New" w:cs="TH Sarabun New" w:eastAsia="TH Sarabun New" w:hAnsi="TH Sarabun New"/>
                <w:b/>
                <w:bCs/>
                <w:i w:val="false"/>
                <w:iCs w:val="false"/>
                <w:sz w:val="26"/>
                <w:szCs w:val="26"/>
              </w:rPr>
              <w:t xml:space="preserve">S4 ฐานลูกค้าเครื่องแบบและชุดทางการแพทย์</w:t>
            </w:r>
          </w:p>
        </w:tc>
        <w:tc>
          <w:tcPr>
            <w:tcW w:type="dxa" w:w="377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จุดอ่อน (W)</w:t>
            </w:r>
          </w:p>
          <w:p>
            <w:pPr>
              <w:spacing w:after="10" w:line="228"/>
              <w:jc w:val="center"/>
            </w:pPr>
            <w:r>
              <w:rPr>
                <w:rFonts w:ascii="TH Sarabun New" w:cs="TH Sarabun New" w:eastAsia="TH Sarabun New" w:hAnsi="TH Sarabun New"/>
                <w:b/>
                <w:bCs/>
                <w:i w:val="false"/>
                <w:iCs w:val="false"/>
                <w:sz w:val="26"/>
                <w:szCs w:val="26"/>
              </w:rPr>
              <w:t xml:space="preserve">W1 ธุรกิจหลักขาดทุนเชิงปฏิบัติการ</w:t>
            </w:r>
          </w:p>
          <w:p>
            <w:pPr>
              <w:spacing w:after="10" w:line="228"/>
              <w:jc w:val="center"/>
            </w:pPr>
            <w:r>
              <w:rPr>
                <w:rFonts w:ascii="TH Sarabun New" w:cs="TH Sarabun New" w:eastAsia="TH Sarabun New" w:hAnsi="TH Sarabun New"/>
                <w:b/>
                <w:bCs/>
                <w:i w:val="false"/>
                <w:iCs w:val="false"/>
                <w:sz w:val="26"/>
                <w:szCs w:val="26"/>
              </w:rPr>
              <w:t xml:space="preserve">W2 ลูกค้าและช่องทางกระจุกตัว</w:t>
            </w:r>
          </w:p>
          <w:p>
            <w:pPr>
              <w:spacing w:after="10" w:line="228"/>
              <w:jc w:val="center"/>
            </w:pPr>
            <w:r>
              <w:rPr>
                <w:rFonts w:ascii="TH Sarabun New" w:cs="TH Sarabun New" w:eastAsia="TH Sarabun New" w:hAnsi="TH Sarabun New"/>
                <w:b/>
                <w:bCs/>
                <w:i w:val="false"/>
                <w:iCs w:val="false"/>
                <w:sz w:val="26"/>
                <w:szCs w:val="26"/>
              </w:rPr>
              <w:t xml:space="preserve">W3 สินค้าคงเหลือ 184 วัน</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โอกาส (O)</w:t>
            </w:r>
          </w:p>
          <w:p>
            <w:pPr>
              <w:spacing w:after="10" w:line="228"/>
              <w:jc w:val="left"/>
            </w:pPr>
            <w:r>
              <w:rPr>
                <w:rFonts w:ascii="TH Sarabun New" w:cs="TH Sarabun New" w:eastAsia="TH Sarabun New" w:hAnsi="TH Sarabun New"/>
                <w:b w:val="false"/>
                <w:bCs w:val="false"/>
                <w:i w:val="false"/>
                <w:iCs w:val="false"/>
                <w:sz w:val="26"/>
                <w:szCs w:val="26"/>
              </w:rPr>
              <w:t xml:space="preserve">O1 อุปสงค์เครื่องแบบเชิงฟังก์ชัน</w:t>
            </w:r>
          </w:p>
          <w:p>
            <w:pPr>
              <w:spacing w:after="10" w:line="228"/>
              <w:jc w:val="left"/>
            </w:pPr>
            <w:r>
              <w:rPr>
                <w:rFonts w:ascii="TH Sarabun New" w:cs="TH Sarabun New" w:eastAsia="TH Sarabun New" w:hAnsi="TH Sarabun New"/>
                <w:b w:val="false"/>
                <w:bCs w:val="false"/>
                <w:i w:val="false"/>
                <w:iCs w:val="false"/>
                <w:sz w:val="26"/>
                <w:szCs w:val="26"/>
              </w:rPr>
              <w:t xml:space="preserve">O2 เกณฑ์จัดซื้อสากลด้านการตรวจสอบย้อนกลับ</w:t>
            </w:r>
          </w:p>
          <w:p>
            <w:pPr>
              <w:spacing w:after="10" w:line="228"/>
              <w:jc w:val="left"/>
            </w:pPr>
            <w:r>
              <w:rPr>
                <w:rFonts w:ascii="TH Sarabun New" w:cs="TH Sarabun New" w:eastAsia="TH Sarabun New" w:hAnsi="TH Sarabun New"/>
                <w:b w:val="false"/>
                <w:bCs w:val="false"/>
                <w:i w:val="false"/>
                <w:iCs w:val="false"/>
                <w:sz w:val="26"/>
                <w:szCs w:val="26"/>
              </w:rPr>
              <w:t xml:space="preserve">O4 เครือข่ายเครือสหพัฒน์และ SPI</w:t>
            </w:r>
          </w:p>
        </w:tc>
        <w:tc>
          <w:tcPr>
            <w:tcW w:type="dxa" w:w="37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กลยุทธ์เชิงรุก (SO)</w:t>
            </w:r>
          </w:p>
          <w:p>
            <w:pPr>
              <w:spacing w:after="10" w:line="228"/>
              <w:jc w:val="left"/>
            </w:pPr>
            <w:r>
              <w:rPr>
                <w:rFonts w:ascii="TH Sarabun New" w:cs="TH Sarabun New" w:eastAsia="TH Sarabun New" w:hAnsi="TH Sarabun New"/>
                <w:b/>
                <w:bCs/>
                <w:i w:val="false"/>
                <w:iCs w:val="false"/>
                <w:sz w:val="26"/>
                <w:szCs w:val="26"/>
              </w:rPr>
              <w:t xml:space="preserve">SO1 (S2+S3+O1)</w:t>
            </w:r>
            <w:r>
              <w:rPr>
                <w:rFonts w:ascii="TH Sarabun New" w:cs="TH Sarabun New" w:eastAsia="TH Sarabun New" w:hAnsi="TH Sarabun New"/>
                <w:b w:val="false"/>
                <w:bCs w:val="false"/>
                <w:i w:val="false"/>
                <w:iCs w:val="false"/>
                <w:sz w:val="26"/>
                <w:szCs w:val="26"/>
              </w:rPr>
              <w:t xml:space="preserve"> จัดตั้งสายผลิตภัณฑ์ “PG Functional Workwear” 4 แพลตฟอร์ม (ชุดทางการแพทย์ ชุดงานบริการและอาหาร ชุดงานอุตสาหกรรม ชุดองค์กรจากวัสดุหมุนเวียน) โดยขายด้วยเอกสารข้อกำหนดคุณสมบัติ ผลทดสอบ และอายุการใช้งาน แทนการเสนอราคาต่อชิ้น</w:t>
            </w:r>
          </w:p>
          <w:p>
            <w:pPr>
              <w:spacing w:after="10" w:line="228"/>
              <w:jc w:val="left"/>
            </w:pPr>
            <w:r>
              <w:rPr>
                <w:rFonts w:ascii="TH Sarabun New" w:cs="TH Sarabun New" w:eastAsia="TH Sarabun New" w:hAnsi="TH Sarabun New"/>
                <w:b/>
                <w:bCs/>
                <w:i w:val="false"/>
                <w:iCs w:val="false"/>
                <w:sz w:val="26"/>
                <w:szCs w:val="26"/>
              </w:rPr>
              <w:t xml:space="preserve">SO2 (S3+O2)</w:t>
            </w:r>
            <w:r>
              <w:rPr>
                <w:rFonts w:ascii="TH Sarabun New" w:cs="TH Sarabun New" w:eastAsia="TH Sarabun New" w:hAnsi="TH Sarabun New"/>
                <w:b w:val="false"/>
                <w:bCs w:val="false"/>
                <w:i w:val="false"/>
                <w:iCs w:val="false"/>
                <w:sz w:val="26"/>
                <w:szCs w:val="26"/>
              </w:rPr>
              <w:t xml:space="preserve"> จัดทำข้อมูลวัสดุและการตรวจสอบย้อนกลับระดับ SKU และล็อต สำหรับสินค้าที่ขายลูกค้า EU และลูกค้าที่มีเกณฑ์ ESG แล้วใช้เป็นเงื่อนไขเสนอราคาสูงกว่าคู่แข่งที่ไม่มีข้อมูล</w:t>
            </w:r>
          </w:p>
          <w:p>
            <w:pPr>
              <w:spacing w:after="10" w:line="228"/>
              <w:jc w:val="left"/>
            </w:pPr>
            <w:r>
              <w:rPr>
                <w:rFonts w:ascii="TH Sarabun New" w:cs="TH Sarabun New" w:eastAsia="TH Sarabun New" w:hAnsi="TH Sarabun New"/>
                <w:b/>
                <w:bCs/>
                <w:i w:val="false"/>
                <w:iCs w:val="false"/>
                <w:sz w:val="26"/>
                <w:szCs w:val="26"/>
              </w:rPr>
              <w:t xml:space="preserve">SO3 (S1+S4+O4)</w:t>
            </w:r>
            <w:r>
              <w:rPr>
                <w:rFonts w:ascii="TH Sarabun New" w:cs="TH Sarabun New" w:eastAsia="TH Sarabun New" w:hAnsi="TH Sarabun New"/>
                <w:b w:val="false"/>
                <w:bCs w:val="false"/>
                <w:i w:val="false"/>
                <w:iCs w:val="false"/>
                <w:sz w:val="26"/>
                <w:szCs w:val="26"/>
              </w:rPr>
              <w:t xml:space="preserve"> ใช้ฐานะการเงินและเครือข่ายเครือสหพัฒน์เปิดโครงการนำร่องกับองค์กรในเครือ โรงพยาบาล และโรงแรม สร้างลูกค้าอ้างอิง ≥5 รายในปีที่ 1 ก่อนขยายสู่ลูกค้านอกเครือ</w:t>
            </w:r>
          </w:p>
        </w:tc>
        <w:tc>
          <w:tcPr>
            <w:tcW w:type="dxa" w:w="377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กลยุทธ์เชิงแก้ไข (WO)</w:t>
            </w:r>
          </w:p>
          <w:p>
            <w:pPr>
              <w:spacing w:after="10" w:line="228"/>
              <w:jc w:val="left"/>
            </w:pPr>
            <w:r>
              <w:rPr>
                <w:rFonts w:ascii="TH Sarabun New" w:cs="TH Sarabun New" w:eastAsia="TH Sarabun New" w:hAnsi="TH Sarabun New"/>
                <w:b/>
                <w:bCs/>
                <w:i w:val="false"/>
                <w:iCs w:val="false"/>
                <w:sz w:val="26"/>
                <w:szCs w:val="26"/>
              </w:rPr>
              <w:t xml:space="preserve">WO1 (W1+O1)</w:t>
            </w:r>
            <w:r>
              <w:rPr>
                <w:rFonts w:ascii="TH Sarabun New" w:cs="TH Sarabun New" w:eastAsia="TH Sarabun New" w:hAnsi="TH Sarabun New"/>
                <w:b w:val="false"/>
                <w:bCs w:val="false"/>
                <w:i w:val="false"/>
                <w:iCs w:val="false"/>
                <w:sz w:val="26"/>
                <w:szCs w:val="26"/>
              </w:rPr>
              <w:t xml:space="preserve"> วิเคราะห์กำไรรายลูกค้าและราย SKU ให้ครอบคลุมยอดขาย ≥95% ภายใน 90 วัน แล้วโยกกำลังการผลิตและงบการตลาดจากสินค้าที่ไม่ผ่านเกณฑ์ไปยังแพลตฟอร์มเครื่องแบบเชิงฟังก์ชัน</w:t>
            </w:r>
          </w:p>
          <w:p>
            <w:pPr>
              <w:spacing w:after="10" w:line="228"/>
              <w:jc w:val="left"/>
            </w:pPr>
            <w:r>
              <w:rPr>
                <w:rFonts w:ascii="TH Sarabun New" w:cs="TH Sarabun New" w:eastAsia="TH Sarabun New" w:hAnsi="TH Sarabun New"/>
                <w:b/>
                <w:bCs/>
                <w:i w:val="false"/>
                <w:iCs w:val="false"/>
                <w:sz w:val="26"/>
                <w:szCs w:val="26"/>
              </w:rPr>
              <w:t xml:space="preserve">WO2 (W2+O4)</w:t>
            </w:r>
            <w:r>
              <w:rPr>
                <w:rFonts w:ascii="TH Sarabun New" w:cs="TH Sarabun New" w:eastAsia="TH Sarabun New" w:hAnsi="TH Sarabun New"/>
                <w:b w:val="false"/>
                <w:bCs w:val="false"/>
                <w:i w:val="false"/>
                <w:iCs w:val="false"/>
                <w:sz w:val="26"/>
                <w:szCs w:val="26"/>
              </w:rPr>
              <w:t xml:space="preserve"> ตั้งทีมขายตรงแบบ Account-based สำหรับกลุ่มการแพทย์และอุตสาหกรรม พร้อมตัวแทนเฉพาะทาง ใช้ลูกค้าในเครือเป็นฐานตั้งต้น เพื่อลดสัดส่วนลูกค้ารายใหญ่ที่สุดจาก 40.12% เหลือ ≤30% ในปี 2574</w:t>
            </w:r>
          </w:p>
          <w:p>
            <w:pPr>
              <w:spacing w:after="10" w:line="228"/>
              <w:jc w:val="left"/>
            </w:pPr>
            <w:r>
              <w:rPr>
                <w:rFonts w:ascii="TH Sarabun New" w:cs="TH Sarabun New" w:eastAsia="TH Sarabun New" w:hAnsi="TH Sarabun New"/>
                <w:b/>
                <w:bCs/>
                <w:i w:val="false"/>
                <w:iCs w:val="false"/>
                <w:sz w:val="26"/>
                <w:szCs w:val="26"/>
              </w:rPr>
              <w:t xml:space="preserve">WO3 (W3+O2)</w:t>
            </w:r>
            <w:r>
              <w:rPr>
                <w:rFonts w:ascii="TH Sarabun New" w:cs="TH Sarabun New" w:eastAsia="TH Sarabun New" w:hAnsi="TH Sarabun New"/>
                <w:b w:val="false"/>
                <w:bCs w:val="false"/>
                <w:i w:val="false"/>
                <w:iCs w:val="false"/>
                <w:sz w:val="26"/>
                <w:szCs w:val="26"/>
              </w:rPr>
              <w:t xml:space="preserve"> ต่อยอดระบบข้อมูลผลิตภัณฑ์ที่สร้างเพื่อรองรับ O2 เป็นระบบ S&amp;OP และการผลิตตามคำสั่งซื้อ ลดระยะเวลาขายสินค้าคงเหลือจาก 184 วันเหลือ ≤110 วัน</w:t>
            </w:r>
          </w:p>
        </w:tc>
      </w:tr>
      <w:tr>
        <w:tc>
          <w:tcPr>
            <w:tcW w:type="dxa" w:w="192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อุปสรรค (T)</w:t>
            </w:r>
          </w:p>
          <w:p>
            <w:pPr>
              <w:spacing w:after="10" w:line="228"/>
              <w:jc w:val="left"/>
            </w:pPr>
            <w:r>
              <w:rPr>
                <w:rFonts w:ascii="TH Sarabun New" w:cs="TH Sarabun New" w:eastAsia="TH Sarabun New" w:hAnsi="TH Sarabun New"/>
                <w:b w:val="false"/>
                <w:bCs w:val="false"/>
                <w:i w:val="false"/>
                <w:iCs w:val="false"/>
                <w:sz w:val="26"/>
                <w:szCs w:val="26"/>
              </w:rPr>
              <w:t xml:space="preserve">T1 การแข่งขันด้านต้นทุนจากผู้ผลิตต่างประเทศ</w:t>
            </w:r>
          </w:p>
          <w:p>
            <w:pPr>
              <w:spacing w:after="10" w:line="228"/>
              <w:jc w:val="left"/>
            </w:pPr>
            <w:r>
              <w:rPr>
                <w:rFonts w:ascii="TH Sarabun New" w:cs="TH Sarabun New" w:eastAsia="TH Sarabun New" w:hAnsi="TH Sarabun New"/>
                <w:b w:val="false"/>
                <w:bCs w:val="false"/>
                <w:i w:val="false"/>
                <w:iCs w:val="false"/>
                <w:sz w:val="26"/>
                <w:szCs w:val="26"/>
              </w:rPr>
              <w:t xml:space="preserve">T2 อำนาจต่อรองของผู้ซื้อ</w:t>
            </w:r>
          </w:p>
        </w:tc>
        <w:tc>
          <w:tcPr>
            <w:tcW w:type="dxa" w:w="37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กลยุทธ์เชิงป้องกัน (ST)</w:t>
            </w:r>
          </w:p>
          <w:p>
            <w:pPr>
              <w:spacing w:after="10" w:line="228"/>
              <w:jc w:val="left"/>
            </w:pPr>
            <w:r>
              <w:rPr>
                <w:rFonts w:ascii="TH Sarabun New" w:cs="TH Sarabun New" w:eastAsia="TH Sarabun New" w:hAnsi="TH Sarabun New"/>
                <w:b/>
                <w:bCs/>
                <w:i w:val="false"/>
                <w:iCs w:val="false"/>
                <w:sz w:val="26"/>
                <w:szCs w:val="26"/>
              </w:rPr>
              <w:t xml:space="preserve">ST1 (S2+S3+T1)</w:t>
            </w:r>
            <w:r>
              <w:rPr>
                <w:rFonts w:ascii="TH Sarabun New" w:cs="TH Sarabun New" w:eastAsia="TH Sarabun New" w:hAnsi="TH Sarabun New"/>
                <w:b w:val="false"/>
                <w:bCs w:val="false"/>
                <w:i w:val="false"/>
                <w:iCs w:val="false"/>
                <w:sz w:val="26"/>
                <w:szCs w:val="26"/>
              </w:rPr>
              <w:t xml:space="preserve"> ถอนตัวจากงานรับจ้างผลิตทั่วไปที่ตัดสินด้วยราคาต่อชิ้น ย้ายกำลังการผลิตไปงานที่มีข้อกำหนดซับซ้อน ล็อตเล็ก และต้องการหลักฐานคุณสมบัติ ซึ่งต้นทุนแรงงานไม่ใช่ปัจจัยชี้ขาด</w:t>
            </w:r>
          </w:p>
          <w:p>
            <w:pPr>
              <w:spacing w:after="10" w:line="228"/>
              <w:jc w:val="left"/>
            </w:pPr>
            <w:r>
              <w:rPr>
                <w:rFonts w:ascii="TH Sarabun New" w:cs="TH Sarabun New" w:eastAsia="TH Sarabun New" w:hAnsi="TH Sarabun New"/>
                <w:b/>
                <w:bCs/>
                <w:i w:val="false"/>
                <w:iCs w:val="false"/>
                <w:sz w:val="26"/>
                <w:szCs w:val="26"/>
              </w:rPr>
              <w:t xml:space="preserve">ST2 (S4+S1+T2)</w:t>
            </w:r>
            <w:r>
              <w:rPr>
                <w:rFonts w:ascii="TH Sarabun New" w:cs="TH Sarabun New" w:eastAsia="TH Sarabun New" w:hAnsi="TH Sarabun New"/>
                <w:b w:val="false"/>
                <w:bCs w:val="false"/>
                <w:i w:val="false"/>
                <w:iCs w:val="false"/>
                <w:sz w:val="26"/>
                <w:szCs w:val="26"/>
              </w:rPr>
              <w:t xml:space="preserve"> เปลี่ยนจากคำสั่งซื้อรายครั้งเป็นสัญญาระยะกลางที่มีปริมาณขั้นต่ำ กลไกปรับราคาตามต้นทุนวัตถุดิบ และบริการเติมสินค้า เพื่อลดอำนาจต่อรองของผู้ซื้อและทำให้รายได้คาดการณ์ได้</w:t>
            </w:r>
          </w:p>
        </w:tc>
        <w:tc>
          <w:tcPr>
            <w:tcW w:type="dxa" w:w="377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กลยุทธ์เชิงรับ (WT)</w:t>
            </w:r>
          </w:p>
          <w:p>
            <w:pPr>
              <w:spacing w:after="10" w:line="228"/>
              <w:jc w:val="left"/>
            </w:pPr>
            <w:r>
              <w:rPr>
                <w:rFonts w:ascii="TH Sarabun New" w:cs="TH Sarabun New" w:eastAsia="TH Sarabun New" w:hAnsi="TH Sarabun New"/>
                <w:b/>
                <w:bCs/>
                <w:i w:val="false"/>
                <w:iCs w:val="false"/>
                <w:sz w:val="26"/>
                <w:szCs w:val="26"/>
              </w:rPr>
              <w:t xml:space="preserve">WT1 (W1+W3+T1)</w:t>
            </w:r>
            <w:r>
              <w:rPr>
                <w:rFonts w:ascii="TH Sarabun New" w:cs="TH Sarabun New" w:eastAsia="TH Sarabun New" w:hAnsi="TH Sarabun New"/>
                <w:b w:val="false"/>
                <w:bCs w:val="false"/>
                <w:i w:val="false"/>
                <w:iCs w:val="false"/>
                <w:sz w:val="26"/>
                <w:szCs w:val="26"/>
              </w:rPr>
              <w:t xml:space="preserve"> ลดค่าใช้จ่ายขายและบริหารเชิงโครงสร้างเหลือ ≤23% ของยอดขายในปี 2571 ควบคู่การกำหนด MOQ และจ้างผลิตภายนอกสำหรับงานมาตรฐานที่แข่งด้วยราคา โดยเก็บงานออกแบบ ผ้าถัก ตัวอย่าง QC และการตัดเย็บซับซ้อนไว้ภายใน</w:t>
            </w:r>
          </w:p>
          <w:p>
            <w:pPr>
              <w:spacing w:after="10" w:line="228"/>
              <w:jc w:val="left"/>
            </w:pPr>
            <w:r>
              <w:rPr>
                <w:rFonts w:ascii="TH Sarabun New" w:cs="TH Sarabun New" w:eastAsia="TH Sarabun New" w:hAnsi="TH Sarabun New"/>
                <w:b/>
                <w:bCs/>
                <w:i w:val="false"/>
                <w:iCs w:val="false"/>
                <w:sz w:val="26"/>
                <w:szCs w:val="26"/>
              </w:rPr>
              <w:t xml:space="preserve">WT2 (W2+T2)</w:t>
            </w:r>
            <w:r>
              <w:rPr>
                <w:rFonts w:ascii="TH Sarabun New" w:cs="TH Sarabun New" w:eastAsia="TH Sarabun New" w:hAnsi="TH Sarabun New"/>
                <w:b w:val="false"/>
                <w:bCs w:val="false"/>
                <w:i w:val="false"/>
                <w:iCs w:val="false"/>
                <w:sz w:val="26"/>
                <w:szCs w:val="26"/>
              </w:rPr>
              <w:t xml:space="preserve"> จัดทำข้อตกลงแบ่งกลุ่มลูกค้าและช่องทาง (Segment and Channel Charter) ระหว่าง PG กับ I.C.C. และบริษัทในเครือ เพื่อไม่ให้การขยายช่องทางขายตรงก่อความขัดแย้งด้านราคาและพื้นที่ขาย</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รหัสปัจจัยอ้างอิงตารางที่ 12 (SFAS) ทุกกลยุทธ์ถูกนำไปใช้ต่อในหัวข้อ 4.4 และแผนปฏิบัติการในบทที่ 5</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กลยุทธ์ทั้งเก้าข้อชี้ทิศทางเดียวกัน คือ </w:t>
      </w:r>
      <w:r>
        <w:rPr>
          <w:rFonts w:ascii="TH Sarabun New" w:cs="TH Sarabun New" w:eastAsia="TH Sarabun New" w:hAnsi="TH Sarabun New"/>
          <w:b/>
          <w:bCs/>
          <w:i w:val="false"/>
          <w:iCs w:val="false"/>
          <w:sz w:val="32"/>
          <w:szCs w:val="32"/>
        </w:rPr>
        <w:t xml:space="preserve">หยุดแข่งในสนามที่ราคาเป็นตัวตัดสิน แล้วย้ายทรัพยากรไปสู่ลูกค้าองค์กรที่ตัดสินใจด้วยคุณสมบัติ มาตรฐาน และความน่าเชื่อถือของการส่งมอบ พร้อมสร้างวินัยทางการเงินและการบริหารสินค้าคงเหลือควบคู่กัน</w:t>
      </w:r>
      <w:r>
        <w:rPr>
          <w:rFonts w:ascii="TH Sarabun New" w:cs="TH Sarabun New" w:eastAsia="TH Sarabun New" w:hAnsi="TH Sarabun New"/>
          <w:b w:val="false"/>
          <w:bCs w:val="false"/>
          <w:i w:val="false"/>
          <w:iCs w:val="false"/>
          <w:sz w:val="32"/>
          <w:szCs w:val="32"/>
        </w:rPr>
        <w:t xml:space="preserve"> อย่างไรก็ตาม TOWS ยังไม่ใช่การตัดสินใจ เพราะยังไม่ได้เทียบทางเลือกอื่นอย่างเป็นระบบ ซึ่งเป็นหน้าที่ของหัวข้อ 4.4</w:t>
      </w:r>
    </w:p>
    <w:p>
      <w:pPr>
        <w:pStyle w:val="Heading2"/>
        <w:keepNext/>
        <w:spacing w:after="60" w:before="140"/>
      </w:pPr>
      <w:r>
        <w:rPr>
          <w:rFonts w:ascii="TH Sarabun New" w:cs="TH Sarabun New" w:eastAsia="TH Sarabun New" w:hAnsi="TH Sarabun New"/>
          <w:b/>
          <w:bCs/>
          <w:i w:val="false"/>
          <w:iCs w:val="false"/>
          <w:sz w:val="32"/>
          <w:szCs w:val="32"/>
        </w:rPr>
        <w:t xml:space="preserve">4.3 การทบทวนวิสัยทัศน์ พันธกิจ และวัตถุประสงค์</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การทบทวนนี้ทดสอบว่าข้อความปัจจุบันยังชี้นำการตัดสินใจได้หรือไม่ ตามผลการวิเคราะห์ในบทที่ 3 โดยใช้เกณฑ์ในบทเรียนบทที่ 6 คือสั้น เรียบง่าย ให้ทิศทาง ทำให้พนักงานรู้ว่าองค์กร </w:t>
      </w:r>
      <w:r>
        <w:rPr>
          <w:rFonts w:ascii="TH Sarabun New" w:cs="TH Sarabun New" w:eastAsia="TH Sarabun New" w:hAnsi="TH Sarabun New"/>
          <w:b/>
          <w:bCs/>
          <w:i w:val="false"/>
          <w:iCs w:val="false"/>
          <w:sz w:val="32"/>
          <w:szCs w:val="32"/>
        </w:rPr>
        <w:t xml:space="preserve">ทำอะไรและไม่ทำอะไร</w:t>
      </w:r>
      <w:r>
        <w:rPr>
          <w:rFonts w:ascii="TH Sarabun New" w:cs="TH Sarabun New" w:eastAsia="TH Sarabun New" w:hAnsi="TH Sarabun New"/>
          <w:b w:val="false"/>
          <w:bCs w:val="false"/>
          <w:i w:val="false"/>
          <w:iCs w:val="false"/>
          <w:sz w:val="32"/>
          <w:szCs w:val="32"/>
        </w:rPr>
        <w:t xml:space="preserve"> และวัดผลได้ พันธกิจข้อที่ไม่มีปัญหาคงไว้ตามเดิม</w:t>
      </w:r>
    </w:p>
    <w:p>
      <w:pPr>
        <w:keepNext/>
        <w:spacing w:after="50" w:before="130"/>
        <w:jc w:val="left"/>
      </w:pPr>
      <w:r>
        <w:rPr>
          <w:rFonts w:ascii="TH Sarabun New" w:cs="TH Sarabun New" w:eastAsia="TH Sarabun New" w:hAnsi="TH Sarabun New"/>
          <w:b/>
          <w:bCs/>
          <w:i w:val="false"/>
          <w:iCs w:val="false"/>
          <w:sz w:val="28"/>
          <w:szCs w:val="28"/>
        </w:rPr>
        <w:t xml:space="preserve">ตารางที่ 14  การทบทวนวิสัยทัศน์และพันธกิจของ PG</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126"/>
        <w:gridCol w:w="4656"/>
        <w:gridCol w:w="2686"/>
      </w:tblGrid>
      <w:tr>
        <w:trPr>
          <w:tblHeader/>
        </w:trPr>
        <w:tc>
          <w:tcPr>
            <w:tcW w:type="dxa" w:w="212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ข้อความเดิม</w:t>
            </w:r>
          </w:p>
        </w:tc>
        <w:tc>
          <w:tcPr>
            <w:tcW w:type="dxa" w:w="465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ผลการประเมินและข้อความที่เสนอ</w:t>
            </w:r>
          </w:p>
        </w:tc>
        <w:tc>
          <w:tcPr>
            <w:tcW w:type="dxa" w:w="268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เหตุผล</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วิสัยทัศน์</w:t>
            </w:r>
            <w:r>
              <w:rPr>
                <w:rFonts w:ascii="TH Sarabun New" w:cs="TH Sarabun New" w:eastAsia="TH Sarabun New" w:hAnsi="TH Sarabun New"/>
                <w:b w:val="false"/>
                <w:bCs w:val="false"/>
                <w:i w:val="false"/>
                <w:iCs w:val="false"/>
                <w:sz w:val="24"/>
                <w:szCs w:val="24"/>
              </w:rPr>
              <w:t xml:space="preserve"> “มุ่งมั่นเป็นผู้นำในการสร้างสรรค์ผลิตภัณฑ์และบริการที่มีคุณภาพด้วยนวัตกรรมเครื่องนุ่งห่มของไทย”</w:t>
            </w:r>
          </w:p>
        </w:tc>
        <w:tc>
          <w:tcPr>
            <w:tcW w:type="dxa" w:w="46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ควรปรับ</w:t>
            </w:r>
            <w:r>
              <w:rPr>
                <w:rFonts w:ascii="TH Sarabun New" w:cs="TH Sarabun New" w:eastAsia="TH Sarabun New" w:hAnsi="TH Sarabun New"/>
                <w:b w:val="false"/>
                <w:bCs w:val="false"/>
                <w:i w:val="false"/>
                <w:iCs w:val="false"/>
                <w:sz w:val="24"/>
                <w:szCs w:val="24"/>
              </w:rPr>
              <w:t xml:space="preserve"> สั้นและเรียบง่าย แต่ไม่ให้ทิศทาง เพราะไม่ระบุกลุ่มลูกค้า คุณค่าที่แตกต่าง และไม่บอกว่าองค์กรจะไม่ทำอะไร  </w:t>
            </w:r>
            <w:r>
              <w:rPr>
                <w:rFonts w:ascii="TH Sarabun New" w:cs="TH Sarabun New" w:eastAsia="TH Sarabun New" w:hAnsi="TH Sarabun New"/>
                <w:b/>
                <w:bCs/>
                <w:i w:val="false"/>
                <w:iCs w:val="false"/>
                <w:sz w:val="24"/>
                <w:szCs w:val="24"/>
              </w:rPr>
              <w:t xml:space="preserve">ที่เสนอ:</w:t>
            </w:r>
            <w:r>
              <w:rPr>
                <w:rFonts w:ascii="TH Sarabun New" w:cs="TH Sarabun New" w:eastAsia="TH Sarabun New" w:hAnsi="TH Sarabun New"/>
                <w:b w:val="false"/>
                <w:bCs w:val="false"/>
                <w:i w:val="false"/>
                <w:iCs w:val="false"/>
                <w:sz w:val="24"/>
                <w:szCs w:val="24"/>
              </w:rPr>
              <w:t xml:space="preserve"> “เป็นพันธมิตรชั้นนำของไทยด้านเครื่องแบบและเครื่องนุ่งห่มเชิงฟังก์ชัน ที่พิสูจน์คุณสมบัติได้ ตรวจสอบย้อนกลับได้ และยั่งยืน สำหรับองค์กรที่งานของบุคลากรต้องการมากกว่าเสื้อผ้าทั่วไป”</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เมื่อทุกอย่างเป็นเป้าหมาย บริษัทจึงขยายหลายทิศทางพร้อมกัน ข้อความที่เสนอระบุสนามแข่งขัน กลุ่มลูกค้า และคุณค่าที่แตกต่าง สอดคล้องกับ S2 S3 และ O1 และบอกว่าองค์กรจะไม่แข่งในตลาดแฟชั่นราคาถูก</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พันธกิจข้อ 1</w:t>
            </w:r>
            <w:r>
              <w:rPr>
                <w:rFonts w:ascii="TH Sarabun New" w:cs="TH Sarabun New" w:eastAsia="TH Sarabun New" w:hAnsi="TH Sarabun New"/>
                <w:b w:val="false"/>
                <w:bCs w:val="false"/>
                <w:i w:val="false"/>
                <w:iCs w:val="false"/>
                <w:sz w:val="24"/>
                <w:szCs w:val="24"/>
              </w:rPr>
              <w:t xml:space="preserve"> “ออกแบบและผลิตเสื้อผ้าบุรุษ ชุดกีฬา และชุดว่ายน้ำที่มีคุณภาพ”</w:t>
            </w:r>
          </w:p>
        </w:tc>
        <w:tc>
          <w:tcPr>
            <w:tcW w:type="dxa" w:w="46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ควรปรับ</w:t>
            </w:r>
            <w:r>
              <w:rPr>
                <w:rFonts w:ascii="TH Sarabun New" w:cs="TH Sarabun New" w:eastAsia="TH Sarabun New" w:hAnsi="TH Sarabun New"/>
                <w:b w:val="false"/>
                <w:bCs w:val="false"/>
                <w:i w:val="false"/>
                <w:iCs w:val="false"/>
                <w:sz w:val="24"/>
                <w:szCs w:val="24"/>
              </w:rPr>
              <w:t xml:space="preserve"> นิยามด้วยประเภทสินค้าเดิม ไม่สอดคล้องกับกลุ่มเครื่องแบบและชุดทางการแพทย์ที่บริษัทระบุเองว่ากำลังเติบโต  </w:t>
            </w:r>
            <w:r>
              <w:rPr>
                <w:rFonts w:ascii="TH Sarabun New" w:cs="TH Sarabun New" w:eastAsia="TH Sarabun New" w:hAnsi="TH Sarabun New"/>
                <w:b/>
                <w:bCs/>
                <w:i w:val="false"/>
                <w:iCs w:val="false"/>
                <w:sz w:val="24"/>
                <w:szCs w:val="24"/>
              </w:rPr>
              <w:t xml:space="preserve">ที่เสนอ:</w:t>
            </w:r>
            <w:r>
              <w:rPr>
                <w:rFonts w:ascii="TH Sarabun New" w:cs="TH Sarabun New" w:eastAsia="TH Sarabun New" w:hAnsi="TH Sarabun New"/>
                <w:b w:val="false"/>
                <w:bCs w:val="false"/>
                <w:i w:val="false"/>
                <w:iCs w:val="false"/>
                <w:sz w:val="24"/>
                <w:szCs w:val="24"/>
              </w:rPr>
              <w:t xml:space="preserve"> “ออกแบบและผลิตเครื่องนุ่งห่มที่แก้โจทย์การทำงานจริงของบุคลากรในองค์กรลูกค้า โดยมีหลักฐานคุณสมบัติรองรับ”</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เปลี่ยนการนิยามจาก “ประเภทสินค้า” เป็น “ปัญหาของลูกค้า” ซึ่งเป็นเงื่อนไขของการสร้างความแตกต่างแบบมุ่งเน้น</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พันธกิจข้อ 3</w:t>
            </w:r>
            <w:r>
              <w:rPr>
                <w:rFonts w:ascii="TH Sarabun New" w:cs="TH Sarabun New" w:eastAsia="TH Sarabun New" w:hAnsi="TH Sarabun New"/>
                <w:b w:val="false"/>
                <w:bCs w:val="false"/>
                <w:i w:val="false"/>
                <w:iCs w:val="false"/>
                <w:sz w:val="24"/>
                <w:szCs w:val="24"/>
              </w:rPr>
              <w:t xml:space="preserve"> “มุ่งเป็น One Stop Service สำหรับผลิตภัณฑ์บุรุษ”</w:t>
            </w:r>
          </w:p>
        </w:tc>
        <w:tc>
          <w:tcPr>
            <w:tcW w:type="dxa" w:w="46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ควรปรับ</w:t>
            </w:r>
            <w:r>
              <w:rPr>
                <w:rFonts w:ascii="TH Sarabun New" w:cs="TH Sarabun New" w:eastAsia="TH Sarabun New" w:hAnsi="TH Sarabun New"/>
                <w:b w:val="false"/>
                <w:bCs w:val="false"/>
                <w:i w:val="false"/>
                <w:iCs w:val="false"/>
                <w:sz w:val="24"/>
                <w:szCs w:val="24"/>
              </w:rPr>
              <w:t xml:space="preserve"> ขัดแย้งกับทิศทางของบริษัทเองมากที่สุด เพราะชุดทางการแพทย์และเครื่องแบบองค์กรไม่จำกัดเพศผู้ใช้  </w:t>
            </w:r>
            <w:r>
              <w:rPr>
                <w:rFonts w:ascii="TH Sarabun New" w:cs="TH Sarabun New" w:eastAsia="TH Sarabun New" w:hAnsi="TH Sarabun New"/>
                <w:b/>
                <w:bCs/>
                <w:i w:val="false"/>
                <w:iCs w:val="false"/>
                <w:sz w:val="24"/>
                <w:szCs w:val="24"/>
              </w:rPr>
              <w:t xml:space="preserve">ที่เสนอ:</w:t>
            </w:r>
            <w:r>
              <w:rPr>
                <w:rFonts w:ascii="TH Sarabun New" w:cs="TH Sarabun New" w:eastAsia="TH Sarabun New" w:hAnsi="TH Sarabun New"/>
                <w:b w:val="false"/>
                <w:bCs w:val="false"/>
                <w:i w:val="false"/>
                <w:iCs w:val="false"/>
                <w:sz w:val="24"/>
                <w:szCs w:val="24"/>
              </w:rPr>
              <w:t xml:space="preserve"> “เป็นผู้ให้บริการครบวงจรตั้งแต่การออกแบบ การเลือกวัสดุ การผลิต การควบคุมคุณภาพ จนถึงการเติมสินค้าตามสัญญา”</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ขยาย One Stop Service จากมิติ “กลุ่มผู้ใช้” ไปสู่ “ขอบเขตบริการ” ซึ่งตารางที่ 7 ระบุว่ายังไม่มีผู้เล่นรายใดทำได้ดี</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พันธกิจข้อ 4</w:t>
            </w:r>
            <w:r>
              <w:rPr>
                <w:rFonts w:ascii="TH Sarabun New" w:cs="TH Sarabun New" w:eastAsia="TH Sarabun New" w:hAnsi="TH Sarabun New"/>
                <w:b w:val="false"/>
                <w:bCs w:val="false"/>
                <w:i w:val="false"/>
                <w:iCs w:val="false"/>
                <w:sz w:val="24"/>
                <w:szCs w:val="24"/>
              </w:rPr>
              <w:t xml:space="preserve"> “สร้างอัตราการเติบโตทั้งรายได้และผลกำไรอย่างต่อเนื่อง”</w:t>
            </w:r>
          </w:p>
        </w:tc>
        <w:tc>
          <w:tcPr>
            <w:tcW w:type="dxa" w:w="46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ควรปรับ</w:t>
            </w:r>
            <w:r>
              <w:rPr>
                <w:rFonts w:ascii="TH Sarabun New" w:cs="TH Sarabun New" w:eastAsia="TH Sarabun New" w:hAnsi="TH Sarabun New"/>
                <w:b w:val="false"/>
                <w:bCs w:val="false"/>
                <w:i w:val="false"/>
                <w:iCs w:val="false"/>
                <w:sz w:val="24"/>
                <w:szCs w:val="24"/>
              </w:rPr>
              <w:t xml:space="preserve"> ในทางปฏิบัติวัดเฉพาะการเติบโตของรายได้ ขณะที่กำไรที่รายงานมาจากรายได้อื่นมากกว่าธุรกิจหลัก  </w:t>
            </w:r>
            <w:r>
              <w:rPr>
                <w:rFonts w:ascii="TH Sarabun New" w:cs="TH Sarabun New" w:eastAsia="TH Sarabun New" w:hAnsi="TH Sarabun New"/>
                <w:b/>
                <w:bCs/>
                <w:i w:val="false"/>
                <w:iCs w:val="false"/>
                <w:sz w:val="24"/>
                <w:szCs w:val="24"/>
              </w:rPr>
              <w:t xml:space="preserve">ที่เสนอ:</w:t>
            </w:r>
            <w:r>
              <w:rPr>
                <w:rFonts w:ascii="TH Sarabun New" w:cs="TH Sarabun New" w:eastAsia="TH Sarabun New" w:hAnsi="TH Sarabun New"/>
                <w:b w:val="false"/>
                <w:bCs w:val="false"/>
                <w:i w:val="false"/>
                <w:iCs w:val="false"/>
                <w:sz w:val="24"/>
                <w:szCs w:val="24"/>
              </w:rPr>
              <w:t xml:space="preserve"> “สร้างผลกำไรจากธุรกิจหลักให้เพียงพอต่อการเติบโต โดยวัดผลจากธุรกิจหลักแยกจากรายได้อื่นและผลตอบแทนจากเงินลงทุน”</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แก้ที่ต้นเหตุของ W1 การแยกวัดผลธุรกิจหลักเป็นเงื่อนไขที่ทำให้เกิดวินัยในการรับงานและจัดสรรทุน</w:t>
            </w:r>
          </w:p>
        </w:tc>
      </w:tr>
      <w:tr>
        <w:tc>
          <w:tcPr>
            <w:tcW w:type="dxa" w:w="212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พันธกิจข้อ 2, 5, 6, 7</w:t>
            </w:r>
            <w:r>
              <w:rPr>
                <w:rFonts w:ascii="TH Sarabun New" w:cs="TH Sarabun New" w:eastAsia="TH Sarabun New" w:hAnsi="TH Sarabun New"/>
                <w:b w:val="false"/>
                <w:bCs w:val="false"/>
                <w:i w:val="false"/>
                <w:iCs w:val="false"/>
                <w:sz w:val="24"/>
                <w:szCs w:val="24"/>
              </w:rPr>
              <w:t xml:space="preserve"> (นวัตกรรม พัฒนาพนักงาน ผลตอบแทนผู้ถือหุ้น ความรับผิดชอบต่อสังคมและสิ่งแวดล้อม)</w:t>
            </w:r>
          </w:p>
        </w:tc>
        <w:tc>
          <w:tcPr>
            <w:tcW w:type="dxa" w:w="46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คงเดิมทั้งหมด</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นวัตกรรมวัสดุเป็นจุดแข็งจริง (S3) การพัฒนาพนักงานสำคัญขึ้นเพราะแผนต้องการทักษะใหม่ และความรับผิดชอบต่อสิ่งแวดล้อมเป็นเงื่อนไขเข้าถึงลูกค้าที่ใช้เกณฑ์ ESG (O2) จึงไม่ควรเปลี่ยนด้วยเหตุผลด้านถ้อยคำ</w:t>
            </w:r>
          </w:p>
        </w:tc>
      </w:tr>
    </w:tbl>
    <w:p>
      <w:pPr>
        <w:keepNext/>
        <w:spacing w:after="50" w:before="130"/>
        <w:jc w:val="left"/>
      </w:pPr>
      <w:r>
        <w:rPr>
          <w:rFonts w:ascii="TH Sarabun New" w:cs="TH Sarabun New" w:eastAsia="TH Sarabun New" w:hAnsi="TH Sarabun New"/>
          <w:b/>
          <w:bCs/>
          <w:i w:val="false"/>
          <w:iCs w:val="false"/>
          <w:sz w:val="28"/>
          <w:szCs w:val="28"/>
        </w:rPr>
        <w:t xml:space="preserve">ตารางที่ 15  วัตถุประสงค์เชิงกลยุทธ์ 5 ปีของ PG (2570–2574)</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530"/>
        <w:gridCol w:w="1670"/>
        <w:gridCol w:w="2227"/>
        <w:gridCol w:w="1771"/>
        <w:gridCol w:w="1270"/>
      </w:tblGrid>
      <w:tr>
        <w:trPr>
          <w:tblHeader/>
        </w:trPr>
        <w:tc>
          <w:tcPr>
            <w:tcW w:type="dxa" w:w="253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วัตถุประสงค์เชิงกลยุทธ์</w:t>
            </w:r>
          </w:p>
        </w:tc>
        <w:tc>
          <w:tcPr>
            <w:tcW w:type="dxa" w:w="167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ปีฐาน 2568</w:t>
            </w:r>
          </w:p>
        </w:tc>
        <w:tc>
          <w:tcPr>
            <w:tcW w:type="dxa" w:w="222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เป้าหมายระหว่างทาง</w:t>
            </w:r>
          </w:p>
        </w:tc>
        <w:tc>
          <w:tcPr>
            <w:tcW w:type="dxa" w:w="177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เป้าหมายปี 2574</w:t>
            </w:r>
          </w:p>
        </w:tc>
        <w:tc>
          <w:tcPr>
            <w:tcW w:type="dxa" w:w="127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เชื่อมโยง</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SO1 พลิกผลจากธุรกิจหลักให้เป็นบวกอย่างยั่งยืน</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-8.02%</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คุ้มทุนปี 2571 และ ≥3% ปี 2572</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≥7%</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W1, WO1, WT1</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SO2 ยกระดับอัตรากำไรขั้นต้นด้วยส่วนผสมผลิตภัณฑ์ใหม่</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21.40%</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≥24.0% ปี 2571</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≥27.5%</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SO1, ST1, ST2</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SO3 ลดค่าใช้จ่ายขายและบริหารเชิงโครงสร้าง</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29.42%</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≤23.0% ปี 2571</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≤20.0%</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W1, WT1</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SO4 ลดการพึ่งพาลูกค้ารายใหญ่ที่สุด</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40.12%</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≤35% ปี 2572</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≤30%</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W2, WO2, WT2</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SO5 ลดเงินทุนที่ตรึงในสินค้าคงเหลือ</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184 วัน (วงจรเงินสด 212 วัน)</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≤145 วันปี 2571 และ ≤130 วันปี 2572</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≤110 วัน (วงจรเงินสด ≤150 วัน)</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W3, WO3</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SO6 เพิ่มสัดส่วนรายได้จากเครื่องแบบและชุดทำงานเชิงฟังก์ชัน</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กำหนดฐานใน 90 วัน</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≥30% ปี 2572</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≥38%</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O1, SO1, WO1</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SO7 ยกระดับผลตอบแทนต่อส่วนของผู้ถือหุ้น</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-0.40%</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 ปี 2572</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W5, S1</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SO8 สร้างข้อมูลตรวจสอบย้อนกลับสำหรับสินค้าเชิงกลยุทธ์</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ต้องกำหนดฐาน</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ครบ 100% ของ SKU เชิงกลยุทธ์ ปี 2572</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รักษาระดับ 100%</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O2, SO2</w:t>
            </w:r>
          </w:p>
        </w:tc>
      </w:tr>
      <w:tr>
        <w:tc>
          <w:tcPr>
            <w:tcW w:type="dxa" w:w="253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SO9 เติบโตของยอดขายอย่างมีคุณภาพ</w:t>
            </w:r>
          </w:p>
        </w:tc>
        <w:tc>
          <w:tcPr>
            <w:tcW w:type="dxa" w:w="16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605.20 ล้านบาท</w:t>
            </w:r>
          </w:p>
        </w:tc>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≥700 ล้านบาท ปี 2572</w:t>
            </w:r>
          </w:p>
        </w:tc>
        <w:tc>
          <w:tcPr>
            <w:tcW w:type="dxa" w:w="177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ประมาณ 810 ล้านบาท (เฉลี่ย 4.98% ต่อปี)</w:t>
            </w:r>
          </w:p>
        </w:tc>
        <w:tc>
          <w:tcPr>
            <w:tcW w:type="dxa" w:w="127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สอดคล้องกับเป้าหมายของบริษัทที่ 4–5% ต่อปี</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วัตถุประสงค์เป็นข้อเสนอของผู้จัดทำ ตัวเลขเป้าหมายคำนวณจากประมาณการในบทที่ 6 ไม่ใช่เป้าหมายที่บริษัทประกาศ</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ข้อสังเกตเกี่ยวกับ SO9</w:t>
      </w:r>
      <w:r>
        <w:rPr>
          <w:rFonts w:ascii="TH Sarabun New" w:cs="TH Sarabun New" w:eastAsia="TH Sarabun New" w:hAnsi="TH Sarabun New"/>
          <w:b w:val="false"/>
          <w:bCs w:val="false"/>
          <w:i w:val="false"/>
          <w:iCs w:val="false"/>
          <w:sz w:val="32"/>
          <w:szCs w:val="32"/>
        </w:rPr>
        <w:t xml:space="preserve"> ตัวเลข 810 ล้านบาทคำนวณย้อนกลับจากสมมติฐานส่วนผสมผลิตภัณฑ์ในบทที่ 6 ให้อัตราการเติบโตเฉลี่ยปี 2568–2574 ร้อยละ 4.98 ต่อปี ซึ่งอยู่ในกรอบร้อยละ 4–5 ที่บริษัทประกาศเอง แสดงว่ากลยุทธ์ที่เสนอไม่ได้เรียกร้องการเติบโตเกินกว่าที่ฝ่ายจัดการเห็นว่าเป็นไปได้ สิ่งที่เปลี่ยนคือ </w:t>
      </w:r>
      <w:r>
        <w:rPr>
          <w:rFonts w:ascii="TH Sarabun New" w:cs="TH Sarabun New" w:eastAsia="TH Sarabun New" w:hAnsi="TH Sarabun New"/>
          <w:b/>
          <w:bCs/>
          <w:i w:val="false"/>
          <w:iCs w:val="false"/>
          <w:sz w:val="32"/>
          <w:szCs w:val="32"/>
        </w:rPr>
        <w:t xml:space="preserve">คุณภาพของการเติบโต</w:t>
      </w:r>
      <w:r>
        <w:rPr>
          <w:rFonts w:ascii="TH Sarabun New" w:cs="TH Sarabun New" w:eastAsia="TH Sarabun New" w:hAnsi="TH Sarabun New"/>
          <w:b w:val="false"/>
          <w:bCs w:val="false"/>
          <w:i w:val="false"/>
          <w:iCs w:val="false"/>
          <w:sz w:val="32"/>
          <w:szCs w:val="32"/>
        </w:rPr>
        <w:t xml:space="preserve"> ไม่ใช่ปริมาณ</w:t>
      </w:r>
    </w:p>
    <w:p>
      <w:pPr>
        <w:pStyle w:val="Heading2"/>
        <w:keepNext/>
        <w:spacing w:after="60" w:before="140"/>
      </w:pPr>
      <w:r>
        <w:rPr>
          <w:rFonts w:ascii="TH Sarabun New" w:cs="TH Sarabun New" w:eastAsia="TH Sarabun New" w:hAnsi="TH Sarabun New"/>
          <w:b/>
          <w:bCs/>
          <w:i w:val="false"/>
          <w:iCs w:val="false"/>
          <w:sz w:val="32"/>
          <w:szCs w:val="32"/>
        </w:rPr>
        <w:t xml:space="preserve">4.4 ทางเลือกเชิงกลยุทธ์ที่นำเสนอ (Strategic Alternatives and Recommended Strategies)</w:t>
      </w:r>
    </w:p>
    <w:p>
      <w:pPr>
        <w:pStyle w:val="Heading3"/>
        <w:keepNext/>
        <w:spacing w:after="70" w:before="150"/>
      </w:pPr>
      <w:r>
        <w:rPr>
          <w:rFonts w:ascii="TH Sarabun New" w:cs="TH Sarabun New" w:eastAsia="TH Sarabun New" w:hAnsi="TH Sarabun New"/>
          <w:b/>
          <w:bCs/>
          <w:i w:val="false"/>
          <w:iCs w:val="false"/>
          <w:sz w:val="32"/>
          <w:szCs w:val="32"/>
        </w:rPr>
        <w:t xml:space="preserve">4.4.1 ทางเลือกเชิงกลยุทธ์ที่พิจารณาและเกณฑ์การตัดสินใจ</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ทางเลือกทั้งสามพัฒนาจากกลยุทธ์ใน TOWS โดยจัดกลุ่มตามทิศทางหลักที่ต่างกันจริง มิใช่ตั้งขึ้นเพื่อให้ทางเลือกที่ต้องการดูดีกว่า และทั้งสามมีผู้ประกอบการจริงในอุตสาหกรรมเดียวกันที่สำเร็จด้วยเส้นทางนั้น</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ทางเลือก A: การเร่งปริมาณงานรับจ้างผลิตเพื่อส่งออก</w:t>
      </w:r>
      <w:r>
        <w:rPr>
          <w:rFonts w:ascii="TH Sarabun New" w:cs="TH Sarabun New" w:eastAsia="TH Sarabun New" w:hAnsi="TH Sarabun New"/>
          <w:b w:val="false"/>
          <w:bCs w:val="false"/>
          <w:i w:val="false"/>
          <w:iCs w:val="false"/>
          <w:sz w:val="32"/>
          <w:szCs w:val="32"/>
        </w:rPr>
        <w:t xml:space="preserve"> ลงทุนระบบอัตโนมัติและขยายกำลังการผลิตเพื่อไล่ตามปริมาณงานส่งออก ระดับองค์กรเป็นการเติบโตแบบมุ่งเน้นในตลาดส่งออก ระดับธุรกิจเป็นผู้นำด้านต้นทุน </w:t>
      </w:r>
      <w:r>
        <w:rPr>
          <w:rFonts w:ascii="TH Sarabun New" w:cs="TH Sarabun New" w:eastAsia="TH Sarabun New" w:hAnsi="TH Sarabun New"/>
          <w:b/>
          <w:bCs/>
          <w:i w:val="false"/>
          <w:iCs w:val="false"/>
          <w:sz w:val="32"/>
          <w:szCs w:val="32"/>
        </w:rPr>
        <w:t xml:space="preserve">ข้อดี</w:t>
      </w:r>
      <w:r>
        <w:rPr>
          <w:rFonts w:ascii="TH Sarabun New" w:cs="TH Sarabun New" w:eastAsia="TH Sarabun New" w:hAnsi="TH Sarabun New"/>
          <w:b w:val="false"/>
          <w:bCs w:val="false"/>
          <w:i w:val="false"/>
          <w:iCs w:val="false"/>
          <w:sz w:val="32"/>
          <w:szCs w:val="32"/>
        </w:rPr>
        <w:t xml:space="preserve"> ใช้ฐานโรงงานและลูกค้าส่งออกเดิม การส่งออกไทยขยายตัวร้อยละ 5.2–5.61 และ PG มีกำลังการผลิตเหลือร้อยละ 16.3 </w:t>
      </w:r>
      <w:r>
        <w:rPr>
          <w:rFonts w:ascii="TH Sarabun New" w:cs="TH Sarabun New" w:eastAsia="TH Sarabun New" w:hAnsi="TH Sarabun New"/>
          <w:b/>
          <w:bCs/>
          <w:i w:val="false"/>
          <w:iCs w:val="false"/>
          <w:sz w:val="32"/>
          <w:szCs w:val="32"/>
        </w:rPr>
        <w:t xml:space="preserve">ข้อเสีย</w:t>
      </w:r>
      <w:r>
        <w:rPr>
          <w:rFonts w:ascii="TH Sarabun New" w:cs="TH Sarabun New" w:eastAsia="TH Sarabun New" w:hAnsi="TH Sarabun New"/>
          <w:b w:val="false"/>
          <w:bCs w:val="false"/>
          <w:i w:val="false"/>
          <w:iCs w:val="false"/>
          <w:sz w:val="32"/>
          <w:szCs w:val="32"/>
        </w:rPr>
        <w:t xml:space="preserve"> ตารางที่ 7 แสดงว่า PG ได้คะแนน KSF ในสนามนี้เพียง 2.55 เทียบคู่แข่ง 4.75 ช่องว่างใหญ่ที่สุดอยู่ในปัจจัยน้ำหนักรวม 0.35 คือขนาดการผลิตและฐานการผลิตหลายประเทศ ซึ่งแก้ไม่ได้ในห้าปี ประกอบกับต้นทุนแรงงานไทย 325–386 ดอลลาร์ต่อเดือนเทียบบังกลาเทศ 103–133 ดอลลาร์ การเป็นผู้นำต้นทุนจึงเป็นเป้าหมายที่โครงสร้างต้นทุนของประเทศไม่เอื้อ</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ทางเลือก B: การสร้างแบรนด์ของตนเองแบบ D2C Omnichannel</w:t>
      </w:r>
      <w:r>
        <w:rPr>
          <w:rFonts w:ascii="TH Sarabun New" w:cs="TH Sarabun New" w:eastAsia="TH Sarabun New" w:hAnsi="TH Sarabun New"/>
          <w:b w:val="false"/>
          <w:bCs w:val="false"/>
          <w:i w:val="false"/>
          <w:iCs w:val="false"/>
          <w:sz w:val="32"/>
          <w:szCs w:val="32"/>
        </w:rPr>
        <w:t xml:space="preserve"> ลงทุนสร้างแบรนด์ ช่องทางขายตรงถึงผู้บริโภค และข้อมูลลูกค้า ระดับองค์กรเป็นการบูรณาการไปข้างหน้า ระดับธุรกิจเป็นการสร้างความแตกต่าง </w:t>
      </w:r>
      <w:r>
        <w:rPr>
          <w:rFonts w:ascii="TH Sarabun New" w:cs="TH Sarabun New" w:eastAsia="TH Sarabun New" w:hAnsi="TH Sarabun New"/>
          <w:b/>
          <w:bCs/>
          <w:i w:val="false"/>
          <w:iCs w:val="false"/>
          <w:sz w:val="32"/>
          <w:szCs w:val="32"/>
        </w:rPr>
        <w:t xml:space="preserve">ข้อดี</w:t>
      </w:r>
      <w:r>
        <w:rPr>
          <w:rFonts w:ascii="TH Sarabun New" w:cs="TH Sarabun New" w:eastAsia="TH Sarabun New" w:hAnsi="TH Sarabun New"/>
          <w:b w:val="false"/>
          <w:bCs w:val="false"/>
          <w:i w:val="false"/>
          <w:iCs w:val="false"/>
          <w:sz w:val="32"/>
          <w:szCs w:val="32"/>
        </w:rPr>
        <w:t xml:space="preserve"> ให้อัตรากำไรขั้นต้นสูงที่สุด โดย Sabina อยู่ที่ร้อยละ 51.47 และ MC Group ร้อยละ 63.9 เทียบ PG ร้อยละ 21.40 และช่วยลดการพึ่งพาผู้จัดจำหน่ายรายเดียว </w:t>
      </w:r>
      <w:r>
        <w:rPr>
          <w:rFonts w:ascii="TH Sarabun New" w:cs="TH Sarabun New" w:eastAsia="TH Sarabun New" w:hAnsi="TH Sarabun New"/>
          <w:b/>
          <w:bCs/>
          <w:i w:val="false"/>
          <w:iCs w:val="false"/>
          <w:sz w:val="32"/>
          <w:szCs w:val="32"/>
        </w:rPr>
        <w:t xml:space="preserve">ข้อเสีย</w:t>
      </w:r>
      <w:r>
        <w:rPr>
          <w:rFonts w:ascii="TH Sarabun New" w:cs="TH Sarabun New" w:eastAsia="TH Sarabun New" w:hAnsi="TH Sarabun New"/>
          <w:b w:val="false"/>
          <w:bCs w:val="false"/>
          <w:i w:val="false"/>
          <w:iCs w:val="false"/>
          <w:sz w:val="32"/>
          <w:szCs w:val="32"/>
        </w:rPr>
        <w:t xml:space="preserve"> ตารางที่ 7 แสดงว่า PG ได้เพียง 2 จาก 5 ในปัจจัยความแข็งแรงของแบรนด์และการควบคุมช่องทาง ซึ่งเป็นสองปัจจัยที่โมเดลนี้ต้องการมากที่สุด และมีข้อขัดแย้งเชิงโครงสร้างสองประการ คือทับซ้อนกับบทบาทของ I.C.C. ซึ่งเป็นทั้งลูกค้ารายใหญ่ที่สุดและผู้จัดจำหน่ายในเครือเดียวกัน และต้องถือสินค้าสำเร็จรูปเพิ่ม ขณะที่ PG มีสินค้าสำเร็จรูป 237.46 ล้านบาทและระยะเวลาขาย 184 วันอยู่แล้ว</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ทางเลือก C: การมุ่งเน้นโซลูชันเครื่องแบบและชุดทำงานเชิงฟังก์ชัน</w:t>
      </w:r>
      <w:r>
        <w:rPr>
          <w:rFonts w:ascii="TH Sarabun New" w:cs="TH Sarabun New" w:eastAsia="TH Sarabun New" w:hAnsi="TH Sarabun New"/>
          <w:b w:val="false"/>
          <w:bCs w:val="false"/>
          <w:i w:val="false"/>
          <w:iCs w:val="false"/>
          <w:sz w:val="32"/>
          <w:szCs w:val="32"/>
        </w:rPr>
        <w:t xml:space="preserve"> ฟื้นความสามารถทำกำไรด้วยวินัยด้านส่วนผสมผลิตภัณฑ์และค่าใช้จ่าย พร้อมมุ่งเน้นลูกค้าองค์กรที่ต้องการเครื่องแบบที่มีคุณสมบัติเฉพาะ ระดับองค์กรเป็นการฟื้นฟูควบคู่การเติบโตแบบมุ่งเน้น ระดับธุรกิจเป็นการสร้างความแตกต่างแบบมุ่งเน้น </w:t>
      </w:r>
      <w:r>
        <w:rPr>
          <w:rFonts w:ascii="TH Sarabun New" w:cs="TH Sarabun New" w:eastAsia="TH Sarabun New" w:hAnsi="TH Sarabun New"/>
          <w:b/>
          <w:bCs/>
          <w:i w:val="false"/>
          <w:iCs w:val="false"/>
          <w:sz w:val="32"/>
          <w:szCs w:val="32"/>
        </w:rPr>
        <w:t xml:space="preserve">ข้อดี</w:t>
      </w:r>
      <w:r>
        <w:rPr>
          <w:rFonts w:ascii="TH Sarabun New" w:cs="TH Sarabun New" w:eastAsia="TH Sarabun New" w:hAnsi="TH Sarabun New"/>
          <w:b w:val="false"/>
          <w:bCs w:val="false"/>
          <w:i w:val="false"/>
          <w:iCs w:val="false"/>
          <w:sz w:val="32"/>
          <w:szCs w:val="32"/>
        </w:rPr>
        <w:t xml:space="preserve"> ใช้ทรัพยากรที่ PG มีอยู่จริงและตรวจสอบได้ ตารางที่ 7 แสดงว่าในสนามนี้ PG ตามหลังเพียง 0.95 คะแนน และสูงกว่าคู่แข่งในปัจจัยการผลิตเองและการควบคุมคุณภาพ อีกทั้งรูปแบบสัญญาและการเติมสินค้าช่วยลดสินค้าคงเหลือโดยตรง </w:t>
      </w:r>
      <w:r>
        <w:rPr>
          <w:rFonts w:ascii="TH Sarabun New" w:cs="TH Sarabun New" w:eastAsia="TH Sarabun New" w:hAnsi="TH Sarabun New"/>
          <w:b/>
          <w:bCs/>
          <w:i w:val="false"/>
          <w:iCs w:val="false"/>
          <w:sz w:val="32"/>
          <w:szCs w:val="32"/>
        </w:rPr>
        <w:t xml:space="preserve">ข้อเสีย</w:t>
      </w:r>
      <w:r>
        <w:rPr>
          <w:rFonts w:ascii="TH Sarabun New" w:cs="TH Sarabun New" w:eastAsia="TH Sarabun New" w:hAnsi="TH Sarabun New"/>
          <w:b w:val="false"/>
          <w:bCs w:val="false"/>
          <w:i w:val="false"/>
          <w:iCs w:val="false"/>
          <w:sz w:val="32"/>
          <w:szCs w:val="32"/>
        </w:rPr>
        <w:t xml:space="preserve"> วงจรการขาย B2B ยาวกว่าการขายปลีก ต้องสร้างความสามารถใหม่ และ </w:t>
      </w:r>
      <w:r>
        <w:rPr>
          <w:rFonts w:ascii="TH Sarabun New" w:cs="TH Sarabun New" w:eastAsia="TH Sarabun New" w:hAnsi="TH Sarabun New"/>
          <w:b/>
          <w:bCs/>
          <w:i w:val="false"/>
          <w:iCs w:val="false"/>
          <w:sz w:val="32"/>
          <w:szCs w:val="32"/>
        </w:rPr>
        <w:t xml:space="preserve">บริษัทไม่เปิดเผยอัตรากำไรแยกตามกลุ่มผลิตภัณฑ์ จึงยังพิสูจน์จากข้อมูลสาธารณะไม่ได้ว่ากลุ่มเครื่องแบบมีอัตรากำไรสูงกว่ากลุ่มอื่นจริง</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เกณฑ์ทั้งเจ็ดข้อและน้ำหนักกำหนดก่อนให้คะแนน โดยอ้างอิงสถานการณ์เฉพาะของ PG น้ำหนักสูงสุดให้แก่ความสอดคล้องกับทรัพยากรและศักยภาพอัตรากำไร (ข้อละ 0.20) เพราะปัญหาหลักคือธุรกิจหลักขาดทุนจากอัตรากำไรที่ไม่พอ และบริษัทไม่มีเวลาและทุนพอจะสร้างความสามารถใหม่ตั้งแต่ศูนย์ น้ำหนักต่ำสุดให้แก่เงินลงทุน ความเสี่ยงในการปฏิบัติ และความเร็วสู่ผลลัพธ์ (ข้อละ 0.10) เพราะฐานะการเงินที่แข็งแรงทำให้เงินทุนไม่ใช่ปัจจัยชี้ขาด</w:t>
      </w:r>
    </w:p>
    <w:p>
      <w:pPr>
        <w:keepNext/>
        <w:spacing w:after="50" w:before="130"/>
        <w:jc w:val="left"/>
      </w:pPr>
      <w:r>
        <w:rPr>
          <w:rFonts w:ascii="TH Sarabun New" w:cs="TH Sarabun New" w:eastAsia="TH Sarabun New" w:hAnsi="TH Sarabun New"/>
          <w:b/>
          <w:bCs/>
          <w:i w:val="false"/>
          <w:iCs w:val="false"/>
          <w:sz w:val="28"/>
          <w:szCs w:val="28"/>
        </w:rPr>
        <w:t xml:space="preserve">ตารางที่ 16  เมทริกซ์การตัดสินใจเลือกทางเลือกเชิงกลยุทธ์ และการทดสอบความไว</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3150"/>
        <w:gridCol w:w="790"/>
        <w:gridCol w:w="850"/>
        <w:gridCol w:w="900"/>
        <w:gridCol w:w="850"/>
        <w:gridCol w:w="900"/>
        <w:gridCol w:w="850"/>
        <w:gridCol w:w="1178"/>
      </w:tblGrid>
      <w:tr>
        <w:trPr>
          <w:tblHeader/>
        </w:trPr>
        <w:tc>
          <w:tcPr>
            <w:tcW w:type="dxa" w:w="315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เกณฑ์การตัดสินใจ</w:t>
            </w:r>
          </w:p>
        </w:tc>
        <w:tc>
          <w:tcPr>
            <w:tcW w:type="dxa" w:w="79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น้ำหนัก</w:t>
            </w:r>
          </w:p>
        </w:tc>
        <w:tc>
          <w:tcPr>
            <w:tcW w:type="dxa" w:w="85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A คะแนน</w:t>
            </w:r>
          </w:p>
        </w:tc>
        <w:tc>
          <w:tcPr>
            <w:tcW w:type="dxa" w:w="90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A ถ่วง</w:t>
            </w:r>
          </w:p>
        </w:tc>
        <w:tc>
          <w:tcPr>
            <w:tcW w:type="dxa" w:w="85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B คะแนน</w:t>
            </w:r>
          </w:p>
        </w:tc>
        <w:tc>
          <w:tcPr>
            <w:tcW w:type="dxa" w:w="90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B ถ่วง</w:t>
            </w:r>
          </w:p>
        </w:tc>
        <w:tc>
          <w:tcPr>
            <w:tcW w:type="dxa" w:w="85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C คะแนน</w:t>
            </w:r>
          </w:p>
        </w:tc>
        <w:tc>
          <w:tcPr>
            <w:tcW w:type="dxa" w:w="117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C ถ่วง</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 ความสอดคล้องกับทรัพยากรและความสามารถที่มีอยู่</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w:t>
            </w: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 ความน่าดึงดูดของตลาดเป้าหมาย</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0.45</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3. ศักยภาพอัตรากำไร</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0.80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0.80</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4. เงินลงทุนที่ต้องใช้ (สูง = ลงทุนน้อย)</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0.40</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5. ความเข้มข้นของการแข่งขันและความยากในการเลียนแบบ (สูง = เสียเปรียบน้อย)</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0.15</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w:t>
            </w: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0.60</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 ความเสี่ยงในการนำไปปฏิบัติ (สูง = เสี่ยงต่ำ)</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7. ความเร็วสู่ผลลัพธ์</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0.10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w:t>
            </w: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0.20</w:t>
            </w:r>
          </w:p>
        </w:tc>
        <w:tc>
          <w:tcPr>
            <w:tcW w:type="dxa" w:w="85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w:t>
            </w: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0.30</w:t>
            </w:r>
          </w:p>
        </w:tc>
      </w:tr>
      <w:tr>
        <w:tc>
          <w:tcPr>
            <w:tcW w:type="dxa" w:w="3150"/>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 (กรณีฐาน)</w:t>
            </w:r>
          </w:p>
        </w:tc>
        <w:tc>
          <w:tcPr>
            <w:tcW w:type="dxa" w:w="79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1.00</w:t>
            </w:r>
          </w:p>
        </w:tc>
        <w:tc>
          <w:tcPr>
            <w:tcW w:type="dxa" w:w="850"/>
            <w:shd w:fill="FCE4D6" w:color="auto" w:val="clear"/>
            <w:tcMar>
              <w:top w:type="dxa" w:w="10"/>
              <w:left w:type="dxa" w:w="60"/>
              <w:bottom w:type="dxa" w:w="10"/>
              <w:right w:type="dxa" w:w="60"/>
            </w:tcMar>
            <w:vAlign w:val="center"/>
          </w:tcPr>
          <w:p>
            <w:pPr>
              <w:spacing w:after="10" w:line="228"/>
              <w:jc w:val="center"/>
            </w:pPr>
          </w:p>
        </w:tc>
        <w:tc>
          <w:tcPr>
            <w:tcW w:type="dxa" w:w="90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2.00</w:t>
            </w:r>
          </w:p>
        </w:tc>
        <w:tc>
          <w:tcPr>
            <w:tcW w:type="dxa" w:w="850"/>
            <w:shd w:fill="FCE4D6" w:color="auto" w:val="clear"/>
            <w:tcMar>
              <w:top w:type="dxa" w:w="10"/>
              <w:left w:type="dxa" w:w="60"/>
              <w:bottom w:type="dxa" w:w="10"/>
              <w:right w:type="dxa" w:w="60"/>
            </w:tcMar>
            <w:vAlign w:val="center"/>
          </w:tcPr>
          <w:p>
            <w:pPr>
              <w:spacing w:after="10" w:line="228"/>
              <w:jc w:val="center"/>
            </w:pPr>
          </w:p>
        </w:tc>
        <w:tc>
          <w:tcPr>
            <w:tcW w:type="dxa" w:w="900"/>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2.70</w:t>
            </w:r>
          </w:p>
        </w:tc>
        <w:tc>
          <w:tcPr>
            <w:tcW w:type="dxa" w:w="850"/>
            <w:shd w:fill="FCE4D6" w:color="auto" w:val="clear"/>
            <w:tcMar>
              <w:top w:type="dxa" w:w="10"/>
              <w:left w:type="dxa" w:w="60"/>
              <w:bottom w:type="dxa" w:w="10"/>
              <w:right w:type="dxa" w:w="60"/>
            </w:tcMar>
            <w:vAlign w:val="center"/>
          </w:tcPr>
          <w:p>
            <w:pPr>
              <w:spacing w:after="10" w:line="228"/>
              <w:jc w:val="center"/>
            </w:pPr>
          </w:p>
        </w:tc>
        <w:tc>
          <w:tcPr>
            <w:tcW w:type="dxa" w:w="1178"/>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4.00</w:t>
            </w:r>
          </w:p>
        </w:tc>
      </w:tr>
      <w:tr>
        <w:tc>
          <w:tcPr>
            <w:tcW w:type="dxa" w:w="946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การทดสอบความไว</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กรณีที่ 1 เพิ่มน้ำหนักความน่าดึงดูดของตลาดเป็น 0.30 ลดน้ำหนักความสอดคล้องกับทรัพยากรเหลือ 0.05 (เอื้อ B มากที่สุด)</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w:t>
            </w:r>
          </w:p>
        </w:tc>
        <w:tc>
          <w:tcPr>
            <w:tcW w:type="dxa" w:w="850"/>
            <w:tcMar>
              <w:top w:type="dxa" w:w="10"/>
              <w:left w:type="dxa" w:w="60"/>
              <w:bottom w:type="dxa" w:w="10"/>
              <w:right w:type="dxa" w:w="60"/>
            </w:tcMar>
            <w:vAlign w:val="center"/>
          </w:tcPr>
          <w:p>
            <w:pPr>
              <w:spacing w:after="10" w:line="228"/>
              <w:jc w:val="center"/>
            </w:pP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2.00</w:t>
            </w:r>
          </w:p>
        </w:tc>
        <w:tc>
          <w:tcPr>
            <w:tcW w:type="dxa" w:w="850"/>
            <w:tcMar>
              <w:top w:type="dxa" w:w="10"/>
              <w:left w:type="dxa" w:w="60"/>
              <w:bottom w:type="dxa" w:w="10"/>
              <w:right w:type="dxa" w:w="60"/>
            </w:tcMar>
            <w:vAlign w:val="center"/>
          </w:tcPr>
          <w:p>
            <w:pPr>
              <w:spacing w:after="10" w:line="228"/>
              <w:jc w:val="center"/>
            </w:pP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3.00</w:t>
            </w:r>
          </w:p>
        </w:tc>
        <w:tc>
          <w:tcPr>
            <w:tcW w:type="dxa" w:w="850"/>
            <w:tcMar>
              <w:top w:type="dxa" w:w="10"/>
              <w:left w:type="dxa" w:w="60"/>
              <w:bottom w:type="dxa" w:w="10"/>
              <w:right w:type="dxa" w:w="60"/>
            </w:tcMar>
            <w:vAlign w:val="center"/>
          </w:tcPr>
          <w:p>
            <w:pPr>
              <w:spacing w:after="10" w:line="228"/>
              <w:jc w:val="center"/>
            </w:pP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3.85</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กรณีที่ 2 ลดคะแนนศักยภาพอัตรากำไรของ C จาก 4 เหลือ 2 (การพิสูจน์กำไรใน 90 วันไม่ยืนยันสมมติฐาน)</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w:t>
            </w:r>
          </w:p>
        </w:tc>
        <w:tc>
          <w:tcPr>
            <w:tcW w:type="dxa" w:w="850"/>
            <w:tcMar>
              <w:top w:type="dxa" w:w="10"/>
              <w:left w:type="dxa" w:w="60"/>
              <w:bottom w:type="dxa" w:w="10"/>
              <w:right w:type="dxa" w:w="60"/>
            </w:tcMar>
            <w:vAlign w:val="center"/>
          </w:tcPr>
          <w:p>
            <w:pPr>
              <w:spacing w:after="10" w:line="228"/>
              <w:jc w:val="center"/>
            </w:pP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2.00</w:t>
            </w:r>
          </w:p>
        </w:tc>
        <w:tc>
          <w:tcPr>
            <w:tcW w:type="dxa" w:w="850"/>
            <w:tcMar>
              <w:top w:type="dxa" w:w="10"/>
              <w:left w:type="dxa" w:w="60"/>
              <w:bottom w:type="dxa" w:w="10"/>
              <w:right w:type="dxa" w:w="60"/>
            </w:tcMar>
            <w:vAlign w:val="center"/>
          </w:tcPr>
          <w:p>
            <w:pPr>
              <w:spacing w:after="10" w:line="228"/>
              <w:jc w:val="center"/>
            </w:pP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2.70</w:t>
            </w:r>
          </w:p>
        </w:tc>
        <w:tc>
          <w:tcPr>
            <w:tcW w:type="dxa" w:w="850"/>
            <w:tcMar>
              <w:top w:type="dxa" w:w="10"/>
              <w:left w:type="dxa" w:w="60"/>
              <w:bottom w:type="dxa" w:w="10"/>
              <w:right w:type="dxa" w:w="60"/>
            </w:tcMar>
            <w:vAlign w:val="center"/>
          </w:tcPr>
          <w:p>
            <w:pPr>
              <w:spacing w:after="10" w:line="228"/>
              <w:jc w:val="center"/>
            </w:pP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3.60</w:t>
            </w:r>
          </w:p>
        </w:tc>
      </w:tr>
      <w:tr>
        <w:tc>
          <w:tcPr>
            <w:tcW w:type="dxa" w:w="315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กรณีที่ 3 ให้ B ได้คะแนนสูงสุดทั้งอัตรากำไร (5) และความน่าดึงดูดของตลาด (5)</w:t>
            </w:r>
          </w:p>
        </w:tc>
        <w:tc>
          <w:tcPr>
            <w:tcW w:type="dxa" w:w="79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w:t>
            </w:r>
          </w:p>
        </w:tc>
        <w:tc>
          <w:tcPr>
            <w:tcW w:type="dxa" w:w="850"/>
            <w:tcMar>
              <w:top w:type="dxa" w:w="10"/>
              <w:left w:type="dxa" w:w="60"/>
              <w:bottom w:type="dxa" w:w="10"/>
              <w:right w:type="dxa" w:w="60"/>
            </w:tcMar>
            <w:vAlign w:val="center"/>
          </w:tcPr>
          <w:p>
            <w:pPr>
              <w:spacing w:after="10" w:line="228"/>
              <w:jc w:val="center"/>
            </w:pP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2.00</w:t>
            </w:r>
          </w:p>
        </w:tc>
        <w:tc>
          <w:tcPr>
            <w:tcW w:type="dxa" w:w="850"/>
            <w:tcMar>
              <w:top w:type="dxa" w:w="10"/>
              <w:left w:type="dxa" w:w="60"/>
              <w:bottom w:type="dxa" w:w="10"/>
              <w:right w:type="dxa" w:w="60"/>
            </w:tcMar>
            <w:vAlign w:val="center"/>
          </w:tcPr>
          <w:p>
            <w:pPr>
              <w:spacing w:after="10" w:line="228"/>
              <w:jc w:val="center"/>
            </w:pPr>
          </w:p>
        </w:tc>
        <w:tc>
          <w:tcPr>
            <w:tcW w:type="dxa" w:w="900"/>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3.05</w:t>
            </w:r>
          </w:p>
        </w:tc>
        <w:tc>
          <w:tcPr>
            <w:tcW w:type="dxa" w:w="850"/>
            <w:tcMar>
              <w:top w:type="dxa" w:w="10"/>
              <w:left w:type="dxa" w:w="60"/>
              <w:bottom w:type="dxa" w:w="10"/>
              <w:right w:type="dxa" w:w="60"/>
            </w:tcMar>
            <w:vAlign w:val="center"/>
          </w:tcPr>
          <w:p>
            <w:pPr>
              <w:spacing w:after="10" w:line="228"/>
              <w:jc w:val="center"/>
            </w:pPr>
          </w:p>
        </w:tc>
        <w:tc>
          <w:tcPr>
            <w:tcW w:type="dxa" w:w="1178"/>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4.00</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A = การเร่งปริมาณงานรับจ้างผลิตเพื่อส่งออก, B = แบรนด์ของตนเองแบบ D2C, C = โซลูชันเครื่องแบบและชุดทำงานเชิงฟังก์ชัน  คะแนน 1–5 เป็นการประเมินของผู้จัดทำจากหลักฐานในตารางที่ 6–7 และบทที่ 2</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คำอธิบายคะแนนที่อาจถูกตั้งคำถาม</w:t>
      </w:r>
      <w:r>
        <w:rPr>
          <w:rFonts w:ascii="TH Sarabun New" w:cs="TH Sarabun New" w:eastAsia="TH Sarabun New" w:hAnsi="TH Sarabun New"/>
          <w:b w:val="false"/>
          <w:bCs w:val="false"/>
          <w:i w:val="false"/>
          <w:iCs w:val="false"/>
          <w:sz w:val="32"/>
          <w:szCs w:val="32"/>
        </w:rPr>
        <w:t xml:space="preserve"> เกณฑ์ที่ 3 ทางเลือก B ได้ 4 เท่ากับ C แม้อัตรากำไรขั้นต้นสูงกว่า เพราะอัตรากำไรของ Sabina และ MC Group มาพร้อมค่าใช้จ่ายการตลาดสูงมาก จึงเทียบตรงกับโมเดล B2B ไม่ได้ เกณฑ์ที่ 2 ทางเลือก C ได้ 4 ไม่ใช่ 5 เพราะตลาดในประเทศยังอ่อนแอ และเกณฑ์ที่ 6 ได้ 3 เพราะวงจรการขาย B2B ยาวและเสี่ยงความขัดแย้งช่องทางกับ I.C.C.</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ผลการทดสอบความไว</w:t>
      </w:r>
      <w:r>
        <w:rPr>
          <w:rFonts w:ascii="TH Sarabun New" w:cs="TH Sarabun New" w:eastAsia="TH Sarabun New" w:hAnsi="TH Sarabun New"/>
          <w:b w:val="false"/>
          <w:bCs w:val="false"/>
          <w:i w:val="false"/>
          <w:iCs w:val="false"/>
          <w:sz w:val="32"/>
          <w:szCs w:val="32"/>
        </w:rPr>
        <w:t xml:space="preserve"> ยืนยันทางเลือก C ทั้งสามกรณี </w:t>
      </w:r>
      <w:r>
        <w:rPr>
          <w:rFonts w:ascii="TH Sarabun New" w:cs="TH Sarabun New" w:eastAsia="TH Sarabun New" w:hAnsi="TH Sarabun New"/>
          <w:b/>
          <w:bCs/>
          <w:i w:val="false"/>
          <w:iCs w:val="false"/>
          <w:sz w:val="32"/>
          <w:szCs w:val="32"/>
        </w:rPr>
        <w:t xml:space="preserve">ทางเลือก A ถูกตัดออกเพราะได้คะแนนต่ำที่สุดทุกกรณี</w:t>
      </w:r>
      <w:r>
        <w:rPr>
          <w:rFonts w:ascii="TH Sarabun New" w:cs="TH Sarabun New" w:eastAsia="TH Sarabun New" w:hAnsi="TH Sarabun New"/>
          <w:b w:val="false"/>
          <w:bCs w:val="false"/>
          <w:i w:val="false"/>
          <w:iCs w:val="false"/>
          <w:sz w:val="32"/>
          <w:szCs w:val="32"/>
        </w:rPr>
        <w:t xml:space="preserve"> เงื่อนไขเดียวที่จะทำให้ C แพ้ B คือคะแนนความสอดคล้องกับทรัพยากรของ C ลดจาก 5 เหลือ 1 พร้อมกับศักยภาพอัตรากำไรลดจาก 4 เหลือ 2 ซึ่งขัดกับหลักฐานว่า PG มีโรงงานผ้าถัก ใบรับรองมาตรฐาน และฐานลูกค้าเครื่องแบบอยู่จริง</w:t>
      </w:r>
    </w:p>
    <w:p>
      <w:pPr>
        <w:pStyle w:val="Heading3"/>
        <w:keepNext/>
        <w:spacing w:after="70" w:before="150"/>
      </w:pPr>
      <w:r>
        <w:rPr>
          <w:rFonts w:ascii="TH Sarabun New" w:cs="TH Sarabun New" w:eastAsia="TH Sarabun New" w:hAnsi="TH Sarabun New"/>
          <w:b/>
          <w:bCs/>
          <w:i w:val="false"/>
          <w:iCs w:val="false"/>
          <w:sz w:val="32"/>
          <w:szCs w:val="32"/>
        </w:rPr>
        <w:t xml:space="preserve">4.4.2 กลยุทธ์ที่เลือก (Recommended Strategy)</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ประเด็นเชิงกลยุทธ์</w:t>
      </w:r>
      <w:r>
        <w:rPr>
          <w:rFonts w:ascii="TH Sarabun New" w:cs="TH Sarabun New" w:eastAsia="TH Sarabun New" w:hAnsi="TH Sarabun New"/>
          <w:b w:val="false"/>
          <w:bCs w:val="false"/>
          <w:i w:val="false"/>
          <w:iCs w:val="false"/>
          <w:sz w:val="32"/>
          <w:szCs w:val="32"/>
        </w:rPr>
        <w:t xml:space="preserve"> “PG มีฐานะการเงินแข็งแรง มีมาตรฐานและใบรับรองครบ ผลิตแบบบูรณาการได้ และมีเครือข่ายผู้ถือหุ้นเข้มแข็ง แต่ธุรกิจหลักสร้างกำไรไม่พอต่อเนื่องสามปี เพราะกระจายทรัพยากรไปหลายกลุ่มผลิตภัณฑ์ที่แข่งด้วยราคา ปรับโครงสร้างค่าใช้จ่ายตามปริมาณขายได้ช้า พึ่งพาลูกค้าและช่องทางรายเดียวเกินไป และไม่มีกลไกวัดกำไรก่อนรับงาน จึงต้องเลือกสนามที่ทรัพยากรของตนสร้างมูลค่าได้มากกว่าต้นทุน พร้อมจัดสรรทุนและโครงสร้างองค์กรใหม่”</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กลยุทธ์ที่เลือก</w:t>
      </w:r>
      <w:r>
        <w:rPr>
          <w:rFonts w:ascii="TH Sarabun New" w:cs="TH Sarabun New" w:eastAsia="TH Sarabun New" w:hAnsi="TH Sarabun New"/>
          <w:b w:val="false"/>
          <w:bCs w:val="false"/>
          <w:i w:val="false"/>
          <w:iCs w:val="false"/>
          <w:sz w:val="32"/>
          <w:szCs w:val="32"/>
        </w:rPr>
        <w:t xml:space="preserve"> การฟื้นฟูกิจการแบบมุ่งเน้นควบคู่การเติบโตแบบมุ่งเน้น (Focused Turnaround + Concentrated Growth) ภายใต้ชื่อ “PG Functional Workwear Platform 2570–2574” เปลี่ยนตำแหน่งบริษัทจาก “ผู้รับจ้างผลิตเสื้อผ้าหลากหลายประเภท” ไปสู่ “ผู้ออกแบบ ผลิต ส่งมอบ เติมสินค้า และให้หลักฐานด้านคุณสมบัติและความยั่งยืน สำหรับเครื่องแบบที่มีภารกิจการใช้งานเฉพาะ” ลูกค้าเป้าหมายสี่กลุ่ม คือ (1) การแพทย์และการดูแลสุขภาพ (2) งานบริการและโรงแรม (3) อุตสาหกรรมและองค์กร รวมองค์กรในเครือสหพัฒน์ และ (4) งาน ODM ส่งออกเฉพาะกลุ่มที่มีข้อกำหนดสูง ข้อเสนอคุณค่าคือบริการครบวงจรตั้งแต่ออกแบบถึงส่งมอบ คุณสมบัติเชิงฟังก์ชันที่มีเอกสารข้อกำหนดและผลทดสอบรองรับ วัสดุยั่งยืนพร้อมข้อมูลตรวจสอบย้อนกลับระดับ SKU และล็อต MOQ ที่ยืดหยุ่นพร้อมบริการเติมสินค้าตามสัญญา และความน่าเชื่อถือของคุณภาพและกำหนดเวลาส่งมอบ</w:t>
      </w:r>
    </w:p>
    <w:p>
      <w:pPr>
        <w:pStyle w:val="Heading3"/>
        <w:keepNext/>
        <w:spacing w:after="70" w:before="150"/>
      </w:pPr>
      <w:r>
        <w:rPr>
          <w:rFonts w:ascii="TH Sarabun New" w:cs="TH Sarabun New" w:eastAsia="TH Sarabun New" w:hAnsi="TH Sarabun New"/>
          <w:b/>
          <w:bCs/>
          <w:i w:val="false"/>
          <w:iCs w:val="false"/>
          <w:sz w:val="32"/>
          <w:szCs w:val="32"/>
        </w:rPr>
        <w:t xml:space="preserve">4.4.3 กลยุทธ์ระดับองค์กร (Corporate Strategy)</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กลยุทธ์ระดับองค์กรมีสองส่วนที่ดำเนินคู่ขนานแต่ลำดับความสำคัญต่างกัน ส่วนแรกคือ </w:t>
      </w:r>
      <w:r>
        <w:rPr>
          <w:rFonts w:ascii="TH Sarabun New" w:cs="TH Sarabun New" w:eastAsia="TH Sarabun New" w:hAnsi="TH Sarabun New"/>
          <w:b/>
          <w:bCs/>
          <w:i w:val="false"/>
          <w:iCs w:val="false"/>
          <w:sz w:val="32"/>
          <w:szCs w:val="32"/>
        </w:rPr>
        <w:t xml:space="preserve">กลยุทธ์ลดขนาดแบบฟื้นฟูกิจการ (Retrenchment: Turnaround)</w:t>
      </w:r>
      <w:r>
        <w:rPr>
          <w:rFonts w:ascii="TH Sarabun New" w:cs="TH Sarabun New" w:eastAsia="TH Sarabun New" w:hAnsi="TH Sarabun New"/>
          <w:b w:val="false"/>
          <w:bCs w:val="false"/>
          <w:i w:val="false"/>
          <w:iCs w:val="false"/>
          <w:sz w:val="32"/>
          <w:szCs w:val="32"/>
        </w:rPr>
        <w:t xml:space="preserve"> ซึ่งตามบทเรียนบทที่ 7 เหมาะกับสถานการณ์ที่ปัญหากระจายตัวแต่ยังไม่วิกฤต ประกอบด้วยระยะหดตัวเพื่อหยุดการสูญเสีย แล้วจึงรวมองค์กรที่กระชับขึ้นให้มั่นคง PG ตรงเงื่อนไขนี้ คือขาดทุนเชิงปฏิบัติการต่อเนื่องสามปี แต่มี D/E เพียง 0.11 เท่าและส่วนของผู้ถือหุ้น 1,365.54 ล้านบาท จึงยังไม่วิกฤตถึงขั้นต้องขายกิจการหรือใช้กลยุทธ์บริษัทเชลย ระยะหดตัวทำในปีที่ 1 ผ่านการยุติหรือเจรจาใหม่กับสินค้าและลูกค้าที่ไม่ผ่านเกณฑ์กำไร ลดค่าใช้จ่ายเชิงโครงสร้าง และทบทวนนโยบายจัดสรรทุน ระยะรวมองค์กรทำในปีที่ 2–3 ผ่านการจัดตั้งหน่วยธุรกิจที่มีงบกำไรขาดทุนของตนเอง ส่วนที่สองคือ </w:t>
      </w:r>
      <w:r>
        <w:rPr>
          <w:rFonts w:ascii="TH Sarabun New" w:cs="TH Sarabun New" w:eastAsia="TH Sarabun New" w:hAnsi="TH Sarabun New"/>
          <w:b/>
          <w:bCs/>
          <w:i w:val="false"/>
          <w:iCs w:val="false"/>
          <w:sz w:val="32"/>
          <w:szCs w:val="32"/>
        </w:rPr>
        <w:t xml:space="preserve">กลยุทธ์การเติบโตแบบมุ่งเน้น (Concentrated Growth: Horizontal Growth)</w:t>
      </w:r>
      <w:r>
        <w:rPr>
          <w:rFonts w:ascii="TH Sarabun New" w:cs="TH Sarabun New" w:eastAsia="TH Sarabun New" w:hAnsi="TH Sarabun New"/>
          <w:b w:val="false"/>
          <w:bCs w:val="false"/>
          <w:i w:val="false"/>
          <w:iCs w:val="false"/>
          <w:sz w:val="32"/>
          <w:szCs w:val="32"/>
        </w:rPr>
        <w:t xml:space="preserve"> เมื่อผ่านการพิสูจน์กำไรในปีที่ 1 บริษัทจะเติบโตในอุตสาหกรรมเดิมด้วยการขยายขอบเขตผลิตภัณฑ์และบริการต่อลูกค้าองค์กร จากขายเสื้อผ้าเป็นชิ้นสู่การขายโซลูชันเครื่องแบบ พร้อมขยายเชิงภูมิศาสตร์อย่างจำกัดในงาน ODM ส่งออกตั้งแต่ปีที่ 4 </w:t>
      </w:r>
      <w:r>
        <w:rPr>
          <w:rFonts w:ascii="TH Sarabun New" w:cs="TH Sarabun New" w:eastAsia="TH Sarabun New" w:hAnsi="TH Sarabun New"/>
          <w:b/>
          <w:bCs/>
          <w:i w:val="false"/>
          <w:iCs w:val="false"/>
          <w:sz w:val="32"/>
          <w:szCs w:val="32"/>
        </w:rPr>
        <w:t xml:space="preserve">สิ่งที่บริษัทจะไม่ทำ</w:t>
      </w:r>
      <w:r>
        <w:rPr>
          <w:rFonts w:ascii="TH Sarabun New" w:cs="TH Sarabun New" w:eastAsia="TH Sarabun New" w:hAnsi="TH Sarabun New"/>
          <w:b w:val="false"/>
          <w:bCs w:val="false"/>
          <w:i w:val="false"/>
          <w:iCs w:val="false"/>
          <w:sz w:val="32"/>
          <w:szCs w:val="32"/>
        </w:rPr>
        <w:t xml:space="preserve"> ได้แก่ ไม่ขยายกำลังการผลิตก่อนมีคำสั่งซื้อรองรับ ไม่ประมูลงานรับจ้างผลิตทั่วไปที่ไม่ผ่านเกณฑ์กำไรส่วนเพิ่ม ไม่ลงทุนสร้างแบรนด์ผู้บริโภคเต็มรูปแบบในระยะของแผนนี้ และไม่กระจายธุรกิจสู่อุตสาหกรรมที่ไม่เกี่ยวข้อง</w:t>
      </w:r>
    </w:p>
    <w:p>
      <w:pPr>
        <w:pStyle w:val="Heading3"/>
        <w:keepNext/>
        <w:spacing w:after="70" w:before="150"/>
      </w:pPr>
      <w:r>
        <w:rPr>
          <w:rFonts w:ascii="TH Sarabun New" w:cs="TH Sarabun New" w:eastAsia="TH Sarabun New" w:hAnsi="TH Sarabun New"/>
          <w:b/>
          <w:bCs/>
          <w:i w:val="false"/>
          <w:iCs w:val="false"/>
          <w:sz w:val="32"/>
          <w:szCs w:val="32"/>
        </w:rPr>
        <w:t xml:space="preserve">4.4.4 กลยุทธ์ระดับธุรกิจ (Business Strategy)</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กลยุทธ์ระดับธุรกิจที่เลือกคือ </w:t>
      </w:r>
      <w:r>
        <w:rPr>
          <w:rFonts w:ascii="TH Sarabun New" w:cs="TH Sarabun New" w:eastAsia="TH Sarabun New" w:hAnsi="TH Sarabun New"/>
          <w:b/>
          <w:bCs/>
          <w:i w:val="false"/>
          <w:iCs w:val="false"/>
          <w:sz w:val="32"/>
          <w:szCs w:val="32"/>
        </w:rPr>
        <w:t xml:space="preserve">การสร้างความแตกต่างแบบมุ่งเน้น (Focused Differentiation)</w:t>
      </w:r>
      <w:r>
        <w:rPr>
          <w:rFonts w:ascii="TH Sarabun New" w:cs="TH Sarabun New" w:eastAsia="TH Sarabun New" w:hAnsi="TH Sarabun New"/>
          <w:b w:val="false"/>
          <w:bCs w:val="false"/>
          <w:i w:val="false"/>
          <w:iCs w:val="false"/>
          <w:sz w:val="32"/>
          <w:szCs w:val="32"/>
        </w:rPr>
        <w:t xml:space="preserve"> ตามกรอบของ Porter ในบทเรียนบทที่ 6 ด้วยเหตุผลสามข้อ ข้อแรก กลยุทธ์ผู้นำต้นทุนถูกตัดออกด้วยหลักฐานเชิงโครงสร้าง คือต้นทุนแรงงานไทยสูงกว่าคู่แข่งหลัก 2–3 เท่า และกำลังการผลิตของ PG เล็กกว่าคู่แข่งอ้างอิง 14.8 เท่า ข้อที่สอง การสร้างความแตกต่างแบบตลาดกว้างถูกตัดออกเพราะต้องอาศัยแบรนด์และงบการตลาดที่ PG ไม่มี ข้อที่สาม การมุ่งเน้นเฉพาะกลุ่มทำให้แรงกดดันทั้งห้าอ่อนลงพร้อมกัน คืออำนาจต่อรองผู้ซื้อลดลงเพราะการเปลี่ยนผู้ผลิตมีต้นทุนจากการรับรองคุณสมบัติ ภัยจากสินค้าทดแทนลดลงเพราะเครื่องแบบวิชาชีพมีข้อกำหนดความปลอดภัย และกำแพงการเข้าตลาดสูงขึ้นเพราะต้องมีประวัติผลงานและใบรับรอง </w:t>
      </w:r>
      <w:r>
        <w:rPr>
          <w:rFonts w:ascii="TH Sarabun New" w:cs="TH Sarabun New" w:eastAsia="TH Sarabun New" w:hAnsi="TH Sarabun New"/>
          <w:b/>
          <w:bCs/>
          <w:i w:val="false"/>
          <w:iCs w:val="false"/>
          <w:sz w:val="32"/>
          <w:szCs w:val="32"/>
        </w:rPr>
        <w:t xml:space="preserve">ฐานของความแตกต่างต้องพิสูจน์ได้ ไม่ใช่คำโฆษณา</w:t>
      </w:r>
      <w:r>
        <w:rPr>
          <w:rFonts w:ascii="TH Sarabun New" w:cs="TH Sarabun New" w:eastAsia="TH Sarabun New" w:hAnsi="TH Sarabun New"/>
          <w:b w:val="false"/>
          <w:bCs w:val="false"/>
          <w:i w:val="false"/>
          <w:iCs w:val="false"/>
          <w:sz w:val="32"/>
          <w:szCs w:val="32"/>
        </w:rPr>
        <w:t xml:space="preserve"> จึงมีสี่องค์ประกอบที่วัดได้ คือเอกสารข้อกำหนดและผลทดสอบรายแพลตฟอร์ม ข้อมูลวัสดุและการตรวจสอบย้อนกลับระดับ SKU และล็อต ข้อตกลงระดับการให้บริการด้านกำหนดเวลาส่งมอบและอัตราสินค้าพร้อมส่ง และข้อมูลอายุการใช้งานต่อรอบการซักสำหรับคำนวณต้นทุนตลอดอายุการใช้งาน</w:t>
      </w:r>
    </w:p>
    <w:p>
      <w:pPr>
        <w:pStyle w:val="Heading3"/>
        <w:keepNext/>
        <w:spacing w:after="70" w:before="150"/>
      </w:pPr>
      <w:r>
        <w:rPr>
          <w:rFonts w:ascii="TH Sarabun New" w:cs="TH Sarabun New" w:eastAsia="TH Sarabun New" w:hAnsi="TH Sarabun New"/>
          <w:b/>
          <w:bCs/>
          <w:i w:val="false"/>
          <w:iCs w:val="false"/>
          <w:sz w:val="32"/>
          <w:szCs w:val="32"/>
        </w:rPr>
        <w:t xml:space="preserve">4.4.5 กลยุทธ์ระดับหน้าที่ (Functional Strategy)</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กลยุทธ์ระดับหน้าที่ทั้งเจ็ดด้านสนับสนุนกลยุทธ์ระดับธุรกิจโดยตรง และทุกด้านสืบย้อนกลับไปยังกลยุทธ์ใน TOWS ได้</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การตลาดและการขาย B2B</w:t>
      </w:r>
      <w:r>
        <w:rPr>
          <w:rFonts w:ascii="TH Sarabun New" w:cs="TH Sarabun New" w:eastAsia="TH Sarabun New" w:hAnsi="TH Sarabun New"/>
          <w:b w:val="false"/>
          <w:bCs w:val="false"/>
          <w:i w:val="false"/>
          <w:iCs w:val="false"/>
          <w:sz w:val="32"/>
          <w:szCs w:val="32"/>
        </w:rPr>
        <w:t xml:space="preserve"> เปลี่ยนจากการรอคำสั่งซื้อผ่านผู้จัดจำหน่าย สู่การขายแบบ Account-based ที่มีผู้รับผิดชอบรายลูกค้า บัญชีลูกค้าเป้าหมาย และระบบติดตามโอกาสการขาย ใช้ผลทดสอบและต้นทุนตลอดอายุการใช้งานเป็นเครื่องมือขายแทนราคาต่อชิ้น (SO1, SO3, WO2)</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การผลิตและปฏิบัติการ</w:t>
      </w:r>
      <w:r>
        <w:rPr>
          <w:rFonts w:ascii="TH Sarabun New" w:cs="TH Sarabun New" w:eastAsia="TH Sarabun New" w:hAnsi="TH Sarabun New"/>
          <w:b w:val="false"/>
          <w:bCs w:val="false"/>
          <w:i w:val="false"/>
          <w:iCs w:val="false"/>
          <w:sz w:val="32"/>
          <w:szCs w:val="32"/>
        </w:rPr>
        <w:t xml:space="preserve"> เปลี่ยนจากผลิตเก็บสต็อกสู่ผลิตตามคำสั่งซื้อ จัดสายการผลิตตามแพลตฟอร์ม กำหนด MOQ ที่มีวินัย รับรองคู่ค้าที่รับงานมาตรฐาน และลงทุนระบบกึ่งอัตโนมัติเฉพาะสายที่ผ่านเกณฑ์ผลตอบแทน (ST1, WT1, WO3)</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การพัฒนาผลิตภัณฑ์และวิจัย</w:t>
      </w:r>
      <w:r>
        <w:rPr>
          <w:rFonts w:ascii="TH Sarabun New" w:cs="TH Sarabun New" w:eastAsia="TH Sarabun New" w:hAnsi="TH Sarabun New"/>
          <w:b w:val="false"/>
          <w:bCs w:val="false"/>
          <w:i w:val="false"/>
          <w:iCs w:val="false"/>
          <w:sz w:val="32"/>
          <w:szCs w:val="32"/>
        </w:rPr>
        <w:t xml:space="preserve"> ยุบการพัฒนาแบบคอลเลกชันกระจัดกระจาย รวมเป็น 4 แพลตฟอร์ม แต่ละแพลตฟอร์มต้องมีเอกสารข้อกำหนด ผลทดสอบ และข้อมูลอายุการใช้งานครบก่อนออกสู่ตลาด (SO1, SO2)</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เทคโนโลยีและข้อมูล</w:t>
      </w:r>
      <w:r>
        <w:rPr>
          <w:rFonts w:ascii="TH Sarabun New" w:cs="TH Sarabun New" w:eastAsia="TH Sarabun New" w:hAnsi="TH Sarabun New"/>
          <w:b w:val="false"/>
          <w:bCs w:val="false"/>
          <w:i w:val="false"/>
          <w:iCs w:val="false"/>
          <w:sz w:val="32"/>
          <w:szCs w:val="32"/>
        </w:rPr>
        <w:t xml:space="preserve"> ลงทุน CRM ระบบคิดต้นทุนดิจิทัลที่คำนวณกำไรส่วนเพิ่มก่อนเสนอราคา ระบบ S&amp;OP และระบบตรวจสอบย้อนกลับ ตามลำดับความจำเป็นทางธุรกิจ ไม่ใช่ตามกระแสเทคโนโลยี (WO1, WO3, SO2)</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ทรัพยากรมนุษย์</w:t>
      </w:r>
      <w:r>
        <w:rPr>
          <w:rFonts w:ascii="TH Sarabun New" w:cs="TH Sarabun New" w:eastAsia="TH Sarabun New" w:hAnsi="TH Sarabun New"/>
          <w:b w:val="false"/>
          <w:bCs w:val="false"/>
          <w:i w:val="false"/>
          <w:iCs w:val="false"/>
          <w:sz w:val="32"/>
          <w:szCs w:val="32"/>
        </w:rPr>
        <w:t xml:space="preserve"> สรรหาสามบทบาทที่ยังขาด คือวิศวกรการขาย นักเทคโนโลยีสิ่งทอ และผู้เชี่ยวชาญ IE/ข้อมูล พัฒนาพนักงานผลิตให้มีทักษะหลากหลาย และกำหนดตำแหน่งวิกฤตที่ต้องปกป้องระหว่างลดค่าใช้จ่าย (หัวข้อ 3.2.3)</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การเงินและการจัดสรรทุน</w:t>
      </w:r>
      <w:r>
        <w:rPr>
          <w:rFonts w:ascii="TH Sarabun New" w:cs="TH Sarabun New" w:eastAsia="TH Sarabun New" w:hAnsi="TH Sarabun New"/>
          <w:b w:val="false"/>
          <w:bCs w:val="false"/>
          <w:i w:val="false"/>
          <w:iCs w:val="false"/>
          <w:sz w:val="32"/>
          <w:szCs w:val="32"/>
        </w:rPr>
        <w:t xml:space="preserve"> กำหนดเกณฑ์กำไรขั้นต่ำต่อลูกค้าและ SKU ก่อนรับงาน แยกรายงานผลธุรกิจหลักจากรายได้อื่นทุกเดือน กำหนดผลตอบแทนขั้นต่ำของโครงการและอนุมัติงบเป็นขั้น และทบทวนสัดส่วนสินทรัพย์ทางการเงินเทียบความจำเป็นลงทุนธุรกิจหลัก (WO1, WT1)</w:t>
      </w:r>
    </w:p>
    <w:p>
      <w:pPr>
        <w:pStyle w:val="ListParagraph"/>
        <w:numPr>
          <w:ilvl w:val="0"/>
          <w:numId w:val="1"/>
        </w:numPr>
        <w:spacing w:after="35" w:line="240"/>
        <w:jc w:val="both"/>
      </w:pPr>
      <w:r>
        <w:rPr>
          <w:rFonts w:ascii="TH Sarabun New" w:cs="TH Sarabun New" w:eastAsia="TH Sarabun New" w:hAnsi="TH Sarabun New"/>
          <w:b/>
          <w:bCs/>
          <w:i w:val="false"/>
          <w:iCs w:val="false"/>
          <w:sz w:val="32"/>
          <w:szCs w:val="32"/>
        </w:rPr>
        <w:t xml:space="preserve">ห่วงโซ่อุปทานและความยั่งยืน</w:t>
      </w:r>
      <w:r>
        <w:rPr>
          <w:rFonts w:ascii="TH Sarabun New" w:cs="TH Sarabun New" w:eastAsia="TH Sarabun New" w:hAnsi="TH Sarabun New"/>
          <w:b w:val="false"/>
          <w:bCs w:val="false"/>
          <w:i w:val="false"/>
          <w:iCs w:val="false"/>
          <w:sz w:val="32"/>
          <w:szCs w:val="32"/>
        </w:rPr>
        <w:t xml:space="preserve"> ขยายระบบรับรองคู่ค้าให้ครอบคลุมข้อมูลวัสดุและการตรวจสอบย้อนกลับ ทำแฟ้มข้อมูลวัสดุสำหรับสินค้าเชิงกลยุทธ์ และเตรียมพร้อมข้อกำหนดแรงงานบังคับของ EU (14 ธ.ค. 2570) ล่วงหน้าอย่างน้อยหนึ่งปี (SO2)</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ความสอดคล้องของกลยุทธ์สามระดับ</w:t>
      </w:r>
      <w:r>
        <w:rPr>
          <w:rFonts w:ascii="TH Sarabun New" w:cs="TH Sarabun New" w:eastAsia="TH Sarabun New" w:hAnsi="TH Sarabun New"/>
          <w:b w:val="false"/>
          <w:bCs w:val="false"/>
          <w:i w:val="false"/>
          <w:iCs w:val="false"/>
          <w:sz w:val="32"/>
          <w:szCs w:val="32"/>
        </w:rPr>
        <w:t xml:space="preserve"> ทดสอบว่าหากถอดกลยุทธ์ระดับหน้าที่ข้อใดออก กลยุทธ์ระดับธุรกิจยังทำได้หรือไม่ คำตอบคือไม่ได้ เช่น ไม่มีระบบคิดต้นทุนดิจิทัลก็บังคับเกณฑ์กำไรก่อนรับงานไม่ได้ และไม่มีวิศวกรการขายก็ขายด้วยเอกสารข้อกำหนดแทนราคาไม่ได้</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เงื่อนไขบังคับและแผนสำรอง</w:t>
      </w:r>
      <w:r>
        <w:rPr>
          <w:rFonts w:ascii="TH Sarabun New" w:cs="TH Sarabun New" w:eastAsia="TH Sarabun New" w:hAnsi="TH Sarabun New"/>
          <w:b w:val="false"/>
          <w:bCs w:val="false"/>
          <w:i w:val="false"/>
          <w:iCs w:val="false"/>
          <w:sz w:val="32"/>
          <w:szCs w:val="32"/>
        </w:rPr>
        <w:t xml:space="preserve"> เนื่องจากบริษัทไม่เปิดเผยอัตรากำไรแยกตามกลุ่ม กลยุทธ์นี้มีเงื่อนไขบังคับว่าต้องผ่านการพิสูจน์กำไรรายลูกค้าและราย SKU ครอบคลุมยอดขาย ≥95% ภายใน 90 วันแรก ก่อนอนุมัติงบลงทุนก้อนใหญ่ </w:t>
      </w:r>
      <w:r>
        <w:rPr>
          <w:rFonts w:ascii="TH Sarabun New" w:cs="TH Sarabun New" w:eastAsia="TH Sarabun New" w:hAnsi="TH Sarabun New"/>
          <w:b/>
          <w:bCs/>
          <w:i w:val="false"/>
          <w:iCs w:val="false"/>
          <w:sz w:val="32"/>
          <w:szCs w:val="32"/>
        </w:rPr>
        <w:t xml:space="preserve">หากผลไม่ยืนยันว่ากลุ่มเครื่องแบบมีกำไรส่วนเพิ่มสูงกว่าค่าเฉลี่ยของบริษัท ให้ชะลอส่วนการเติบโตแล้วดำเนินเฉพาะส่วนฟื้นฟูต่อ มิใช่เปลี่ยนไปใช้ทางเลือก B</w:t>
      </w:r>
      <w:r>
        <w:rPr>
          <w:rFonts w:ascii="TH Sarabun New" w:cs="TH Sarabun New" w:eastAsia="TH Sarabun New" w:hAnsi="TH Sarabun New"/>
          <w:b w:val="false"/>
          <w:bCs w:val="false"/>
          <w:i w:val="false"/>
          <w:iCs w:val="false"/>
          <w:sz w:val="32"/>
          <w:szCs w:val="32"/>
        </w:rPr>
        <w:t xml:space="preserve"> เพราะการทดสอบความไวกรณีที่ 2 แสดงว่าแม้ในสถานการณ์นั้น C ยังได้คะแนนสูงกว่า B และ B ต้องการความสามารถที่บริษัทยังไม่มี</w:t>
      </w:r>
    </w:p>
    <w:p>
      <w:pPr>
        <w:pStyle w:val="Heading1"/>
        <w:keepNext/>
        <w:spacing w:after="80" w:before="180"/>
      </w:pPr>
      <w:r>
        <w:rPr>
          <w:rFonts w:ascii="TH Sarabun New" w:cs="TH Sarabun New" w:eastAsia="TH Sarabun New" w:hAnsi="TH Sarabun New"/>
          <w:b/>
          <w:bCs/>
          <w:i w:val="false"/>
          <w:iCs w:val="false"/>
          <w:sz w:val="36"/>
          <w:szCs w:val="36"/>
        </w:rPr>
        <w:t xml:space="preserve">5. การนำกลยุทธ์ไปใช้ แผนปฏิบัติการ และการควบคุมประเมินผล</w:t>
      </w:r>
    </w:p>
    <w:p>
      <w:pPr>
        <w:pStyle w:val="Heading2"/>
        <w:keepNext/>
        <w:spacing w:after="60" w:before="140"/>
      </w:pPr>
      <w:r>
        <w:rPr>
          <w:rFonts w:ascii="TH Sarabun New" w:cs="TH Sarabun New" w:eastAsia="TH Sarabun New" w:hAnsi="TH Sarabun New"/>
          <w:b/>
          <w:bCs/>
          <w:i w:val="false"/>
          <w:iCs w:val="false"/>
          <w:sz w:val="32"/>
          <w:szCs w:val="32"/>
        </w:rPr>
        <w:t xml:space="preserve">5.1 แผนการปฏิบัติการ (Action Plan)</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แผนปฏิบัติการครอบคลุม 5 ปี (2570–2574) ลำดับขั้นออกแบบตามตรรกะของกลยุทธ์ ไม่ใช่ตามการกระจายงบประมาณเท่ากันทุกปี เนื่องจากกลยุทธ์เริ่มด้วยการฟื้นฟู งานปีแรกจึงเป็นการวินิจฉัยและตัดสินใจ ไม่ใช่การลงทุน และการพิสูจน์ความสามารถทำกำไรต้องเสร็จก่อนอนุมัติงบลงทุนก้อนใหญ่</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ปีที่ 1 (2570) วางฐาน พิสูจน์ และฟื้นฟู</w:t>
      </w:r>
      <w:r>
        <w:rPr>
          <w:rFonts w:ascii="TH Sarabun New" w:cs="TH Sarabun New" w:eastAsia="TH Sarabun New" w:hAnsi="TH Sarabun New"/>
          <w:b w:val="false"/>
          <w:bCs w:val="false"/>
          <w:i w:val="false"/>
          <w:iCs w:val="false"/>
          <w:sz w:val="32"/>
          <w:szCs w:val="32"/>
        </w:rPr>
        <w:t xml:space="preserve"> วินิจฉัยกำไรรายลูกค้าและราย SKU ตัดสินใจหยุด รักษา หรือขยายแต่ละกลุ่มสินค้า ลดค่าใช้จ่ายเชิงโครงสร้าง จัดตั้งหน่วยธุรกิจ พัฒนา 4 แพลตฟอร์ม และทดสอบตลาดกับลูกค้านำร่อง เป้าหมายปีนี้คือลดผลขาดทุนจากธุรกิจหลัก ไม่ใช่การเติบโตของยอดขาย </w:t>
      </w:r>
      <w:r>
        <w:rPr>
          <w:rFonts w:ascii="TH Sarabun New" w:cs="TH Sarabun New" w:eastAsia="TH Sarabun New" w:hAnsi="TH Sarabun New"/>
          <w:b/>
          <w:bCs/>
          <w:i w:val="false"/>
          <w:iCs w:val="false"/>
          <w:sz w:val="32"/>
          <w:szCs w:val="32"/>
        </w:rPr>
        <w:t xml:space="preserve">ปีที่ 2 (2571) เปิดตลาดเชิงพาณิชย์</w:t>
      </w:r>
      <w:r>
        <w:rPr>
          <w:rFonts w:ascii="TH Sarabun New" w:cs="TH Sarabun New" w:eastAsia="TH Sarabun New" w:hAnsi="TH Sarabun New"/>
          <w:b w:val="false"/>
          <w:bCs w:val="false"/>
          <w:i w:val="false"/>
          <w:iCs w:val="false"/>
          <w:sz w:val="32"/>
          <w:szCs w:val="32"/>
        </w:rPr>
        <w:t xml:space="preserve"> ขยายสู่ลูกค้าจริงในสามกลุ่มเป้าหมาย วางระบบ CRM ระบบคิดต้นทุน S&amp;OP และข้อมูลตรวจสอบย้อนกลับ เป็นปีที่ผลจากธุรกิจหลักควรกลับมาเป็นบวกครั้งแรก </w:t>
      </w:r>
      <w:r>
        <w:rPr>
          <w:rFonts w:ascii="TH Sarabun New" w:cs="TH Sarabun New" w:eastAsia="TH Sarabun New" w:hAnsi="TH Sarabun New"/>
          <w:b/>
          <w:bCs/>
          <w:i w:val="false"/>
          <w:iCs w:val="false"/>
          <w:sz w:val="32"/>
          <w:szCs w:val="32"/>
        </w:rPr>
        <w:t xml:space="preserve">ปีที่ 3 (2572) ขยายผล</w:t>
      </w:r>
      <w:r>
        <w:rPr>
          <w:rFonts w:ascii="TH Sarabun New" w:cs="TH Sarabun New" w:eastAsia="TH Sarabun New" w:hAnsi="TH Sarabun New"/>
          <w:b w:val="false"/>
          <w:bCs w:val="false"/>
          <w:i w:val="false"/>
          <w:iCs w:val="false"/>
          <w:sz w:val="32"/>
          <w:szCs w:val="32"/>
        </w:rPr>
        <w:t xml:space="preserve"> เพิ่มลูกค้าและสัดส่วนรายได้จากสัญญาระยะกลาง ลงทุนระบบกึ่งอัตโนมัติเฉพาะสายที่ผ่านเกณฑ์ผลตอบแทนจากผลจริงปีที่ 1–2 </w:t>
      </w:r>
      <w:r>
        <w:rPr>
          <w:rFonts w:ascii="TH Sarabun New" w:cs="TH Sarabun New" w:eastAsia="TH Sarabun New" w:hAnsi="TH Sarabun New"/>
          <w:b/>
          <w:bCs/>
          <w:i w:val="false"/>
          <w:iCs w:val="false"/>
          <w:sz w:val="32"/>
          <w:szCs w:val="32"/>
        </w:rPr>
        <w:t xml:space="preserve">ปีที่ 4 (2573) เพิ่มประสิทธิภาพและขยายตลาด</w:t>
      </w:r>
      <w:r>
        <w:rPr>
          <w:rFonts w:ascii="TH Sarabun New" w:cs="TH Sarabun New" w:eastAsia="TH Sarabun New" w:hAnsi="TH Sarabun New"/>
          <w:b w:val="false"/>
          <w:bCs w:val="false"/>
          <w:i w:val="false"/>
          <w:iCs w:val="false"/>
          <w:sz w:val="32"/>
          <w:szCs w:val="32"/>
        </w:rPr>
        <w:t xml:space="preserve"> ปรับปรุงผลิตภาพจากการลงทุนปีที่ 3 เปิดพอร์ทัลเติมสินค้าตามสัญญา และขยายงาน ODM ส่งออกเฉพาะกลุ่มไปญี่ปุ่น สหภาพยุโรป และอาเซียน </w:t>
      </w:r>
      <w:r>
        <w:rPr>
          <w:rFonts w:ascii="TH Sarabun New" w:cs="TH Sarabun New" w:eastAsia="TH Sarabun New" w:hAnsi="TH Sarabun New"/>
          <w:b/>
          <w:bCs/>
          <w:i w:val="false"/>
          <w:iCs w:val="false"/>
          <w:sz w:val="32"/>
          <w:szCs w:val="32"/>
        </w:rPr>
        <w:t xml:space="preserve">ปีที่ 5 (2574) รวมผลและเติบโตต่อเนื่อง</w:t>
      </w:r>
      <w:r>
        <w:rPr>
          <w:rFonts w:ascii="TH Sarabun New" w:cs="TH Sarabun New" w:eastAsia="TH Sarabun New" w:hAnsi="TH Sarabun New"/>
          <w:b w:val="false"/>
          <w:bCs w:val="false"/>
          <w:i w:val="false"/>
          <w:iCs w:val="false"/>
          <w:sz w:val="32"/>
          <w:szCs w:val="32"/>
        </w:rPr>
        <w:t xml:space="preserve"> ทำให้โครงสร้างต้นทุนและอัตรากำไรใหม่มีเสถียรภาพ ลดสัดส่วนลูกค้ารายใหญ่ที่สุดตามเป้าหมาย และทบทวนแผนกลยุทธ์รอบถัดไป</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หลักการเรื่องงบประมาณ</w:t>
      </w:r>
      <w:r>
        <w:rPr>
          <w:rFonts w:ascii="TH Sarabun New" w:cs="TH Sarabun New" w:eastAsia="TH Sarabun New" w:hAnsi="TH Sarabun New"/>
          <w:b w:val="false"/>
          <w:bCs w:val="false"/>
          <w:i w:val="false"/>
          <w:iCs w:val="false"/>
          <w:sz w:val="32"/>
          <w:szCs w:val="32"/>
        </w:rPr>
        <w:t xml:space="preserve"> ตัวเลขในตารางที่ 17–18 เป็นกรอบสมมติฐานเชิงวางแผนของผู้จัดทำ มิใช่งบประมาณที่บริษัทประกาศ เนื่องจากไม่มีการเปิดเผยโครงสร้างต้นทุนโครงการ รายงานจึงนำเสนอเป็นช่วงพร้อมระบุฐานการประมาณการ ก่อนใช้จริงต้องจัดทำใบเสนอราคาและกรณีทางธุรกิจรายโครงการ และอนุมัติเป็นขั้นตามผลลัพธ์ (Stage Gate)</w:t>
      </w:r>
    </w:p>
    <w:p>
      <w:pPr>
        <w:sectPr>
          <w:footerReference w:type="default" r:id="rId7"/>
          <w:footerReference w:type="first" r:id="rId8"/>
          <w:pgSz w:w="11906" w:h="16838" w:orient="portrait"/>
          <w:pgMar w:top="1191" w:right="1077" w:bottom="1077" w:left="1361" w:header="708" w:footer="708" w:gutter="0"/>
          <w:pgNumType/>
          <w:titlePg/>
          <w:docGrid w:linePitch="360"/>
        </w:sectPr>
      </w:pPr>
    </w:p>
    <w:p>
      <w:pPr>
        <w:keepNext/>
        <w:spacing w:after="50" w:before="0"/>
        <w:jc w:val="left"/>
      </w:pPr>
      <w:r>
        <w:rPr>
          <w:rFonts w:ascii="TH Sarabun New" w:cs="TH Sarabun New" w:eastAsia="TH Sarabun New" w:hAnsi="TH Sarabun New"/>
          <w:b/>
          <w:bCs/>
          <w:i w:val="false"/>
          <w:iCs w:val="false"/>
          <w:sz w:val="28"/>
          <w:szCs w:val="28"/>
        </w:rPr>
        <w:t xml:space="preserve">ตารางที่ 17  แผนปฏิบัติการ 5 ปีของ PG (ปี 2570–2574)</w:t>
      </w:r>
    </w:p>
    <w:tbl>
      <w:tblPr>
        <w:tblW w:type="dxa" w:w="15478"/>
        <w:tblBorders>
          <w:top w:val="single" w:color="7F7F7F" w:sz="4"/>
          <w:left w:val="single" w:color="7F7F7F" w:sz="4"/>
          <w:bottom w:val="single" w:color="7F7F7F" w:sz="4"/>
          <w:right w:val="single" w:color="7F7F7F" w:sz="4"/>
          <w:insideH w:val="single" w:color="BFBFBF" w:sz="2"/>
          <w:insideV w:val="single" w:color="BFBFBF" w:sz="2"/>
        </w:tblBorders>
      </w:tblPr>
      <w:tblGrid>
        <w:gridCol w:w="1278"/>
        <w:gridCol w:w="1789"/>
        <w:gridCol w:w="4397"/>
        <w:gridCol w:w="1789"/>
        <w:gridCol w:w="1074"/>
        <w:gridCol w:w="1176"/>
        <w:gridCol w:w="1943"/>
        <w:gridCol w:w="2032"/>
      </w:tblGrid>
      <w:tr>
        <w:trPr>
          <w:tblHeader/>
        </w:trPr>
        <w:tc>
          <w:tcPr>
            <w:tcW w:type="dxa" w:w="127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ระดับกลยุทธ์</w:t>
            </w:r>
          </w:p>
        </w:tc>
        <w:tc>
          <w:tcPr>
            <w:tcW w:type="dxa" w:w="178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โครงการเชิงกลยุทธ์</w:t>
            </w:r>
          </w:p>
        </w:tc>
        <w:tc>
          <w:tcPr>
            <w:tcW w:type="dxa" w:w="439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รายละเอียดการดำเนินงาน</w:t>
            </w:r>
          </w:p>
        </w:tc>
        <w:tc>
          <w:tcPr>
            <w:tcW w:type="dxa" w:w="178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ผู้รับผิดชอบ</w:t>
            </w:r>
          </w:p>
        </w:tc>
        <w:tc>
          <w:tcPr>
            <w:tcW w:type="dxa" w:w="107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ระยะเวลา</w:t>
            </w:r>
          </w:p>
        </w:tc>
        <w:tc>
          <w:tcPr>
            <w:tcW w:type="dxa" w:w="117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งบประมาณ (ล้านบาท)</w:t>
            </w:r>
          </w:p>
        </w:tc>
        <w:tc>
          <w:tcPr>
            <w:tcW w:type="dxa" w:w="194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ตัวชี้วัด (KPI)</w:t>
            </w:r>
          </w:p>
        </w:tc>
        <w:tc>
          <w:tcPr>
            <w:tcW w:type="dxa" w:w="203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เป้าหมาย</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ปีที่ 1 (2570) วางฐาน พิสูจน์ และฟื้นฟู</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องค์กร (ฟื้นฟู)</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 วินิจฉัยความสามารถทำกำไรรายลูกค้าและราย SKU</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จัดทำงบกำไรขาดทุนของธุรกิจหลักแยกจากรายได้อื่น คำนวณกำไรส่วนเพิ่มรายลูกค้า ราย SKU และช่องทางย้อนหลัง 24 เดือน แล้วจัดกลุ่ม หยุด–เจรจาใหม่–รักษา–ขยาย</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บัญชีและการเงิน / พาณิชย์</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0–90 วัน</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1.5–3.0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สัดส่วนยอดขายที่ครอบคลุมในการวิเคราะห์</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ไม่น้อยกว่า 95% ของยอดขาย ภายใน 90 วัน</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องค์กร (ฟื้นฟู)</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P2 ปรับส่วนผสมผลิตภัณฑ์และลดค่าใช้จ่ายเชิงโครงสร้าง</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ยุติหรือเจรจาใหม่กับสินค้าและลูกค้าที่ไม่ผ่านเกณฑ์กำไรส่วนเพิ่ม ทบทวนโครงสร้างค่าใช้จ่าย กำหนด MOQ และทบทวนนโยบายจัดสรรทุน</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บัญชีและการเงิน</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1–2</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ใช้งบดำเนินการภายใน</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ค่าใช้จ่ายขายและบริหารต่อยอดขาย</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ไม่เกิน 25.0% ปี 2570 และ 23.0% ปี 2571</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องค์กร (เติบโต)</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P3 จัดตั้งหน่วยธุรกิจ Functional Workwear</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จัดตั้งหน่วยธุรกิจที่มีงบกำไรขาดทุนของตนเอง แต่งตั้งผู้อำนวยการ จัดทีมขาย Account-based สามกลุ่มลูกค้า และทำบัญชีลูกค้าเป้าหมาย</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ผอ.หน่วยธุรกิจ / ทรัพยากรมนุษย์</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1 (0–6 เดือน)</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8.0–14.0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จำนวนลูกค้าเป้าหมาย และมูลค่าโอกาสการขายเทียบเป้า</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ลูกค้าเป้าหมาย ≥50 ราย และโอกาสการขาย ≥3 เท่าของเป้ารายได้</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หน้าที่ (R&amp;D)</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P4 พัฒนาแพลตฟอร์มผลิตภัณฑ์ 4 แพลตฟอร์ม</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พัฒนาชุดการแพทย์ ชุดงานบริการและอาหาร ชุดงานอุตสาหกรรม และชุดองค์กรจากวัสดุหมุนเวียน แต่ละแพลตฟอร์มต้องมีเอกสารข้อกำหนด ผลทดสอบ และข้อมูลอายุการใช้งาน</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วิจัยและพัฒนา / ควบคุมคุณภาพ / ผลิต</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1 (3–12 เดือน)</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10.0–18.0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ความครบถ้วนของเอกสารข้อกำหนดและผลทดสอบ และอัตราเปลี่ยนตัวอย่างเป็นคำสั่งซื้อ</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เอกสารครบ 4 แพลตฟอร์ม และอัตราเปลี่ยน ≥25%</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หน้าที่ (การขาย)</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P5 โครงการนำร่องและสร้างลูกค้าอ้างอิง</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ทดสอบกับองค์กรในเครือสหพัฒน์ โรงพยาบาล และโรงแรม เก็บข้อมูลการใช้งานจริง เพื่อทำกรณีศึกษาสำหรับการขายต่อ</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ฝ่ายขาย / ผู้ประสานงานกับผู้ถือหุ้นใหญ่</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1 (3–12 เดือน)</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6.0–10.0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จำนวนลูกค้าอ้างอิง และอัตราการสั่งซื้อซ้ำ</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ลูกค้าอ้างอิง ≥5 ราย และสั่งซื้อซ้ำ ≥60%</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ปีที่ 2 (2571) เปิดตลาดเชิงพาณิชย์</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หน้าที่ (เทคโนโลยี)</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P6 ระบบบริหารลูกค้า ระบบคิดต้นทุน และระบบวางแผนขายและปฏิบัติการ</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ติดตั้ง CRM ระบบคิดต้นทุนดิจิทัลที่คำนวณกำไรส่วนเพิ่มก่อนเสนอราคา และระบบ S&amp;OP รายเดือน</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สารสนเทศ / บัญชีและการเงิน / ปฏิบัติการ</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2 (6–15 เดือน)</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8.0–14.0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ระยะเวลาเสนอราคา และความแม่นยำของการพยากรณ์</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ระยะเวลาเสนอราคาลดลง ≥30% และความแม่นยำ ≥75%</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หน้าที่ (ห่วงโซ่อุปทาน)</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P7 ระบบข้อมูลตรวจสอบย้อนกลับและแฟ้มข้อมูลวัสดุ</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ขยายระบบรับรองคู่ค้าให้ครอบคลุมข้อมูลวัสดุ ทำแฟ้มข้อมูลวัสดุระดับ SKU/ล็อต และเตรียมพร้อมข้อกำหนดแรงงานบังคับของ EU (14 ธ.ค. 2570)</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จัดซื้อ / ควบคุมคุณภาพ / สารสนเทศ</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2–3</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5.0–9.0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สัดส่วนสินค้าเชิงกลยุทธ์ที่มีข้อมูลตรวจสอบย้อนกลับครบ</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≥60% ปี 2571 และครบ 100% ปี 2572</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ปีที่ 3 (2572) ขยายผล</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หน้าที่ (การผลิต)</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P8 ระบบกึ่งอัตโนมัติและระบบบริหารการผลิตเฉพาะสายที่ผ่านเกณฑ์</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ลงทุนเฉพาะสายการผลิตที่พิสูจน์ปริมาณงานและอัตรากำไรแล้วจากปีที่ 1–2 นำร่องหนึ่งสายก่อนขยาย อนุมัติเป็นขั้นตามผลตอบแทน</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COO / วิศวกรรมอุตสาหการ</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3–4</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45.0–75.0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เวลาแรงงานต่อชิ้น และอัตราการส่งมอบตรงเวลา</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เวลาแรงงานต่อชิ้นลดลง ≥15% และส่งมอบตรงเวลา ≥95%</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ปีที่ 4 (2573) เพิ่มประสิทธิภาพและขยายตลาด</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หน้าที่ (การขาย)</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P9 พอร์ทัลเติมสินค้าตามสัญญาและบริการหลังการขาย</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พัฒนาระบบสั่งซื้อและเติมสินค้าสำหรับลูกค้าองค์กร พร้อม SLA ด้านเวลาส่งมอบและอัตราสินค้าพร้อมส่ง และบริการซ่อม/เปลี่ยนทดแทน</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พาณิชย์ / สารสนเทศ</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4–5</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6.0–10.0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สัดส่วนรายได้จากสัญญา และอัตราสินค้าขาดส่ง</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รายได้จากสัญญา ≥20% ของหน่วยธุรกิจ และสินค้าขาดส่ง ≤2%</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องค์กร (เติบโต)</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P10 ขยายงาน ODM ส่งออกเฉพาะกลุ่ม</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ขยายงาน ODM ที่มีข้อกำหนดสูงและต้องการการตรวจสอบย้อนกลับ ไปญี่ปุ่น EU และอาเซียน โดยใช้ข้อมูลจาก P7 เป็นจุดขาย</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ส่งออก / วิจัยและพัฒนา / กำกับมาตรฐาน</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4–5</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8.0–13.0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จำนวนลูกค้าส่งออกรายใหม่ และอัตรากำไรส่วนเพิ่ม</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ลูกค้าส่งออกใหม่ ≥3 ราย และกำไรส่วนเพิ่มผ่านเกณฑ์ขั้นต่ำ</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ดำเนินการต่อเนื่องตลอดแผน (ปีที่ 1–5)</w:t>
            </w:r>
          </w:p>
        </w:tc>
      </w:tr>
      <w:tr>
        <w:tc>
          <w:tcPr>
            <w:tcW w:type="dxa" w:w="127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หน้าที่ (บุคลากร)</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P11 พัฒนาบุคลากรและปกป้องตำแหน่งวิกฤต</w:t>
            </w:r>
          </w:p>
        </w:tc>
        <w:tc>
          <w:tcPr>
            <w:tcW w:type="dxa" w:w="439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สรรหาและพัฒนาวิศวกรการขาย นักเทคโนโลยีสิ่งทอ และผู้เชี่ยวชาญ IE/ข้อมูล พัฒนาพนักงานผลิตให้มีทักษะหลากหลาย และกำหนดตำแหน่งวิกฤต</w:t>
            </w:r>
          </w:p>
        </w:tc>
        <w:tc>
          <w:tcPr>
            <w:tcW w:type="dxa" w:w="178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ทรัพยากรมนุษย์ / หัวหน้าสายงาน</w:t>
            </w:r>
          </w:p>
        </w:tc>
        <w:tc>
          <w:tcPr>
            <w:tcW w:type="dxa" w:w="10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ปีที่ 1–5</w:t>
            </w:r>
          </w:p>
        </w:tc>
        <w:tc>
          <w:tcPr>
            <w:tcW w:type="dxa" w:w="117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5.0–8.0</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สัดส่วนพนักงานตำแหน่งวิกฤตที่ผ่านการพัฒนาทักษะ และอัตราการลาออก</w:t>
            </w:r>
          </w:p>
        </w:tc>
        <w:tc>
          <w:tcPr>
            <w:tcW w:type="dxa" w:w="203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ผ่านการพัฒนาครบ 100% ภายในปี 2572 และอัตราการลาออกไม่เกินระดับฐาน</w:t>
            </w:r>
          </w:p>
        </w:tc>
      </w:tr>
      <w:tr>
        <w:tc>
          <w:tcPr>
            <w:tcW w:type="dxa" w:w="1278"/>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รวมงบประมาณตลอดแผน 5 ปี</w:t>
            </w:r>
          </w:p>
        </w:tc>
        <w:tc>
          <w:tcPr>
            <w:tcW w:type="dxa" w:w="1789"/>
            <w:shd w:fill="FCE4D6" w:color="auto" w:val="clear"/>
            <w:tcMar>
              <w:top w:type="dxa" w:w="10"/>
              <w:left w:type="dxa" w:w="60"/>
              <w:bottom w:type="dxa" w:w="10"/>
              <w:right w:type="dxa" w:w="60"/>
            </w:tcMar>
            <w:vAlign w:val="center"/>
          </w:tcPr>
          <w:p>
            <w:pPr>
              <w:spacing w:after="10" w:line="228"/>
              <w:jc w:val="left"/>
            </w:pPr>
          </w:p>
        </w:tc>
        <w:tc>
          <w:tcPr>
            <w:tcW w:type="dxa" w:w="4397"/>
            <w:shd w:fill="FCE4D6" w:color="auto" w:val="clear"/>
            <w:tcMar>
              <w:top w:type="dxa" w:w="10"/>
              <w:left w:type="dxa" w:w="60"/>
              <w:bottom w:type="dxa" w:w="10"/>
              <w:right w:type="dxa" w:w="60"/>
            </w:tcMar>
            <w:vAlign w:val="center"/>
          </w:tcPr>
          <w:p>
            <w:pPr>
              <w:spacing w:after="10" w:line="228"/>
              <w:jc w:val="left"/>
            </w:pPr>
          </w:p>
        </w:tc>
        <w:tc>
          <w:tcPr>
            <w:tcW w:type="dxa" w:w="1789"/>
            <w:shd w:fill="FCE4D6" w:color="auto" w:val="clear"/>
            <w:tcMar>
              <w:top w:type="dxa" w:w="10"/>
              <w:left w:type="dxa" w:w="60"/>
              <w:bottom w:type="dxa" w:w="10"/>
              <w:right w:type="dxa" w:w="60"/>
            </w:tcMar>
            <w:vAlign w:val="center"/>
          </w:tcPr>
          <w:p>
            <w:pPr>
              <w:spacing w:after="10" w:line="228"/>
              <w:jc w:val="left"/>
            </w:pPr>
          </w:p>
        </w:tc>
        <w:tc>
          <w:tcPr>
            <w:tcW w:type="dxa" w:w="1074"/>
            <w:shd w:fill="FCE4D6" w:color="auto" w:val="clear"/>
            <w:tcMar>
              <w:top w:type="dxa" w:w="10"/>
              <w:left w:type="dxa" w:w="60"/>
              <w:bottom w:type="dxa" w:w="10"/>
              <w:right w:type="dxa" w:w="60"/>
            </w:tcMar>
            <w:vAlign w:val="center"/>
          </w:tcPr>
          <w:p>
            <w:pPr>
              <w:spacing w:after="10" w:line="228"/>
              <w:jc w:val="left"/>
            </w:pPr>
          </w:p>
        </w:tc>
        <w:tc>
          <w:tcPr>
            <w:tcW w:type="dxa" w:w="1176"/>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102.5–174.0</w:t>
            </w:r>
          </w:p>
        </w:tc>
        <w:tc>
          <w:tcPr>
            <w:tcW w:type="dxa" w:w="1943"/>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สัดส่วนของส่วนของผู้ถือหุ้น ณ สิ้นปี 2568</w:t>
            </w:r>
          </w:p>
        </w:tc>
        <w:tc>
          <w:tcPr>
            <w:tcW w:type="dxa" w:w="2032"/>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ร้อยละ 7.5–12.7 ของ 1,365.54 ล้านบาท</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หมายเหตุ: งบประมาณเป็นกรอบสมมติฐานเชิงวางแผนของผู้จัดทำ ไม่ใช่งบประมาณที่บริษัทประกาศ ฐานการประมาณการของแต่ละรายการแสดงในตารางที่ 18</w:t>
      </w:r>
    </w:p>
    <w:p>
      <w:pPr>
        <w:pStyle w:val="Heading3"/>
        <w:keepNext/>
        <w:spacing w:after="70" w:before="150"/>
      </w:pPr>
      <w:r>
        <w:rPr>
          <w:rFonts w:ascii="TH Sarabun New" w:cs="TH Sarabun New" w:eastAsia="TH Sarabun New" w:hAnsi="TH Sarabun New"/>
          <w:b/>
          <w:bCs/>
          <w:i w:val="false"/>
          <w:iCs w:val="false"/>
          <w:sz w:val="32"/>
          <w:szCs w:val="32"/>
        </w:rPr>
        <w:t xml:space="preserve">งบประมาณและฐานการประมาณการ</w:t>
      </w:r>
    </w:p>
    <w:p>
      <w:pPr>
        <w:keepNext/>
        <w:spacing w:after="50" w:before="130"/>
        <w:jc w:val="left"/>
      </w:pPr>
      <w:r>
        <w:rPr>
          <w:rFonts w:ascii="TH Sarabun New" w:cs="TH Sarabun New" w:eastAsia="TH Sarabun New" w:hAnsi="TH Sarabun New"/>
          <w:b/>
          <w:bCs/>
          <w:i w:val="false"/>
          <w:iCs w:val="false"/>
          <w:sz w:val="28"/>
          <w:szCs w:val="28"/>
        </w:rPr>
        <w:t xml:space="preserve">ตารางที่ 18  สรุปงบประมาณตามโครงการและฐานการประมาณการ</w:t>
      </w:r>
    </w:p>
    <w:tbl>
      <w:tblPr>
        <w:tblW w:type="dxa" w:w="15478"/>
        <w:tblBorders>
          <w:top w:val="single" w:color="7F7F7F" w:sz="4"/>
          <w:left w:val="single" w:color="7F7F7F" w:sz="4"/>
          <w:bottom w:val="single" w:color="7F7F7F" w:sz="4"/>
          <w:right w:val="single" w:color="7F7F7F" w:sz="4"/>
          <w:insideH w:val="single" w:color="BFBFBF" w:sz="2"/>
          <w:insideV w:val="single" w:color="BFBFBF" w:sz="2"/>
        </w:tblBorders>
      </w:tblPr>
      <w:tblGrid>
        <w:gridCol w:w="3272"/>
        <w:gridCol w:w="1636"/>
        <w:gridCol w:w="8321"/>
        <w:gridCol w:w="2249"/>
      </w:tblGrid>
      <w:tr>
        <w:trPr>
          <w:tblHeader/>
        </w:trPr>
        <w:tc>
          <w:tcPr>
            <w:tcW w:type="dxa" w:w="327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โครงการ</w:t>
            </w:r>
          </w:p>
        </w:tc>
        <w:tc>
          <w:tcPr>
            <w:tcW w:type="dxa" w:w="163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งบประมาณ (ล้านบาท)</w:t>
            </w:r>
          </w:p>
        </w:tc>
        <w:tc>
          <w:tcPr>
            <w:tcW w:type="dxa" w:w="832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ฐานการประมาณการ</w:t>
            </w:r>
          </w:p>
        </w:tc>
        <w:tc>
          <w:tcPr>
            <w:tcW w:type="dxa" w:w="224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ประเภทข้อมูล</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 วินิจฉัยความสามารถทำกำไร</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1.5–3.0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งานวิเคราะห์ข้อมูลย้อนหลัง 24 เดือน ใช้ทีมภายในร่วมกับที่ปรึกษาภายนอกระยะสั้น 3 เดือน</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P2 ปรับส่วนผสมผลิตภัณฑ์และลดค่าใช้จ่าย</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ใช้งบดำเนินการภายใน</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เป็นการตัดสินใจเชิงนโยบายและการเจรจา ไม่ต้องใช้เงินลงทุนเพิ่ม ผลปรากฏเป็นการลดค่าใช้จ่ายในบทที่ 6</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P3 จัดตั้งหน่วยธุรกิจ</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8.0–14.0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ค่าใช้จ่ายส่วนเพิ่มของบุคลากรใหม่ 8–12 อัตรา ในช่วง 2 ปีแรกก่อนที่รายได้ของหน่วยธุรกิจจะรองรับได้เอง</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P4 พัฒนาแพลตฟอร์มผลิตภัณฑ์</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10.0–18.0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ค่าพัฒนาตัวอย่าง วัสดุทดสอบ และค่าทดสอบจากห้องปฏิบัติการภายนอก 4 แพลตฟอร์ม โดยไม่ต้องลงทุนโครงสร้างพื้นฐานใหม่เพราะมีทีมออกแบบและโรงงานผ้าถักอยู่แล้ว</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P5 โครงการนำร่องและลูกค้าอ้างอิง</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6.0–10.0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ค่าผลิตชุดทดลองใช้งาน เก็บข้อมูลภาคสนาม และทำกรณีศึกษาสำหรับลูกค้าอ้างอิง 5 ราย</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P6 ระบบบริหารลูกค้า คิดต้นทุน และวางแผนขายและปฏิบัติการ</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8.0–14.0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ค่าลิขสิทธิ์และติดตั้งระบบสำหรับผู้ใช้ 50–80 คน รวมค่าที่ปรึกษาวางกระบวนการ</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P7 ระบบข้อมูลตรวจสอบย้อนกลับ</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5.0–9.0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ค่าจัดทำข้อมูลและระบบจัดเก็บสำหรับคู่ค้า 222 ราย เป็นการต่อยอดจากระบบประเมินคู่ค้าที่มีอยู่ ไม่ใช่การเริ่มใหม่</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P8 ระบบกึ่งอัตโนมัติและระบบบริหารการผลิต</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45.0–75.0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รายการใหญ่ที่สุดของแผน ประมาณจากฐานการลงทุนเครื่องจักรจริง 15.96 ล้านบาทในปี 2568 ขยายเป็น 3 ปีในระดับ 2–3 เท่าของอัตราเดิมต่อปี ต้องอนุมัติเป็นขั้นตามผลตอบแทนจริง</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 อ้างอิงข้อมูลการลงทุนจริงปี 2568 [1]</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P9 พอร์ทัลเติมสินค้าตามสัญญา</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6.0–10.0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ค่าพัฒนาระบบสั่งซื้อสำหรับลูกค้าองค์กรและเชื่อมต่อกับระบบใน P6</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P10 ขยายงาน ODM ส่งออกเฉพาะกลุ่ม</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8.0–13.0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ค่างานแสดงสินค้าต่างประเทศ ค่าตัวแทน ใบรับรองเพิ่มเติม และพัฒนาตัวอย่างสำหรับลูกค้าใหม่ 3 ราย</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P11 พัฒนาบุคลากรและตำแหน่งวิกฤต</w:t>
            </w:r>
          </w:p>
        </w:tc>
        <w:tc>
          <w:tcPr>
            <w:tcW w:type="dxa" w:w="1636"/>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4"/>
                <w:szCs w:val="24"/>
              </w:rPr>
              <w:t xml:space="preserve">5.0–8.0</w:t>
            </w:r>
          </w:p>
        </w:tc>
        <w:tc>
          <w:tcPr>
            <w:tcW w:type="dxa" w:w="832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ค่าอบรมและพัฒนาทักษะตลอด 5 ปีสำหรับพนักงาน 715 คน เน้นตำแหน่งวิกฤต</w:t>
            </w:r>
          </w:p>
        </w:tc>
        <w:tc>
          <w:tcPr>
            <w:tcW w:type="dxa" w:w="224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สมมติฐานเชิงวางแผน</w:t>
            </w:r>
          </w:p>
        </w:tc>
      </w:tr>
      <w:tr>
        <w:tc>
          <w:tcPr>
            <w:tcW w:type="dxa" w:w="3272"/>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รวม</w:t>
            </w:r>
          </w:p>
        </w:tc>
        <w:tc>
          <w:tcPr>
            <w:tcW w:type="dxa" w:w="1636"/>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102.5–174.0</w:t>
            </w:r>
          </w:p>
        </w:tc>
        <w:tc>
          <w:tcPr>
            <w:tcW w:type="dxa" w:w="8321"/>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คิดเป็นร้อยละ 7.5–12.7 ของส่วนของผู้ถือหุ้น ณ สิ้นปี 2568 (1,365.54 ล้านบาท) และร้อยละ 11.7–19.9 ของสินทรัพย์ทางการเงินรวม (873.69 ล้านบาท)</w:t>
            </w:r>
          </w:p>
        </w:tc>
        <w:tc>
          <w:tcPr>
            <w:tcW w:type="dxa" w:w="2249"/>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การคำนวณ</w:t>
            </w:r>
          </w:p>
        </w:tc>
      </w:tr>
    </w:tbl>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การตรวจสอบความเป็นไปได้ทางการเงิน</w:t>
      </w:r>
      <w:r>
        <w:rPr>
          <w:rFonts w:ascii="TH Sarabun New" w:cs="TH Sarabun New" w:eastAsia="TH Sarabun New" w:hAnsi="TH Sarabun New"/>
          <w:b w:val="false"/>
          <w:bCs w:val="false"/>
          <w:i w:val="false"/>
          <w:iCs w:val="false"/>
          <w:sz w:val="32"/>
          <w:szCs w:val="32"/>
        </w:rPr>
        <w:t xml:space="preserve"> งบประมาณรวมสูงสุด 174.0 ล้านบาทตลอด 5 ปี หรือเฉลี่ย 34.8 ล้านบาทต่อปี เทียบกับเงินปันผลรับ 28.40 ล้านบาทและเงินสดสุทธิจากการดำเนินงาน 26.92 ล้านบาทในปี 2568 แผนนี้จึงระดมทุนได้จากกระแสเงินสดดำเนินงานรวมกับรายได้จากเงินลงทุน โดยไม่ต้องขายสินทรัพย์ทางการเงินหลักหรือก่อหนี้ใหม่ และหากทบทวนการจ่ายเงินปันผล 48.0 ล้านบาทแม้บางส่วน ความสามารถลงทุนจะเพิ่มขึ้นมาก ซึ่งเป็นการตัดสินใจของคณะกรรมการและผู้ถือหุ้น รายงานจึงเสนอเป็นทางเลือกเชิงนโยบาย</w:t>
      </w:r>
    </w:p>
    <w:p>
      <w:pPr>
        <w:pStyle w:val="Heading2"/>
        <w:keepNext/>
        <w:spacing w:after="60" w:before="140"/>
      </w:pPr>
      <w:r>
        <w:rPr>
          <w:rFonts w:ascii="TH Sarabun New" w:cs="TH Sarabun New" w:eastAsia="TH Sarabun New" w:hAnsi="TH Sarabun New"/>
          <w:b/>
          <w:bCs/>
          <w:i w:val="false"/>
          <w:iCs w:val="false"/>
          <w:sz w:val="32"/>
          <w:szCs w:val="32"/>
        </w:rPr>
        <w:t xml:space="preserve">5.2 การควบคุมประเมินผล (Strategic Control and Evaluation)</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ระบบควบคุมใช้ Balanced Scorecard ตามบทเรียนบทที่ 12 ซึ่งผสมตัวชี้วัดทางการเงินที่บอกผลที่เกิดแล้ว เข้ากับตัวชี้วัดเชิงปฏิบัติการที่ขับเคลื่อนผลการเงินในอนาคต ตัวชี้วัดทุกตัวเชื่อมกับวัตถุประสงค์ในตารางที่ 15 และโครงการในตารางที่ 17 โดยตรง ตัวชี้วัดที่ยังไม่มีข้อมูลฐานถูกระบุว่า “ต้องกำหนดค่าฐาน” แทนการใส่ตัวเลขที่ไม่มีหลักฐาน</w:t>
      </w:r>
    </w:p>
    <w:p>
      <w:pPr>
        <w:keepNext/>
        <w:spacing w:after="50" w:before="130"/>
        <w:jc w:val="left"/>
      </w:pPr>
      <w:r>
        <w:rPr>
          <w:rFonts w:ascii="TH Sarabun New" w:cs="TH Sarabun New" w:eastAsia="TH Sarabun New" w:hAnsi="TH Sarabun New"/>
          <w:b/>
          <w:bCs/>
          <w:i w:val="false"/>
          <w:iCs w:val="false"/>
          <w:sz w:val="28"/>
          <w:szCs w:val="28"/>
        </w:rPr>
        <w:t xml:space="preserve">ตารางที่ 19  การควบคุมและประเมินผลด้วย Balanced Scorecard</w:t>
      </w:r>
    </w:p>
    <w:tbl>
      <w:tblPr>
        <w:tblW w:type="dxa" w:w="15478"/>
        <w:tblBorders>
          <w:top w:val="single" w:color="7F7F7F" w:sz="4"/>
          <w:left w:val="single" w:color="7F7F7F" w:sz="4"/>
          <w:bottom w:val="single" w:color="7F7F7F" w:sz="4"/>
          <w:right w:val="single" w:color="7F7F7F" w:sz="4"/>
          <w:insideH w:val="single" w:color="BFBFBF" w:sz="2"/>
          <w:insideV w:val="single" w:color="BFBFBF" w:sz="2"/>
        </w:tblBorders>
      </w:tblPr>
      <w:tblGrid>
        <w:gridCol w:w="1380"/>
        <w:gridCol w:w="2505"/>
        <w:gridCol w:w="2607"/>
        <w:gridCol w:w="1738"/>
        <w:gridCol w:w="1943"/>
        <w:gridCol w:w="1329"/>
        <w:gridCol w:w="920"/>
        <w:gridCol w:w="3056"/>
      </w:tblGrid>
      <w:tr>
        <w:trPr>
          <w:tblHeader/>
        </w:trPr>
        <w:tc>
          <w:tcPr>
            <w:tcW w:type="dxa" w:w="138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มิติ</w:t>
            </w:r>
          </w:p>
        </w:tc>
        <w:tc>
          <w:tcPr>
            <w:tcW w:type="dxa" w:w="250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วัตถุประสงค์เชิงกลยุทธ์</w:t>
            </w:r>
          </w:p>
        </w:tc>
        <w:tc>
          <w:tcPr>
            <w:tcW w:type="dxa" w:w="260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ตัวชี้วัด (KPI)</w:t>
            </w:r>
          </w:p>
        </w:tc>
        <w:tc>
          <w:tcPr>
            <w:tcW w:type="dxa" w:w="173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ค่าฐาน 2568</w:t>
            </w:r>
          </w:p>
        </w:tc>
        <w:tc>
          <w:tcPr>
            <w:tcW w:type="dxa" w:w="194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เป้าหมาย 2574</w:t>
            </w:r>
          </w:p>
        </w:tc>
        <w:tc>
          <w:tcPr>
            <w:tcW w:type="dxa" w:w="1329"/>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โครงการที่รองรับ</w:t>
            </w:r>
          </w:p>
        </w:tc>
        <w:tc>
          <w:tcPr>
            <w:tcW w:type="dxa" w:w="92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ความถี่</w:t>
            </w:r>
          </w:p>
        </w:tc>
        <w:tc>
          <w:tcPr>
            <w:tcW w:type="dxa" w:w="305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ผู้รับผิดชอบ</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1. มิติการเงิน (Financial Perspective) — เราปรากฏต่อผู้ถือหุ้นอย่างไร</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การเงิน</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SO1 พลิกผลจากธุรกิจหลักให้เป็นบวก</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อัตราผลจากธุรกิจหลัก (กำไรขั้นต้น − ค่าใช้จ่ายขายและบริหาร ต่อยอดขาย)</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-8.02%</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ไม่น้อยกว่า 7%</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 P2, P8</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รายเดือน</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บัญชีและการเงิน</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การเงิน</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SO2 และ SO3 ยกระดับอัตรากำไรขั้นต้นและลดค่าใช้จ่ายเชิงโครงสร้าง</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อัตรากำไรขั้นต้น / ค่าใช้จ่ายขายและบริหารต่อยอดขาย</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21.40% / 29.42%</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≥27.5% และ ≤20.0%</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P2, P3, P4, P8</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รายเดือน</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บัญชีและการเงิน</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การเงิน</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SO7 และ SO9 ยกระดับผลตอบแทนและเติบโตอย่างมีคุณภาพ</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ROE / ยอดขายรวม</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-0.40% / 605.20 ล้านบาท</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ROE ≥6% และยอดขายประมาณ 810 ล้านบาท</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ทุกโครงการ</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รายไตรมาส</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ผอ.หน่วยธุรกิจ</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2. มิติลูกค้า (Customer Perspective) — ลูกค้ามองเราอย่างไร</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ลูกค้า</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SO4 ลดการพึ่งพาลูกค้ารายใหญ่</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สัดส่วนยอดขายของลูกค้ารายใหญ่ที่สุดต่อยอดขายรวม</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40.12%</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ไม่เกิน 30%</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P3, P5, P9</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รายไตรมาส</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พาณิชย์</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ลูกค้า</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SO6 เพิ่มสัดส่วนรายได้จากเครื่องแบบเชิงฟังก์ชัน</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สัดส่วนรายได้ของหน่วยธุรกิจ Functional Workwear</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ต้องกำหนดค่าฐานภายใน 90 วัน</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ไม่น้อยกว่า 38%</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P3, P4, P5</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รายเดือน</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ผอ.หน่วยธุรกิจ</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ลูกค้า</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รักษาฐานลูกค้าองค์กรและสร้างความน่าเชื่อถือด้านการส่งมอบ</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อัตราต่อสัญญา / สั่งซื้อซ้ำ / ส่งมอบตรงเวลา / สินค้าขาดส่ง</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ต้องกำหนดค่าฐาน</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ต่อสัญญา ≥85% สั่งซื้อซ้ำ ≥70% ส่งมอบตรงเวลา ≥95% ขาดส่ง ≤2%</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P5, P6, P8, P9</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รายเดือน</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ฝ่ายขาย / ปฏิบัติการ</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3. มิติกระบวนการภายใน (Internal Process Perspective) — เราต้องทำอะไรให้เป็นเลิศ</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กระบวนการ</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SO5 ลดเงินทุนที่ตรึงในสินค้าคงเหลือ</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ระยะเวลาขายสินค้าคงเหลือ และวงจรเงินสด</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184 วัน และ 212 วัน</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ไม่เกิน 110 วัน และ 150 วัน</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P6, P9</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รายเดือน</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ปฏิบัติการ / บัญชีและการเงิน</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กระบวนการ</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ยกระดับผลิตภาพ เร่งวงจรตัวอย่างถึงคำสั่งซื้อ และบังคับใช้เกณฑ์กำไรก่อนรับงาน</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เวลาแรงงานต่อชิ้น / ระยะเวลาเสนอราคาและทำตัวอย่าง / อัตราเปลี่ยนตัวอย่างเป็นคำสั่งซื้อ / สัดส่วนคำสั่งซื้อที่ผ่านเกณฑ์กำไร</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ต้องกำหนดค่าฐาน</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เวลาแรงงานลด ≥15% ระยะเวลาเสนอราคาลด ≥30% อัตราเปลี่ยน ≥25% ผ่านเกณฑ์กำไร ≥95%</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 P4, P6, P8</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รายเดือน</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IE / R&amp;D / ฝ่ายขาย / การเงิน</w:t>
            </w:r>
          </w:p>
        </w:tc>
      </w:tr>
      <w:tr>
        <w:tc>
          <w:tcPr>
            <w:tcW w:type="dxa" w:w="15478"/>
            <w:gridSpan w:val="8"/>
            <w:shd w:fill="EDF1F9"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4"/>
                <w:szCs w:val="24"/>
              </w:rPr>
              <w:t xml:space="preserve">4. มิติการเรียนรู้และการเติบโต (Learning and Growth Perspective) — เราจะพัฒนาและสร้างคุณค่าต่อไปได้หรือไม่</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เรียนรู้และเติบโต</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SO8 สร้างข้อมูลตรวจสอบย้อนกลับ</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สัดส่วนสินค้าเชิงกลยุทธ์ที่มีข้อมูลตรวจสอบย้อนกลับครบถ้วน</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ต้องกำหนดค่าฐาน</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ครบ 100% ตั้งแต่ปี 2572 และรักษาระดับ</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P7</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รายไตรมาส</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จัดซื้อ / ควบคุมคุณภาพ</w:t>
            </w:r>
          </w:p>
        </w:tc>
      </w:tr>
      <w:tr>
        <w:tc>
          <w:tcPr>
            <w:tcW w:type="dxa" w:w="13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เรียนรู้และเติบโต</w:t>
            </w:r>
          </w:p>
        </w:tc>
        <w:tc>
          <w:tcPr>
            <w:tcW w:type="dxa" w:w="250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สร้างความสามารถใหม่ และรักษาความสามารถระหว่างการฟื้นฟู</w:t>
            </w:r>
          </w:p>
        </w:tc>
        <w:tc>
          <w:tcPr>
            <w:tcW w:type="dxa" w:w="26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จำนวนตำแหน่งวิกฤตที่มีผู้ดำรงตำแหน่งครบและผ่านการพัฒนา / อัตราการลาออกของตำแหน่งวิกฤต</w:t>
            </w:r>
          </w:p>
        </w:tc>
        <w:tc>
          <w:tcPr>
            <w:tcW w:type="dxa" w:w="17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ยังไม่มีตำแหน่งวิศวกรการขายและนักเทคโนโลยีสิ่งทอเฉพาะทาง</w:t>
            </w:r>
          </w:p>
        </w:tc>
        <w:tc>
          <w:tcPr>
            <w:tcW w:type="dxa" w:w="194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ครบ 100% ภายในปี 2572 และอัตราการลาออกไม่สูงกว่าค่าฐาน</w:t>
            </w:r>
          </w:p>
        </w:tc>
        <w:tc>
          <w:tcPr>
            <w:tcW w:type="dxa" w:w="1329"/>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P11</w:t>
            </w:r>
          </w:p>
        </w:tc>
        <w:tc>
          <w:tcPr>
            <w:tcW w:type="dxa" w:w="92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รายไตรมาส</w:t>
            </w:r>
          </w:p>
        </w:tc>
        <w:tc>
          <w:tcPr>
            <w:tcW w:type="dxa" w:w="305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ทรัพยากรมนุษย์</w:t>
            </w:r>
          </w:p>
        </w:tc>
      </w:tr>
    </w:tbl>
    <w:p>
      <w:pPr>
        <w:keepNext w:val="false"/>
        <w:spacing w:after="50" w:line="240"/>
        <w:ind w:firstLine="480"/>
        <w:jc w:val="both"/>
      </w:pPr>
      <w:r>
        <w:rPr>
          <w:rFonts w:ascii="TH Sarabun New" w:cs="TH Sarabun New" w:eastAsia="TH Sarabun New" w:hAnsi="TH Sarabun New"/>
          <w:b/>
          <w:bCs/>
          <w:i w:val="false"/>
          <w:iCs w:val="false"/>
          <w:sz w:val="32"/>
          <w:szCs w:val="32"/>
        </w:rPr>
        <w:t xml:space="preserve">จังหวะการควบคุม</w:t>
      </w:r>
      <w:r>
        <w:rPr>
          <w:rFonts w:ascii="TH Sarabun New" w:cs="TH Sarabun New" w:eastAsia="TH Sarabun New" w:hAnsi="TH Sarabun New"/>
          <w:b w:val="false"/>
          <w:bCs w:val="false"/>
          <w:i w:val="false"/>
          <w:iCs w:val="false"/>
          <w:sz w:val="32"/>
          <w:szCs w:val="32"/>
        </w:rPr>
        <w:t xml:space="preserve"> </w:t>
      </w:r>
      <w:r>
        <w:rPr>
          <w:rFonts w:ascii="TH Sarabun New" w:cs="TH Sarabun New" w:eastAsia="TH Sarabun New" w:hAnsi="TH Sarabun New"/>
          <w:b/>
          <w:bCs/>
          <w:i w:val="false"/>
          <w:iCs w:val="false"/>
          <w:sz w:val="32"/>
          <w:szCs w:val="32"/>
        </w:rPr>
        <w:t xml:space="preserve">รายเดือน</w:t>
      </w:r>
      <w:r>
        <w:rPr>
          <w:rFonts w:ascii="TH Sarabun New" w:cs="TH Sarabun New" w:eastAsia="TH Sarabun New" w:hAnsi="TH Sarabun New"/>
          <w:b w:val="false"/>
          <w:bCs w:val="false"/>
          <w:i w:val="false"/>
          <w:iCs w:val="false"/>
          <w:sz w:val="32"/>
          <w:szCs w:val="32"/>
        </w:rPr>
        <w:t xml:space="preserve"> ทบทวนงบกำไรขาดทุนของธุรกิจหลักแยกจากรายได้อื่น กำไรรายลูกค้าและราย SKU สินค้าคงเหลือ อัตราส่งมอบตรงเวลา และสถานะโอกาสการขาย </w:t>
      </w:r>
      <w:r>
        <w:rPr>
          <w:rFonts w:ascii="TH Sarabun New" w:cs="TH Sarabun New" w:eastAsia="TH Sarabun New" w:hAnsi="TH Sarabun New"/>
          <w:b/>
          <w:bCs/>
          <w:i w:val="false"/>
          <w:iCs w:val="false"/>
          <w:sz w:val="32"/>
          <w:szCs w:val="32"/>
        </w:rPr>
        <w:t xml:space="preserve">รายไตรมาส</w:t>
      </w:r>
      <w:r>
        <w:rPr>
          <w:rFonts w:ascii="TH Sarabun New" w:cs="TH Sarabun New" w:eastAsia="TH Sarabun New" w:hAnsi="TH Sarabun New"/>
          <w:b w:val="false"/>
          <w:bCs w:val="false"/>
          <w:i w:val="false"/>
          <w:iCs w:val="false"/>
          <w:sz w:val="32"/>
          <w:szCs w:val="32"/>
        </w:rPr>
        <w:t xml:space="preserve"> ทบทวนสมมติฐานใน SFAS การจัดสรรทรัพยากร การอนุมัติงบลงทุนขั้นถัดไปตามผลจริง และทะเบียนความเสี่ยง </w:t>
      </w:r>
      <w:r>
        <w:rPr>
          <w:rFonts w:ascii="TH Sarabun New" w:cs="TH Sarabun New" w:eastAsia="TH Sarabun New" w:hAnsi="TH Sarabun New"/>
          <w:b/>
          <w:bCs/>
          <w:i w:val="false"/>
          <w:iCs w:val="false"/>
          <w:sz w:val="32"/>
          <w:szCs w:val="32"/>
        </w:rPr>
        <w:t xml:space="preserve">รายปี</w:t>
      </w:r>
      <w:r>
        <w:rPr>
          <w:rFonts w:ascii="TH Sarabun New" w:cs="TH Sarabun New" w:eastAsia="TH Sarabun New" w:hAnsi="TH Sarabun New"/>
          <w:b w:val="false"/>
          <w:bCs w:val="false"/>
          <w:i w:val="false"/>
          <w:iCs w:val="false"/>
          <w:sz w:val="32"/>
          <w:szCs w:val="32"/>
        </w:rPr>
        <w:t xml:space="preserve"> ทบทวนวิสัยทัศน์ พันธกิจ วัตถุประสงค์ การเทียบเคียงคู่แข่ง และแผนสามปีข้างหน้า สอดคล้องกับแนวคิดการควบคุมเชิงชี้นำ (Steering Control) ในบทเรียนบทที่ 12 ที่ให้วัดตัวแปรที่มีผลต่อกำไรในอนาคต ไม่ใช่วัดเฉพาะผลที่เกิดแล้ว</w:t>
      </w:r>
    </w:p>
    <w:p>
      <w:pPr>
        <w:pStyle w:val="Heading3"/>
        <w:keepNext/>
        <w:spacing w:after="70" w:before="150"/>
      </w:pPr>
      <w:r>
        <w:rPr>
          <w:rFonts w:ascii="TH Sarabun New" w:cs="TH Sarabun New" w:eastAsia="TH Sarabun New" w:hAnsi="TH Sarabun New"/>
          <w:b/>
          <w:bCs/>
          <w:i w:val="false"/>
          <w:iCs w:val="false"/>
          <w:sz w:val="32"/>
          <w:szCs w:val="32"/>
        </w:rPr>
        <w:t xml:space="preserve">ความเสี่ยงของกลยุทธ์และแผนรองรับ</w:t>
      </w:r>
    </w:p>
    <w:p>
      <w:pPr>
        <w:keepNext/>
        <w:spacing w:after="50" w:before="130"/>
        <w:jc w:val="left"/>
      </w:pPr>
      <w:r>
        <w:rPr>
          <w:rFonts w:ascii="TH Sarabun New" w:cs="TH Sarabun New" w:eastAsia="TH Sarabun New" w:hAnsi="TH Sarabun New"/>
          <w:b/>
          <w:bCs/>
          <w:i w:val="false"/>
          <w:iCs w:val="false"/>
          <w:sz w:val="28"/>
          <w:szCs w:val="28"/>
        </w:rPr>
        <w:t xml:space="preserve">ตารางที่ 20  ความเสี่ยงของกลยุทธ์ สัญญาณเตือน และแผนรองรับ</w:t>
      </w:r>
    </w:p>
    <w:tbl>
      <w:tblPr>
        <w:tblW w:type="dxa" w:w="15478"/>
        <w:tblBorders>
          <w:top w:val="single" w:color="7F7F7F" w:sz="4"/>
          <w:left w:val="single" w:color="7F7F7F" w:sz="4"/>
          <w:bottom w:val="single" w:color="7F7F7F" w:sz="4"/>
          <w:right w:val="single" w:color="7F7F7F" w:sz="4"/>
          <w:insideH w:val="single" w:color="BFBFBF" w:sz="2"/>
          <w:insideV w:val="single" w:color="BFBFBF" w:sz="2"/>
        </w:tblBorders>
      </w:tblPr>
      <w:tblGrid>
        <w:gridCol w:w="3374"/>
        <w:gridCol w:w="3783"/>
        <w:gridCol w:w="6480"/>
        <w:gridCol w:w="1841"/>
      </w:tblGrid>
      <w:tr>
        <w:trPr>
          <w:tblHeader/>
        </w:trPr>
        <w:tc>
          <w:tcPr>
            <w:tcW w:type="dxa" w:w="337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ความเสี่ยง</w:t>
            </w:r>
          </w:p>
        </w:tc>
        <w:tc>
          <w:tcPr>
            <w:tcW w:type="dxa" w:w="3783"/>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สัญญาณเตือนที่วัดได้</w:t>
            </w:r>
          </w:p>
        </w:tc>
        <w:tc>
          <w:tcPr>
            <w:tcW w:type="dxa" w:w="6480"/>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แผนรองรับ</w:t>
            </w:r>
          </w:p>
        </w:tc>
        <w:tc>
          <w:tcPr>
            <w:tcW w:type="dxa" w:w="1841"/>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4"/>
                <w:szCs w:val="24"/>
              </w:rPr>
              <w:t xml:space="preserve">ผู้รับผิดชอบ</w:t>
            </w:r>
          </w:p>
        </w:tc>
      </w:tr>
      <w:t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ผลการพิสูจน์กำไรใน 90 วันไม่ยืนยันว่ากลุ่มเครื่องแบบมีอัตรากำไรสูงกว่ากลุ่มอื่น</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กำไรส่วนเพิ่มของกลุ่มเครื่องแบบและชุดทางการแพทย์ไม่สูงกว่าค่าเฉลี่ยของบริษัท</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ชะลอส่วนการเติบโตทั้งหมด ดำเนินเฉพาะส่วนฟื้นฟูต่อไป ทบทวนแพลตฟอร์มผลิตภัณฑ์และกลุ่มลูกค้าใหม่ ไม่เปลี่ยนไปใช้ทางเลือก B ตามเหตุผลในหัวข้อ 4.4.3</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คณะกรรมการบริหาร</w:t>
            </w:r>
          </w:p>
        </w:tc>
      </w:tr>
      <w:t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หน่วยธุรกิจใหม่ขายไม่ได้ตามเป้า</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มูลค่าโอกาสการขายต่ำกว่า 2 เท่าของเป้ารายได้ หรืออัตราเปลี่ยนตัวอย่างเป็นคำสั่งซื้อต่ำกว่า 20%</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ลดจำนวนแพลตฟอร์มผลิตภัณฑ์จาก 4 เหลือ 2 ที่มีสัญญาณตอบรับดีที่สุด เพิ่มการใช้ลูกค้าอ้างอิง และทบทวนกลุ่มลูกค้าเป้าหมาย</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ผอ.หน่วยธุรกิจ</w:t>
            </w:r>
          </w:p>
        </w:tc>
      </w:tr>
      <w:t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อัตรากำไรถูกกดจากการแข่งขันในงานประมูล</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กำไรส่วนเพิ่มของงานที่ชนะประมูลต่ำกว่าเกณฑ์ขั้นต่ำ</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ใช้กระบวนการตัดสินใจเข้า/ไม่เข้าประมูลอย่างเข้มงวด ใช้วิศวกรรมคุณค่าลดต้นทุนโดยรักษาคุณสมบัติ และกำหนดเงื่อนไขปรับราคาตามต้นทุนวัตถุดิบในสัญญา</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พาณิชย์ / การเงิน</w:t>
            </w:r>
          </w:p>
        </w:tc>
      </w:tr>
      <w:t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การลงทุนระบบกึ่งอัตโนมัติไม่ให้ผลตอบแทนตามที่คาด</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เวลาแรงงานต่อชิ้นหรือประสิทธิผลโดยรวมของเครื่องจักรไม่ดีขึ้นภายใน 3 เดือนหลังติดตั้ง</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หยุดการอนุมัติงบขั้นถัดไป ทบทวนสายการผลิตนำร่องก่อนขยาย และปรับสัดส่วนการจ้างผลิตภายนอกแทน</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COO</w:t>
            </w:r>
          </w:p>
        </w:tc>
      </w:tr>
      <w:t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ความขัดแย้งด้านช่องทางกับ I.C.C. และบริษัทในเครือ</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เกิดการทับซ้อนของลูกค้าหรือราคาที่ชนกันในกลุ่มลูกค้าเดียวกัน</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บังคับใช้ข้อตกลงแบ่งกลุ่มลูกค้าและช่องทางตามกลยุทธ์ WT2 และให้คณะกรรมการบริหารเป็นผู้ชี้ขาดกรณีพิพาท</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w:t>
            </w:r>
          </w:p>
        </w:tc>
      </w:tr>
      <w:tr>
        <w:tc>
          <w:tcPr>
            <w:tcW w:type="dxa" w:w="337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การลดค่าใช้จ่ายกระทบความสามารถขององค์กร สภาพเศรษฐกิจและภาษีการค้าเลวลงกว่าสมมติฐาน หรือข้อมูลตรวจสอบย้อนกลับไม่ครบตามกำหนดของ EU</w:t>
            </w:r>
          </w:p>
        </w:tc>
        <w:tc>
          <w:tcPr>
            <w:tcW w:type="dxa" w:w="3783"/>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อัตราของเสียหรืออัตราการลาออกของตำแหน่งวิกฤตแย่ลง ยอดขายในประเทศลดเกิน 5% ต่อปี คำสั่งซื้อส่งออกถูกเลื่อนเกิน 20% หรือคู่ค้าไม่ส่งข้อมูลวัสดุตามกำหนด</w:t>
            </w:r>
          </w:p>
        </w:tc>
        <w:tc>
          <w:tcPr>
            <w:tcW w:type="dxa" w:w="6480"/>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ปกป้องตำแหน่งวิกฤตและเร่งพัฒนาทักษะทดแทน เร่งสัดส่วนงานสัญญาระยะกลาง ชะลองบลงทุนที่ยังไม่ผูกพัน ทบทวนประมาณการเป็นกรณีฐาน และเร่งรับคู่ค้าเข้าระบบพร้อมจัดหาคู่ค้าทดแทนสำหรับวัสดุเสี่ยง</w:t>
            </w:r>
          </w:p>
        </w:tc>
        <w:tc>
          <w:tcPr>
            <w:tcW w:type="dxa" w:w="1841"/>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4"/>
                <w:szCs w:val="24"/>
              </w:rPr>
              <w:t xml:space="preserve">CEO / HR / การเงิน / จัดซื้อ</w:t>
            </w:r>
          </w:p>
        </w:tc>
      </w:tr>
    </w:tbl>
    <w:p>
      <w:pPr>
        <w:sectPr>
          <w:footerReference w:type="default" r:id="rId9"/>
          <w:pgSz w:w="16838" w:h="11906" w:orient="landscape"/>
          <w:pgMar w:top="737" w:right="680" w:bottom="680" w:left="680" w:header="708" w:footer="708" w:gutter="0"/>
          <w:pgNumType/>
          <w:docGrid w:linePitch="360"/>
        </w:sectPr>
      </w:pPr>
    </w:p>
    <w:p>
      <w:pPr>
        <w:pStyle w:val="Heading1"/>
        <w:keepNext/>
        <w:spacing w:after="80" w:before="180"/>
      </w:pPr>
      <w:r>
        <w:rPr>
          <w:rFonts w:ascii="TH Sarabun New" w:cs="TH Sarabun New" w:eastAsia="TH Sarabun New" w:hAnsi="TH Sarabun New"/>
          <w:b/>
          <w:bCs/>
          <w:i w:val="false"/>
          <w:iCs w:val="false"/>
          <w:sz w:val="36"/>
          <w:szCs w:val="36"/>
        </w:rPr>
        <w:t xml:space="preserve">6. ประมาณการผลการดำเนินงาน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ประมาณการในบทนี้ไม่ได้ใช้วิธีคูณอัตราการเติบโตคงที่กับยอดขายปีฐาน แต่สร้างจากสมมติฐานที่ผูกกับกลยุทธ์และแผนปฏิบัติการโดยตรง คือ ยอดขายเปลี่ยนตามการยุติสินค้าที่ไม่ทำกำไรและการเพิ่มขึ้นของงานเครื่องแบบเชิงฟังก์ชัน อัตรากำไรขั้นต้นเปลี่ยนตามส่วนผสมผลิตภัณฑ์และโครงการ P8 และค่าใช้จ่ายขายและบริหารเปลี่ยนตามโครงการ P2 การนำเสนอแบ่งเป็นสองฉากทัศน์ คือ </w:t>
      </w:r>
      <w:r>
        <w:rPr>
          <w:rFonts w:ascii="TH Sarabun New" w:cs="TH Sarabun New" w:eastAsia="TH Sarabun New" w:hAnsi="TH Sarabun New"/>
          <w:b/>
          <w:bCs/>
          <w:i w:val="false"/>
          <w:iCs w:val="false"/>
          <w:sz w:val="32"/>
          <w:szCs w:val="32"/>
        </w:rPr>
        <w:t xml:space="preserve">กรณีฐาน</w:t>
      </w:r>
      <w:r>
        <w:rPr>
          <w:rFonts w:ascii="TH Sarabun New" w:cs="TH Sarabun New" w:eastAsia="TH Sarabun New" w:hAnsi="TH Sarabun New"/>
          <w:b w:val="false"/>
          <w:bCs w:val="false"/>
          <w:i w:val="false"/>
          <w:iCs w:val="false"/>
          <w:sz w:val="32"/>
          <w:szCs w:val="32"/>
        </w:rPr>
        <w:t xml:space="preserve"> ที่ดำเนินกลยุทธ์เดิมต่อไป และ </w:t>
      </w:r>
      <w:r>
        <w:rPr>
          <w:rFonts w:ascii="TH Sarabun New" w:cs="TH Sarabun New" w:eastAsia="TH Sarabun New" w:hAnsi="TH Sarabun New"/>
          <w:b/>
          <w:bCs/>
          <w:i w:val="false"/>
          <w:iCs w:val="false"/>
          <w:sz w:val="32"/>
          <w:szCs w:val="32"/>
        </w:rPr>
        <w:t xml:space="preserve">กรณีกลยุทธ์</w:t>
      </w:r>
      <w:r>
        <w:rPr>
          <w:rFonts w:ascii="TH Sarabun New" w:cs="TH Sarabun New" w:eastAsia="TH Sarabun New" w:hAnsi="TH Sarabun New"/>
          <w:b w:val="false"/>
          <w:bCs w:val="false"/>
          <w:i w:val="false"/>
          <w:iCs w:val="false"/>
          <w:sz w:val="32"/>
          <w:szCs w:val="32"/>
        </w:rPr>
        <w:t xml:space="preserve"> ที่ดำเนินตามแผนในบทที่ 5 ทั้งสองใช้ปี 2568 เป็นปีฐาน และแสดงผลจากธุรกิจหลักแยกจากรายได้อื่น เพราะการรวมสองรายการนี้คือสาเหตุที่ทำให้ปัญหาถูกมองข้ามมาสามปี</w:t>
      </w:r>
    </w:p>
    <w:p>
      <w:pPr>
        <w:keepNext/>
        <w:spacing w:after="50" w:before="130"/>
        <w:jc w:val="left"/>
      </w:pPr>
      <w:r>
        <w:rPr>
          <w:rFonts w:ascii="TH Sarabun New" w:cs="TH Sarabun New" w:eastAsia="TH Sarabun New" w:hAnsi="TH Sarabun New"/>
          <w:b/>
          <w:bCs/>
          <w:i w:val="false"/>
          <w:iCs w:val="false"/>
          <w:sz w:val="28"/>
          <w:szCs w:val="28"/>
        </w:rPr>
        <w:t xml:space="preserve">ตารางที่ 21  ประมาณการผลการดำเนินงาน กรณีฐาน (Base Case) ปี 2570–2574 (หน่วย: ล้านบาท)</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585"/>
        <w:gridCol w:w="1215"/>
        <w:gridCol w:w="1134"/>
        <w:gridCol w:w="1134"/>
        <w:gridCol w:w="1134"/>
        <w:gridCol w:w="1134"/>
        <w:gridCol w:w="1132"/>
      </w:tblGrid>
      <w:tr>
        <w:trPr>
          <w:tblHeader/>
        </w:trPr>
        <w:tc>
          <w:tcPr>
            <w:tcW w:type="dxa" w:w="258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รายการ</w:t>
            </w:r>
          </w:p>
        </w:tc>
        <w:tc>
          <w:tcPr>
            <w:tcW w:type="dxa" w:w="121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2568 (จริง)</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2570</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2571</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2572</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2573</w:t>
            </w:r>
          </w:p>
        </w:tc>
        <w:tc>
          <w:tcPr>
            <w:tcW w:type="dxa" w:w="113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2574</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ยอดขาย</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605.20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592.00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586.00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580.00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574.00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568.00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อัตรากำไรขั้นต้น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21.40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21.00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20.80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20.60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20.40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20.20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กำไรขั้นต้น</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129.52</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124.32</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121.89</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119.48</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117.10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114.74</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ค่าใช้จ่ายขายและบริหาร</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178.08</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152.00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151.00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149.00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148.00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ค่าใช้จ่ายขายและบริหาร/ยอดขาย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29.42</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25.68</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25.77</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25.86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25.96</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26.06</w:t>
            </w:r>
          </w:p>
        </w:tc>
      </w:tr>
      <w:tr>
        <w:tc>
          <w:tcPr>
            <w:tcW w:type="dxa" w:w="2585"/>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ผลจากธุรกิจหลักโดยประมาณ</w:t>
            </w:r>
          </w:p>
        </w:tc>
        <w:tc>
          <w:tcPr>
            <w:tcW w:type="dxa" w:w="1215"/>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(48.56)</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(27.68)</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(29.11)</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(30.52)</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(31.90)</w:t>
            </w:r>
          </w:p>
        </w:tc>
        <w:tc>
          <w:tcPr>
            <w:tcW w:type="dxa" w:w="1132"/>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(33.26)</w:t>
            </w:r>
          </w:p>
        </w:tc>
      </w:tr>
      <w:tr>
        <w:tc>
          <w:tcPr>
            <w:tcW w:type="dxa" w:w="2585"/>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อัตราผลจากธุรกิจหลัก (%)</w:t>
            </w:r>
          </w:p>
        </w:tc>
        <w:tc>
          <w:tcPr>
            <w:tcW w:type="dxa" w:w="1215"/>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(8.02)</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(4.68)</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(4.97)</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(5.26)</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(5.56)</w:t>
            </w:r>
          </w:p>
        </w:tc>
        <w:tc>
          <w:tcPr>
            <w:tcW w:type="dxa" w:w="1132"/>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(5.86)</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รายได้อื่น (สมมติคงที่)</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62.14</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60.00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60.00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กำไรสุทธิโดยประมาณ (ภาษี 20%)*</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(5.56)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25.86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24.71</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23.58</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22.48</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21.39</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ผลตอบแทนต่อส่วนของผู้ถือหุ้นโดยประมาณ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(0.40)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1.9</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1.8</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1.6</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ระยะเวลาขายสินค้าคงเหลือ (วัน)</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184</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180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178</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175</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175</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*ไม่รวมกำไรหรือขาดทุนจากการตีมูลค่าเงินลงทุน ซึ่งผันผวนสูงและไม่เกี่ยวกับการดำเนินงาน  ตัวเลขปี 2570–2574 เป็นประมาณการของผู้จัดทำ ไม่ใช่ประมาณการของบริษัทหรือนักวิเคราะห์หลักทรัพย์</w:t>
      </w:r>
    </w:p>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การอ่านผลกรณีฐาน</w:t>
      </w:r>
      <w:r>
        <w:rPr>
          <w:rFonts w:ascii="TH Sarabun New" w:cs="TH Sarabun New" w:eastAsia="TH Sarabun New" w:hAnsi="TH Sarabun New"/>
          <w:b w:val="false"/>
          <w:bCs w:val="false"/>
          <w:i w:val="false"/>
          <w:iCs w:val="false"/>
          <w:sz w:val="32"/>
          <w:szCs w:val="32"/>
        </w:rPr>
        <w:t xml:space="preserve"> ตารางที่ 21 แสดงภาพที่สำคัญที่สุดของรายงาน นั่นคือ </w:t>
      </w:r>
      <w:r>
        <w:rPr>
          <w:rFonts w:ascii="TH Sarabun New" w:cs="TH Sarabun New" w:eastAsia="TH Sarabun New" w:hAnsi="TH Sarabun New"/>
          <w:b/>
          <w:bCs/>
          <w:i w:val="false"/>
          <w:iCs w:val="false"/>
          <w:sz w:val="32"/>
          <w:szCs w:val="32"/>
        </w:rPr>
        <w:t xml:space="preserve">หากไม่เปลี่ยนกลยุทธ์ บริษัทจะยังรายงานกำไรสุทธิเป็นบวกทุกปี ขณะที่ธุรกิจหลักขาดทุนเพิ่มขึ้นต่อเนื่อง</w:t>
      </w:r>
      <w:r>
        <w:rPr>
          <w:rFonts w:ascii="TH Sarabun New" w:cs="TH Sarabun New" w:eastAsia="TH Sarabun New" w:hAnsi="TH Sarabun New"/>
          <w:b w:val="false"/>
          <w:bCs w:val="false"/>
          <w:i w:val="false"/>
          <w:iCs w:val="false"/>
          <w:sz w:val="32"/>
          <w:szCs w:val="32"/>
        </w:rPr>
        <w:t xml:space="preserve"> กำไรสุทธิ 21–26 ล้านบาทต่อปีไม่ได้มาจากการผลิตและขายเสื้อผ้า แต่มาจากเงินปันผลจากพอร์ตเงินลงทุน สาเหตุที่ผลจากธุรกิจหลักยังเลวลงแม้ลดค่าใช้จ่ายแล้ว คือยอดขายที่ค่อย ๆ หดตัวและอัตรากำไรขั้นต้นที่ถูกกดลงปีละประมาณ 0.2 จุดจากการแข่งขันด้านราคา ตามการวิเคราะห์แรงกดดันในตารางที่ 5 ความเสี่ยงของกรณีฐานจึงไม่ใช่การล้มละลายระยะสั้น แต่คือการค่อย ๆ กลายเป็นบริษัทถือครองเงินลงทุนที่มีโรงงานติดมาด้วย โดย ROE ร้อยละ 1.5–1.9 ต่ำกว่าผลตอบแทนของการลงทุนที่ไม่มีความเสี่ยง</w:t>
      </w:r>
    </w:p>
    <w:p>
      <w:pPr>
        <w:keepNext/>
        <w:spacing w:after="50" w:before="130"/>
        <w:jc w:val="left"/>
      </w:pPr>
      <w:r>
        <w:rPr>
          <w:rFonts w:ascii="TH Sarabun New" w:cs="TH Sarabun New" w:eastAsia="TH Sarabun New" w:hAnsi="TH Sarabun New"/>
          <w:b/>
          <w:bCs/>
          <w:i w:val="false"/>
          <w:iCs w:val="false"/>
          <w:sz w:val="28"/>
          <w:szCs w:val="28"/>
        </w:rPr>
        <w:t xml:space="preserve">ตารางที่ 22  ประมาณการผลการดำเนินงาน กรณีกลยุทธ์ (Strategic Case) ปี 2570–2574 (หน่วย: ล้านบาท)</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585"/>
        <w:gridCol w:w="1215"/>
        <w:gridCol w:w="1134"/>
        <w:gridCol w:w="1134"/>
        <w:gridCol w:w="1134"/>
        <w:gridCol w:w="1134"/>
        <w:gridCol w:w="1132"/>
      </w:tblGrid>
      <w:tr>
        <w:trPr>
          <w:tblHeader/>
        </w:trPr>
        <w:tc>
          <w:tcPr>
            <w:tcW w:type="dxa" w:w="258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รายการ</w:t>
            </w:r>
          </w:p>
        </w:tc>
        <w:tc>
          <w:tcPr>
            <w:tcW w:type="dxa" w:w="1215"/>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2568 (จริง)</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2570</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2571</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2572</w:t>
            </w:r>
          </w:p>
        </w:tc>
        <w:tc>
          <w:tcPr>
            <w:tcW w:type="dxa" w:w="113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2573</w:t>
            </w:r>
          </w:p>
        </w:tc>
        <w:tc>
          <w:tcPr>
            <w:tcW w:type="dxa" w:w="1132"/>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2574</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ยอดขาย</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605.20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600.00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645.00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700.00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755.00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810.00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อัตราการเติบโตของยอดขาย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(21.80)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(0.86)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7.50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8.53</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7.86</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7.28</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รายได้จากเครื่องแบบเชิงฟังก์ชัน (เป้าหมาย)</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ต้องกำหนดฐาน</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130.00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175.00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225.00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275.00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310.00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สัดส่วนของยอดขายรวม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ต้องกำหนดฐาน</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21.7</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27.1</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32.1</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36.4</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38.3</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อัตรากำไรขั้นต้น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21.40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22.50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24.00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25.50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26.50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27.50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กำไรขั้นต้น</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129.52</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135.00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154.80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178.50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200.08</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222.75</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ค่าใช้จ่ายขายและบริหาร</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178.08</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150.00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148.35</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154.00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158.55</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162.00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ค่าใช้จ่ายขายและบริหาร/ยอดขาย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29.42</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23.00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22.00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21.00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20.00</w:t>
            </w:r>
          </w:p>
        </w:tc>
      </w:tr>
      <w:tr>
        <w:tc>
          <w:tcPr>
            <w:tcW w:type="dxa" w:w="2585"/>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ผลจากธุรกิจหลักโดยประมาณ</w:t>
            </w:r>
          </w:p>
        </w:tc>
        <w:tc>
          <w:tcPr>
            <w:tcW w:type="dxa" w:w="1215"/>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(48.56)</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(15.00)</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6.45</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24.50</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41.53</w:t>
            </w:r>
          </w:p>
        </w:tc>
        <w:tc>
          <w:tcPr>
            <w:tcW w:type="dxa" w:w="1132"/>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60.75</w:t>
            </w:r>
          </w:p>
        </w:tc>
      </w:tr>
      <w:tr>
        <w:tc>
          <w:tcPr>
            <w:tcW w:type="dxa" w:w="2585"/>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อัตราผลจากธุรกิจหลัก (%)</w:t>
            </w:r>
          </w:p>
        </w:tc>
        <w:tc>
          <w:tcPr>
            <w:tcW w:type="dxa" w:w="1215"/>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(8.02)</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(2.50)</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1.00</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3.50</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5.50</w:t>
            </w:r>
          </w:p>
        </w:tc>
        <w:tc>
          <w:tcPr>
            <w:tcW w:type="dxa" w:w="1132"/>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7.50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รายได้อื่น (ลดลงตามการใช้สินทรัพย์ทางการเงินลงทุน)</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62.14</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58.00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56.00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54.00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54.00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54.00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กำไรสุทธิโดยประมาณ (ภาษี 20%)*</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(5.56)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34.40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49.96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62.80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76.42</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91.80</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ผลตอบแทนต่อส่วนของผู้ถือหุ้นโดยประมาณ (%)</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(0.40)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2.5</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3.6</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4.4</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5.2</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6.1</w:t>
            </w:r>
          </w:p>
        </w:tc>
      </w:tr>
      <w:tr>
        <w:tc>
          <w:tcPr>
            <w:tcW w:type="dxa" w:w="2585"/>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ระยะเวลาขายสินค้าคงเหลือ (วัน)</w:t>
            </w:r>
          </w:p>
        </w:tc>
        <w:tc>
          <w:tcPr>
            <w:tcW w:type="dxa" w:w="1215"/>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184</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165</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145</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130</w:t>
            </w:r>
          </w:p>
        </w:tc>
        <w:tc>
          <w:tcPr>
            <w:tcW w:type="dxa" w:w="1134"/>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120</w:t>
            </w:r>
          </w:p>
        </w:tc>
        <w:tc>
          <w:tcPr>
            <w:tcW w:type="dxa" w:w="1132"/>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val="false"/>
                <w:bCs w:val="false"/>
                <w:i w:val="false"/>
                <w:iCs w:val="false"/>
                <w:sz w:val="26"/>
                <w:szCs w:val="26"/>
              </w:rPr>
              <w:t xml:space="preserve">110</w:t>
            </w:r>
          </w:p>
        </w:tc>
      </w:tr>
      <w:tr>
        <w:tc>
          <w:tcPr>
            <w:tcW w:type="dxa" w:w="2585"/>
            <w:shd w:fill="FCE4D6" w:color="auto" w:val="clear"/>
            <w:tcMar>
              <w:top w:type="dxa" w:w="10"/>
              <w:left w:type="dxa" w:w="60"/>
              <w:bottom w:type="dxa" w:w="10"/>
              <w:right w:type="dxa" w:w="60"/>
            </w:tcMar>
            <w:vAlign w:val="center"/>
          </w:tcPr>
          <w:p>
            <w:pPr>
              <w:spacing w:after="10" w:line="228"/>
              <w:jc w:val="left"/>
            </w:pPr>
            <w:r>
              <w:rPr>
                <w:rFonts w:ascii="TH Sarabun New" w:cs="TH Sarabun New" w:eastAsia="TH Sarabun New" w:hAnsi="TH Sarabun New"/>
                <w:b/>
                <w:bCs/>
                <w:i w:val="false"/>
                <w:iCs w:val="false"/>
                <w:sz w:val="26"/>
                <w:szCs w:val="26"/>
              </w:rPr>
              <w:t xml:space="preserve">ส่วนต่างของกำไรสุทธิเทียบกรณีฐาน</w:t>
            </w:r>
          </w:p>
        </w:tc>
        <w:tc>
          <w:tcPr>
            <w:tcW w:type="dxa" w:w="1215"/>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8.54</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25.25</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39.22</w:t>
            </w:r>
          </w:p>
        </w:tc>
        <w:tc>
          <w:tcPr>
            <w:tcW w:type="dxa" w:w="1134"/>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53.94</w:t>
            </w:r>
          </w:p>
        </w:tc>
        <w:tc>
          <w:tcPr>
            <w:tcW w:type="dxa" w:w="1132"/>
            <w:shd w:fill="FCE4D6"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70.41</w:t>
            </w:r>
          </w:p>
        </w:tc>
      </w:tr>
    </w:tbl>
    <w:p>
      <w:pPr>
        <w:spacing w:after="110" w:line="228"/>
        <w:jc w:val="left"/>
      </w:pPr>
      <w:r>
        <w:rPr>
          <w:rFonts w:ascii="TH Sarabun New" w:cs="TH Sarabun New" w:eastAsia="TH Sarabun New" w:hAnsi="TH Sarabun New"/>
          <w:b w:val="false"/>
          <w:bCs w:val="false"/>
          <w:i w:val="false"/>
          <w:iCs w:val="false"/>
          <w:sz w:val="26"/>
          <w:szCs w:val="26"/>
        </w:rPr>
        <w:t xml:space="preserve">*ไม่รวมกำไรหรือขาดทุนจากการตีมูลค่าเงินลงทุน  ตัวเลขเป็นประมาณการของผู้จัดทำภายใต้สมมติฐานในตารางที่ 23</w:t>
      </w:r>
    </w:p>
    <w:p>
      <w:pPr>
        <w:spacing w:after="60" w:before="60" w:line="240" w:lineRule="auto"/>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00250"/>
                    </a:xfrm>
                    <a:prstGeom prst="rect">
                      <a:avLst/>
                    </a:prstGeom>
                  </pic:spPr>
                </pic:pic>
              </a:graphicData>
            </a:graphic>
          </wp:inline>
        </w:drawing>
      </w:r>
    </w:p>
    <w:p>
      <w:pPr>
        <w:spacing w:after="110" w:line="228"/>
        <w:jc w:val="left"/>
      </w:pPr>
      <w:r>
        <w:rPr>
          <w:rFonts w:ascii="TH Sarabun New" w:cs="TH Sarabun New" w:eastAsia="TH Sarabun New" w:hAnsi="TH Sarabun New"/>
          <w:b w:val="false"/>
          <w:bCs w:val="false"/>
          <w:i w:val="false"/>
          <w:iCs w:val="false"/>
          <w:sz w:val="26"/>
          <w:szCs w:val="26"/>
        </w:rPr>
        <w:t xml:space="preserve">รูปที่ 4  เปรียบเทียบอัตราผลจากธุรกิจหลัก กรณีฐานและกรณีกลยุทธ์ ปี 2568–2574  หมายเหตุ: ปี 2569 เป็นปีเปลี่ยนผ่านก่อนเริ่มแผน ค่าประมาณ -5.05% คำนวณจากผลจริงงวดหกเดือนแรก (กำไรขั้นต้น 59.35 หักค่าใช้จ่ายขายและบริหาร 76.21 เท่ากับ -16.86 ล้านบาท คิดเป็น -5.91% ของยอดขาย) แล้วประมาณครึ่งปีหลังตามแนวโน้มเดียวกัน</w:t>
      </w:r>
    </w:p>
    <w:p>
      <w:pPr>
        <w:keepNext/>
        <w:spacing w:after="50" w:before="130"/>
        <w:jc w:val="left"/>
      </w:pPr>
      <w:r>
        <w:rPr>
          <w:rFonts w:ascii="TH Sarabun New" w:cs="TH Sarabun New" w:eastAsia="TH Sarabun New" w:hAnsi="TH Sarabun New"/>
          <w:b/>
          <w:bCs/>
          <w:i w:val="false"/>
          <w:iCs w:val="false"/>
          <w:sz w:val="28"/>
          <w:szCs w:val="28"/>
        </w:rPr>
        <w:t xml:space="preserve">ตารางที่ 23  สมมติฐานหลักของประมาณการกรณีกลยุทธ์</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2227"/>
        <w:gridCol w:w="1518"/>
        <w:gridCol w:w="4407"/>
        <w:gridCol w:w="1316"/>
      </w:tblGrid>
      <w:tr>
        <w:trPr>
          <w:tblHeader/>
        </w:trPr>
        <w:tc>
          <w:tcPr>
            <w:tcW w:type="dxa" w:w="222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สมมติฐาน</w:t>
            </w:r>
          </w:p>
        </w:tc>
        <w:tc>
          <w:tcPr>
            <w:tcW w:type="dxa" w:w="151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ค่าที่ใช้</w:t>
            </w:r>
          </w:p>
        </w:tc>
        <w:tc>
          <w:tcPr>
            <w:tcW w:type="dxa" w:w="4407"/>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ที่มาและเหตุผล</w:t>
            </w:r>
          </w:p>
        </w:tc>
        <w:tc>
          <w:tcPr>
            <w:tcW w:type="dxa" w:w="131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เชื่อมโยง</w:t>
            </w:r>
          </w:p>
        </w:tc>
      </w:tr>
      <w:tr>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ยอดขายปี 2570 ลดลงเล็กน้อยก่อนกลับมาเติบโต</w:t>
            </w:r>
          </w:p>
        </w:tc>
        <w:tc>
          <w:tcPr>
            <w:tcW w:type="dxa" w:w="151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600.00 ล้านบาท (-0.86%)</w:t>
            </w:r>
          </w:p>
        </w:tc>
        <w:tc>
          <w:tcPr>
            <w:tcW w:type="dxa" w:w="44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ปีแรกเป็นปีของการยุติสินค้าและลูกค้าที่ไม่ผ่านเกณฑ์กำไร ยอดขายที่หายไปถูกชดเชยด้วยรายได้จากลูกค้านำร่องบางส่วน แผนที่ตั้งเป้าเติบโตทันทีในปีแรกจะขัดแย้งกับกลยุทธ์ฟื้นฟู</w:t>
            </w:r>
          </w:p>
        </w:tc>
        <w:tc>
          <w:tcPr>
            <w:tcW w:type="dxa" w:w="131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P1, P2</w:t>
            </w:r>
          </w:p>
        </w:tc>
      </w:tr>
      <w:tr>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อัตราการเติบโตของยอดขายปี 2571–2574</w:t>
            </w:r>
          </w:p>
        </w:tc>
        <w:tc>
          <w:tcPr>
            <w:tcW w:type="dxa" w:w="151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7.3–8.5% ต่อปี</w:t>
            </w:r>
          </w:p>
        </w:tc>
        <w:tc>
          <w:tcPr>
            <w:tcW w:type="dxa" w:w="44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มาจากการเพิ่มขึ้นของรายได้กลุ่มเครื่องแบบเชิงฟังก์ชันเป็นหลัก ไม่ใช่จากธุรกิจเดิม เมื่อคำนวณเป็นอัตราเฉลี่ยปี 2568–2574 ได้ร้อยละ 4.98 ต่อปี ซึ่งอยู่ในกรอบเป้าหมายระยะยาวของบริษัทเองที่ร้อยละ 4–5 ต่อปี</w:t>
            </w:r>
          </w:p>
        </w:tc>
        <w:tc>
          <w:tcPr>
            <w:tcW w:type="dxa" w:w="131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P3, P5, P9, P10</w:t>
            </w:r>
          </w:p>
        </w:tc>
      </w:tr>
      <w:tr>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อัตรากำไรขั้นต้นเพิ่มจาก 21.40% เป็น 27.50%</w:t>
            </w:r>
          </w:p>
        </w:tc>
        <w:tc>
          <w:tcPr>
            <w:tcW w:type="dxa" w:w="151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เพิ่มเฉลี่ยประมาณ 1.2 จุดต่อปี</w:t>
            </w:r>
          </w:p>
        </w:tc>
        <w:tc>
          <w:tcPr>
            <w:tcW w:type="dxa" w:w="44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มาจากส่วนผสมผลิตภัณฑ์ที่เปลี่ยนไปสู่งานที่ขายด้วยคุณสมบัติแทนราคา และผลิตภาพที่เพิ่มขึ้นจากโครงการ P8 ระดับ 27.50% ยังต่ำกว่า Sabina ที่ 51.47% และ MC Group ที่ 63.9% อย่างมาก แสดงว่าสมมติฐานนี้ไม่ได้ตั้งไว้ในระดับของโมเดลแบรนด์</w:t>
            </w:r>
          </w:p>
        </w:tc>
        <w:tc>
          <w:tcPr>
            <w:tcW w:type="dxa" w:w="131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P3, P4, P8</w:t>
            </w:r>
          </w:p>
        </w:tc>
      </w:tr>
      <w:tr>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ค่าใช้จ่ายขายและบริหารลดจาก 29.42% เหลือ 20.00% ของยอดขาย</w:t>
            </w:r>
          </w:p>
        </w:tc>
        <w:tc>
          <w:tcPr>
            <w:tcW w:type="dxa" w:w="151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ลดเฉลี่ยประมาณ 1.9 จุดต่อปี</w:t>
            </w:r>
          </w:p>
        </w:tc>
        <w:tc>
          <w:tcPr>
            <w:tcW w:type="dxa" w:w="44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ปี 2568 ค่าใช้จ่ายลดลงแล้ว 28.38 ล้านบาท และครึ่งแรกปี 2569 ลดอีก 15.88 ล้านบาท แสดงว่ามีช่องว่างจริง สมมติฐานนี้ให้ค่าใช้จ่ายเป็นตัวเงินเพิ่มจาก 150.00 เป็น 162.00 ล้านบาทตามการเติบโต ไม่ใช่การลดเป็นตัวเงินต่อเนื่องซึ่งไม่สมจริง</w:t>
            </w:r>
          </w:p>
        </w:tc>
        <w:tc>
          <w:tcPr>
            <w:tcW w:type="dxa" w:w="131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P2, P3</w:t>
            </w:r>
          </w:p>
        </w:tc>
      </w:tr>
      <w:tr>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รายได้อื่นลดจาก 62.14 เหลือ 54.00 ล้านบาท</w:t>
            </w:r>
          </w:p>
        </w:tc>
        <w:tc>
          <w:tcPr>
            <w:tcW w:type="dxa" w:w="151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ลดลงประมาณ 13%</w:t>
            </w:r>
          </w:p>
        </w:tc>
        <w:tc>
          <w:tcPr>
            <w:tcW w:type="dxa" w:w="44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ส่วนหนึ่งของงบลงทุนมาจากการลดสัดส่วนสินทรัพย์ทางการเงิน รายได้เงินปันผลจึงลดลงตามสัดส่วน การสมมติให้รายได้อื่นคงที่จะเป็นการนับผลประโยชน์ซ้ำ</w:t>
            </w:r>
          </w:p>
        </w:tc>
        <w:tc>
          <w:tcPr>
            <w:tcW w:type="dxa" w:w="131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18</w:t>
            </w:r>
          </w:p>
        </w:tc>
      </w:tr>
      <w:tr>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ระยะเวลาขายสินค้าคงเหลือลดจาก 184 เหลือ 110 วัน</w:t>
            </w:r>
          </w:p>
        </w:tc>
        <w:tc>
          <w:tcPr>
            <w:tcW w:type="dxa" w:w="151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ลดลง 40%</w:t>
            </w:r>
          </w:p>
        </w:tc>
        <w:tc>
          <w:tcPr>
            <w:tcW w:type="dxa" w:w="44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มาจากการผลิตตามคำสั่งซื้อ การกำหนดปริมาณสั่งซื้อขั้นต่ำ ระบบวางแผนขายและปฏิบัติการ และสัญญาเติมสินค้า ค่า 110 วันยังสูงกว่าที่บริษัทเคยทำได้ในปี 2567 ที่ 148.11 วัน จึงท้าทายแต่ไม่เกินจริงเมื่อเทียบกับประวัติของบริษัทเอง</w:t>
            </w:r>
          </w:p>
        </w:tc>
        <w:tc>
          <w:tcPr>
            <w:tcW w:type="dxa" w:w="131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P6, P9</w:t>
            </w:r>
          </w:p>
        </w:tc>
      </w:tr>
      <w:tr>
        <w:tc>
          <w:tcPr>
            <w:tcW w:type="dxa" w:w="222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ไม่มีการก่อหนี้ใหม่และไม่มีการเพิ่มทุน</w:t>
            </w:r>
          </w:p>
        </w:tc>
        <w:tc>
          <w:tcPr>
            <w:tcW w:type="dxa" w:w="151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D/E คงอยู่ในระดับต่ำ</w:t>
            </w:r>
          </w:p>
        </w:tc>
        <w:tc>
          <w:tcPr>
            <w:tcW w:type="dxa" w:w="4407"/>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งบลงทุนสูงสุด 174.0 ล้านบาทตลอด 5 ปี อยู่ในวิสัยที่กระแสเงินสดจากการดำเนินงานรวมกับรายได้จากเงินลงทุนรองรับได้</w:t>
            </w:r>
          </w:p>
        </w:tc>
        <w:tc>
          <w:tcPr>
            <w:tcW w:type="dxa" w:w="131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18</w:t>
            </w:r>
          </w:p>
        </w:tc>
      </w:tr>
    </w:tbl>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การตรวจสอบความสมเหตุสมผลสามข้อ</w:t>
      </w:r>
      <w:r>
        <w:rPr>
          <w:rFonts w:ascii="TH Sarabun New" w:cs="TH Sarabun New" w:eastAsia="TH Sarabun New" w:hAnsi="TH Sarabun New"/>
          <w:b w:val="false"/>
          <w:bCs w:val="false"/>
          <w:i w:val="false"/>
          <w:iCs w:val="false"/>
          <w:sz w:val="32"/>
          <w:szCs w:val="32"/>
        </w:rPr>
        <w:t xml:space="preserve"> ข้อแรก อัตราการเติบโตเฉลี่ยร้อยละ 4.98 ต่อปีตรงกับเป้าหมายที่บริษัทประกาศเองที่ร้อยละ 4–5 ข้อที่สอง อัตรากำไรขั้นต้นเป้าหมายร้อยละ 27.5 ในปี 2574 สูงกว่าระดับสูงสุดที่บริษัทเคยทำได้ในสามปีล่าสุดประมาณ 4 จุด และยังต่ำกว่ากลุ่มเทียบเคียงที่ใช้โมเดลแบรนด์มาก ข้อที่สาม ผลจากธุรกิจหลักร้อยละ 7.5 ในปีสุดท้ายอยู่ในระดับที่ผู้ผลิตเครื่องแบบเฉพาะทางทำได้ นอกจากนี้ หากระยะเวลาขายสินค้าคงเหลือคงที่ 184 วันขณะที่ยอดขายโตเป็น 810 ล้านบาท สินค้าคงเหลือจะเพิ่มเป็นประมาณ 451 ล้านบาท แต่หากลดเหลือ 110 วันจะอยู่ที่ประมาณ 270 ล้านบาท ส่วนต่างประมาณ 181 ล้านบาทคือเงินทุนที่ไม่ต้องถูกตรึงเพิ่ม ซึ่งใกล้เคียงกับงบลงทุนทั้งหมดของแผน (เป็นการคำนวณเชิงประกอบ มิใช่ประมาณการงบดุล)</w:t>
      </w:r>
    </w:p>
    <w:p>
      <w:pPr>
        <w:pStyle w:val="Heading2"/>
        <w:keepNext/>
        <w:spacing w:after="60" w:before="140"/>
      </w:pPr>
      <w:r>
        <w:rPr>
          <w:rFonts w:ascii="TH Sarabun New" w:cs="TH Sarabun New" w:eastAsia="TH Sarabun New" w:hAnsi="TH Sarabun New"/>
          <w:b/>
          <w:bCs/>
          <w:i w:val="false"/>
          <w:iCs w:val="false"/>
          <w:sz w:val="32"/>
          <w:szCs w:val="32"/>
        </w:rPr>
        <w:t xml:space="preserve">6.1 ข้อจำกัดของประมาณการและข้อมูลที่ยังขาด</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รายงานนี้ </w:t>
      </w:r>
      <w:r>
        <w:rPr>
          <w:rFonts w:ascii="TH Sarabun New" w:cs="TH Sarabun New" w:eastAsia="TH Sarabun New" w:hAnsi="TH Sarabun New"/>
          <w:b/>
          <w:bCs/>
          <w:i w:val="false"/>
          <w:iCs w:val="false"/>
          <w:sz w:val="32"/>
          <w:szCs w:val="32"/>
        </w:rPr>
        <w:t xml:space="preserve">ไม่จัดทำประมาณการงบแสดงฐานะการเงินแบบเต็มรูปแบบ</w:t>
      </w:r>
      <w:r>
        <w:rPr>
          <w:rFonts w:ascii="TH Sarabun New" w:cs="TH Sarabun New" w:eastAsia="TH Sarabun New" w:hAnsi="TH Sarabun New"/>
          <w:b w:val="false"/>
          <w:bCs w:val="false"/>
          <w:i w:val="false"/>
          <w:iCs w:val="false"/>
          <w:sz w:val="32"/>
          <w:szCs w:val="32"/>
        </w:rPr>
        <w:t xml:space="preserve"> เพราะข้อมูลที่จำเป็นยังไม่มีการเปิดเผย การสร้างงบดุลล่วงหน้าห้าปีจากข้อมูลที่มีจะเป็นการเติมตัวเลขที่ดูน่าเชื่อถือแต่ไม่มีฐานรองรับ ข้อมูลที่ยังขาดได้แก่ แผนการลงทุนรายสินทรัพย์และตารางค่าเสื่อมราคา นโยบายเงินทุนหมุนเวียน นโยบายเงินปันผลช่วงฟื้นฟู (ปี 2568 จ่ายเงินปันผล 48.0 ล้านบาทสูงกว่ากำไรสุทธิหลายเท่า) แผนการถือครองและจำหน่ายสินทรัพย์ทางการเงิน (ปี 2568 การเปลี่ยนแปลงมูลค่ายุติธรรมกระทบส่วนของผู้ถือหุ้น 27.35 ล้านบาท มากกว่าผลขาดทุนสุทธิทั้งปี) และยอดขายกับกำไรส่วนเพิ่มแยกตามลูกค้า ผลิตภัณฑ์ ช่องทาง และกลุ่มธุรกิจย้อนหลังอย่างน้อย 24 เดือน</w:t>
      </w:r>
    </w:p>
    <w:p>
      <w:pPr>
        <w:keepNext w:val="false"/>
        <w:spacing w:after="50" w:line="240"/>
        <w:ind w:firstLine="480"/>
        <w:jc w:val="both"/>
      </w:pPr>
      <w:r>
        <w:rPr>
          <w:rFonts w:ascii="TH Sarabun New" w:cs="TH Sarabun New" w:eastAsia="TH Sarabun New" w:hAnsi="TH Sarabun New"/>
          <w:b w:val="false"/>
          <w:bCs w:val="false"/>
          <w:i w:val="false"/>
          <w:iCs w:val="false"/>
          <w:sz w:val="32"/>
          <w:szCs w:val="32"/>
        </w:rPr>
        <w:t xml:space="preserve">ประมาณการในบทนี้จึงควรอ่านในฐานะ </w:t>
      </w:r>
      <w:r>
        <w:rPr>
          <w:rFonts w:ascii="TH Sarabun New" w:cs="TH Sarabun New" w:eastAsia="TH Sarabun New" w:hAnsi="TH Sarabun New"/>
          <w:b/>
          <w:bCs/>
          <w:i w:val="false"/>
          <w:iCs w:val="false"/>
          <w:sz w:val="32"/>
          <w:szCs w:val="32"/>
        </w:rPr>
        <w:t xml:space="preserve">ฉากทัศน์เป้าหมายเชิงบริหาร (Management Target Scenario)</w:t>
      </w:r>
      <w:r>
        <w:rPr>
          <w:rFonts w:ascii="TH Sarabun New" w:cs="TH Sarabun New" w:eastAsia="TH Sarabun New" w:hAnsi="TH Sarabun New"/>
          <w:b w:val="false"/>
          <w:bCs w:val="false"/>
          <w:i w:val="false"/>
          <w:iCs w:val="false"/>
          <w:sz w:val="32"/>
          <w:szCs w:val="32"/>
        </w:rPr>
        <w:t xml:space="preserve"> ที่เชื่อมกลยุทธ์กับผลการเงิน มิใช่ประมาณการเพื่อการลงทุน และต้องทบทวนหลังได้ข้อมูลจากโครงการ P1 ภายใน 90 วันแรก ข้อจำกัดเชิงวิธีการอีกสามข้อ คือ น้ำหนักและคะแนนในตาราง EFAS IFAS SFAS ตารางเปรียบเทียบคู่แข่ง และเมทริกซ์การตัดสินใจ เป็นการประเมินของผู้จัดทำจากหลักฐานสาธารณะ คู่แข่งเอกชนบางรายไม่เปิดเผยรายได้ การเปรียบเทียบจึงใช้ศักยภาพการผลิตและขอบเขตการดำเนินงานแทนและแยกตามสนามแข่งขัน และตัวเลขอุตสาหกรรมบางรายการคลาดเคลื่อนระหว่างแหล่ง เช่น อัตราการขยายตัวของการส่งออกปี 2568 ที่รายงานไว้ร้อยละ 5.61 และ 5.2 รายงานจึงแสดงทั้งสองค่าพร้อมแหล่งที่มา</w:t>
      </w:r>
    </w:p>
    <w:p>
      <w:pPr>
        <w:pStyle w:val="Heading1"/>
        <w:keepNext/>
        <w:spacing w:after="80" w:before="180"/>
      </w:pPr>
      <w:r>
        <w:rPr>
          <w:rFonts w:ascii="TH Sarabun New" w:cs="TH Sarabun New" w:eastAsia="TH Sarabun New" w:hAnsi="TH Sarabun New"/>
          <w:b/>
          <w:bCs/>
          <w:i w:val="false"/>
          <w:iCs w:val="false"/>
          <w:sz w:val="36"/>
          <w:szCs w:val="36"/>
        </w:rPr>
        <w:t xml:space="preserve">บรรณานุกรม</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(2569). </w:t>
      </w:r>
      <w:r>
        <w:rPr>
          <w:rFonts w:ascii="TH Sarabun New" w:cs="TH Sarabun New" w:eastAsia="TH Sarabun New" w:hAnsi="TH Sarabun New"/>
          <w:b w:val="false"/>
          <w:bCs w:val="false"/>
          <w:i/>
          <w:iCs/>
          <w:sz w:val="24"/>
          <w:szCs w:val="24"/>
        </w:rPr>
        <w:t xml:space="preserve">แบบ 56-1 One Report ประจำปี 2568</w:t>
      </w:r>
      <w:r>
        <w:rPr>
          <w:rFonts w:ascii="TH Sarabun New" w:cs="TH Sarabun New" w:eastAsia="TH Sarabun New" w:hAnsi="TH Sarabun New"/>
          <w:b w:val="false"/>
          <w:bCs w:val="false"/>
          <w:i w:val="false"/>
          <w:iCs w:val="false"/>
          <w:sz w:val="24"/>
          <w:szCs w:val="24"/>
        </w:rPr>
        <w:t xml:space="preserve">. https://investor.pg.co.th/  [1]</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(2569). </w:t>
      </w:r>
      <w:r>
        <w:rPr>
          <w:rFonts w:ascii="TH Sarabun New" w:cs="TH Sarabun New" w:eastAsia="TH Sarabun New" w:hAnsi="TH Sarabun New"/>
          <w:b w:val="false"/>
          <w:bCs w:val="false"/>
          <w:i/>
          <w:iCs/>
          <w:sz w:val="24"/>
          <w:szCs w:val="24"/>
        </w:rPr>
        <w:t xml:space="preserve">งบการเงินที่ตรวจสอบแล้ว ประจำปี 2568</w:t>
      </w:r>
      <w:r>
        <w:rPr>
          <w:rFonts w:ascii="TH Sarabun New" w:cs="TH Sarabun New" w:eastAsia="TH Sarabun New" w:hAnsi="TH Sarabun New"/>
          <w:b w:val="false"/>
          <w:bCs w:val="false"/>
          <w:i w:val="false"/>
          <w:iCs w:val="false"/>
          <w:sz w:val="24"/>
          <w:szCs w:val="24"/>
        </w:rPr>
        <w:t xml:space="preserve">. https://investor.pg.co.th/  [2]</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 กุมภาพันธ์ 2569). </w:t>
      </w:r>
      <w:r>
        <w:rPr>
          <w:rFonts w:ascii="TH Sarabun New" w:cs="TH Sarabun New" w:eastAsia="TH Sarabun New" w:hAnsi="TH Sarabun New"/>
          <w:b w:val="false"/>
          <w:bCs w:val="false"/>
          <w:i/>
          <w:iCs/>
          <w:sz w:val="24"/>
          <w:szCs w:val="24"/>
        </w:rPr>
        <w:t xml:space="preserve">คำชี้แจงผลการดำเนินงานประจำปี 2568 (ที่ ทห. 004/2569)</w:t>
      </w:r>
      <w:r>
        <w:rPr>
          <w:rFonts w:ascii="TH Sarabun New" w:cs="TH Sarabun New" w:eastAsia="TH Sarabun New" w:hAnsi="TH Sarabun New"/>
          <w:b w:val="false"/>
          <w:bCs w:val="false"/>
          <w:i w:val="false"/>
          <w:iCs w:val="false"/>
          <w:sz w:val="24"/>
          <w:szCs w:val="24"/>
        </w:rPr>
        <w:t xml:space="preserve">. เอกสารยื่นต่อตลาดหลักทรัพย์แห่งประเทศไทย.  [3]</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(11 สิงหาคม 2569). </w:t>
      </w:r>
      <w:r>
        <w:rPr>
          <w:rFonts w:ascii="TH Sarabun New" w:cs="TH Sarabun New" w:eastAsia="TH Sarabun New" w:hAnsi="TH Sarabun New"/>
          <w:b w:val="false"/>
          <w:bCs w:val="false"/>
          <w:i/>
          <w:iCs/>
          <w:sz w:val="24"/>
          <w:szCs w:val="24"/>
        </w:rPr>
        <w:t xml:space="preserve">คำชี้แจงผลการดำเนินงานไตรมาสที่ 2 ปี 2569 (ที่ ทห. 017/2569)</w:t>
      </w:r>
      <w:r>
        <w:rPr>
          <w:rFonts w:ascii="TH Sarabun New" w:cs="TH Sarabun New" w:eastAsia="TH Sarabun New" w:hAnsi="TH Sarabun New"/>
          <w:b w:val="false"/>
          <w:bCs w:val="false"/>
          <w:i w:val="false"/>
          <w:iCs w:val="false"/>
          <w:sz w:val="24"/>
          <w:szCs w:val="24"/>
        </w:rPr>
        <w:t xml:space="preserve">. เอกสารยื่นต่อตลาดหลักทรัพย์แห่งประเทศไทย.  [4]</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ตลาดหลักทรัพย์แห่งประเทศไทย. (2569). </w:t>
      </w:r>
      <w:r>
        <w:rPr>
          <w:rFonts w:ascii="TH Sarabun New" w:cs="TH Sarabun New" w:eastAsia="TH Sarabun New" w:hAnsi="TH Sarabun New"/>
          <w:b w:val="false"/>
          <w:bCs w:val="false"/>
          <w:i/>
          <w:iCs/>
          <w:sz w:val="24"/>
          <w:szCs w:val="24"/>
        </w:rPr>
        <w:t xml:space="preserve">ผลการดำเนินงานของบริษัท ประชาอาภรณ์ จำกัด (มหาชน) ไตรมาสที่ 2 และงวดหกเดือน ปี 2569</w:t>
      </w:r>
      <w:r>
        <w:rPr>
          <w:rFonts w:ascii="TH Sarabun New" w:cs="TH Sarabun New" w:eastAsia="TH Sarabun New" w:hAnsi="TH Sarabun New"/>
          <w:b w:val="false"/>
          <w:bCs w:val="false"/>
          <w:i w:val="false"/>
          <w:iCs w:val="false"/>
          <w:sz w:val="24"/>
          <w:szCs w:val="24"/>
        </w:rPr>
        <w:t xml:space="preserve">. https://www.set.or.th/  [5]</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ประชาอาภรณ์ จำกัด (มหาชน). (2569). </w:t>
      </w:r>
      <w:r>
        <w:rPr>
          <w:rFonts w:ascii="TH Sarabun New" w:cs="TH Sarabun New" w:eastAsia="TH Sarabun New" w:hAnsi="TH Sarabun New"/>
          <w:b w:val="false"/>
          <w:bCs w:val="false"/>
          <w:i/>
          <w:iCs/>
          <w:sz w:val="24"/>
          <w:szCs w:val="24"/>
        </w:rPr>
        <w:t xml:space="preserve">ข้อมูลบริษัท ผลิตภัณฑ์ และข้อมูลผู้ถือหุ้น</w:t>
      </w:r>
      <w:r>
        <w:rPr>
          <w:rFonts w:ascii="TH Sarabun New" w:cs="TH Sarabun New" w:eastAsia="TH Sarabun New" w:hAnsi="TH Sarabun New"/>
          <w:b w:val="false"/>
          <w:bCs w:val="false"/>
          <w:i w:val="false"/>
          <w:iCs w:val="false"/>
          <w:sz w:val="24"/>
          <w:szCs w:val="24"/>
        </w:rPr>
        <w:t xml:space="preserve">. https://www.pg.co.th/ และ https://investor.pg.co.th/shareholders-information/  [6][7]</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สำนักงานเศรษฐกิจอุตสาหกรรม กระทรวงอุตสาหกรรม. (2569). </w:t>
      </w:r>
      <w:r>
        <w:rPr>
          <w:rFonts w:ascii="TH Sarabun New" w:cs="TH Sarabun New" w:eastAsia="TH Sarabun New" w:hAnsi="TH Sarabun New"/>
          <w:b w:val="false"/>
          <w:bCs w:val="false"/>
          <w:i/>
          <w:iCs/>
          <w:sz w:val="24"/>
          <w:szCs w:val="24"/>
        </w:rPr>
        <w:t xml:space="preserve">สถานการณ์ปี 2568 และแนวโน้มปี 2569 อุตสาหกรรมสิ่งทอและเครื่องนุ่งห่ม</w:t>
      </w:r>
      <w:r>
        <w:rPr>
          <w:rFonts w:ascii="TH Sarabun New" w:cs="TH Sarabun New" w:eastAsia="TH Sarabun New" w:hAnsi="TH Sarabun New"/>
          <w:b w:val="false"/>
          <w:bCs w:val="false"/>
          <w:i w:val="false"/>
          <w:iCs w:val="false"/>
          <w:sz w:val="24"/>
          <w:szCs w:val="24"/>
        </w:rPr>
        <w:t xml:space="preserve">. https://www.oie.go.th/  [8]</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กรมส่งเสริมการค้าระหว่างประเทศ. (2569). </w:t>
      </w:r>
      <w:r>
        <w:rPr>
          <w:rFonts w:ascii="TH Sarabun New" w:cs="TH Sarabun New" w:eastAsia="TH Sarabun New" w:hAnsi="TH Sarabun New"/>
          <w:b w:val="false"/>
          <w:bCs w:val="false"/>
          <w:i/>
          <w:iCs/>
          <w:sz w:val="24"/>
          <w:szCs w:val="24"/>
        </w:rPr>
        <w:t xml:space="preserve">กระแส Recovery Wear ในประเทศญี่ปุ่น</w:t>
      </w:r>
      <w:r>
        <w:rPr>
          <w:rFonts w:ascii="TH Sarabun New" w:cs="TH Sarabun New" w:eastAsia="TH Sarabun New" w:hAnsi="TH Sarabun New"/>
          <w:b w:val="false"/>
          <w:bCs w:val="false"/>
          <w:i w:val="false"/>
          <w:iCs w:val="false"/>
          <w:sz w:val="24"/>
          <w:szCs w:val="24"/>
        </w:rPr>
        <w:t xml:space="preserve">. https://www.ditp.go.th/  [9]</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European Commission. (2022). </w:t>
      </w:r>
      <w:r>
        <w:rPr>
          <w:rFonts w:ascii="TH Sarabun New" w:cs="TH Sarabun New" w:eastAsia="TH Sarabun New" w:hAnsi="TH Sarabun New"/>
          <w:b w:val="false"/>
          <w:bCs w:val="false"/>
          <w:i/>
          <w:iCs/>
          <w:sz w:val="24"/>
          <w:szCs w:val="24"/>
        </w:rPr>
        <w:t xml:space="preserve">EU Strategy for Sustainable and Circular Textiles</w:t>
      </w:r>
      <w:r>
        <w:rPr>
          <w:rFonts w:ascii="TH Sarabun New" w:cs="TH Sarabun New" w:eastAsia="TH Sarabun New" w:hAnsi="TH Sarabun New"/>
          <w:b w:val="false"/>
          <w:bCs w:val="false"/>
          <w:i w:val="false"/>
          <w:iCs w:val="false"/>
          <w:sz w:val="24"/>
          <w:szCs w:val="24"/>
        </w:rPr>
        <w:t xml:space="preserve">. https://environment.ec.europa.eu/strategy/textiles-strategy_en  [10]</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European Commission. (2024). </w:t>
      </w:r>
      <w:r>
        <w:rPr>
          <w:rFonts w:ascii="TH Sarabun New" w:cs="TH Sarabun New" w:eastAsia="TH Sarabun New" w:hAnsi="TH Sarabun New"/>
          <w:b w:val="false"/>
          <w:bCs w:val="false"/>
          <w:i/>
          <w:iCs/>
          <w:sz w:val="24"/>
          <w:szCs w:val="24"/>
        </w:rPr>
        <w:t xml:space="preserve">Ecodesign for Sustainable Products Regulation (ESPR)</w:t>
      </w:r>
      <w:r>
        <w:rPr>
          <w:rFonts w:ascii="TH Sarabun New" w:cs="TH Sarabun New" w:eastAsia="TH Sarabun New" w:hAnsi="TH Sarabun New"/>
          <w:b w:val="false"/>
          <w:bCs w:val="false"/>
          <w:i w:val="false"/>
          <w:iCs w:val="false"/>
          <w:sz w:val="24"/>
          <w:szCs w:val="24"/>
        </w:rPr>
        <w:t xml:space="preserve">. https://commission.europa.eu/  [11]</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Council of the European Union. (2024). </w:t>
      </w:r>
      <w:r>
        <w:rPr>
          <w:rFonts w:ascii="TH Sarabun New" w:cs="TH Sarabun New" w:eastAsia="TH Sarabun New" w:hAnsi="TH Sarabun New"/>
          <w:b w:val="false"/>
          <w:bCs w:val="false"/>
          <w:i/>
          <w:iCs/>
          <w:sz w:val="24"/>
          <w:szCs w:val="24"/>
        </w:rPr>
        <w:t xml:space="preserve">Regulation on Prohibiting Products Made with Forced Labour on the Union Market</w:t>
      </w:r>
      <w:r>
        <w:rPr>
          <w:rFonts w:ascii="TH Sarabun New" w:cs="TH Sarabun New" w:eastAsia="TH Sarabun New" w:hAnsi="TH Sarabun New"/>
          <w:b w:val="false"/>
          <w:bCs w:val="false"/>
          <w:i w:val="false"/>
          <w:iCs w:val="false"/>
          <w:sz w:val="24"/>
          <w:szCs w:val="24"/>
        </w:rPr>
        <w:t xml:space="preserve">. https://www.consilium.europa.eu/en/policies/forced-labour-products/  [12]</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Nice Group Holding. (2569). </w:t>
      </w:r>
      <w:r>
        <w:rPr>
          <w:rFonts w:ascii="TH Sarabun New" w:cs="TH Sarabun New" w:eastAsia="TH Sarabun New" w:hAnsi="TH Sarabun New"/>
          <w:b w:val="false"/>
          <w:bCs w:val="false"/>
          <w:i/>
          <w:iCs/>
          <w:sz w:val="24"/>
          <w:szCs w:val="24"/>
        </w:rPr>
        <w:t xml:space="preserve">Investor Relations</w:t>
      </w:r>
      <w:r>
        <w:rPr>
          <w:rFonts w:ascii="TH Sarabun New" w:cs="TH Sarabun New" w:eastAsia="TH Sarabun New" w:hAnsi="TH Sarabun New"/>
          <w:b w:val="false"/>
          <w:bCs w:val="false"/>
          <w:i w:val="false"/>
          <w:iCs w:val="false"/>
          <w:sz w:val="24"/>
          <w:szCs w:val="24"/>
        </w:rPr>
        <w:t xml:space="preserve">. https://niceapparelgroup.com/  [13]</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Hi-Tech Apparel. (2569). </w:t>
      </w:r>
      <w:r>
        <w:rPr>
          <w:rFonts w:ascii="TH Sarabun New" w:cs="TH Sarabun New" w:eastAsia="TH Sarabun New" w:hAnsi="TH Sarabun New"/>
          <w:b w:val="false"/>
          <w:bCs w:val="false"/>
          <w:i/>
          <w:iCs/>
          <w:sz w:val="24"/>
          <w:szCs w:val="24"/>
        </w:rPr>
        <w:t xml:space="preserve">Company Profile and Manufacturing Capabilities</w:t>
      </w:r>
      <w:r>
        <w:rPr>
          <w:rFonts w:ascii="TH Sarabun New" w:cs="TH Sarabun New" w:eastAsia="TH Sarabun New" w:hAnsi="TH Sarabun New"/>
          <w:b w:val="false"/>
          <w:bCs w:val="false"/>
          <w:i w:val="false"/>
          <w:iCs w:val="false"/>
          <w:sz w:val="24"/>
          <w:szCs w:val="24"/>
        </w:rPr>
        <w:t xml:space="preserve">. https://hi-group.com/  [14]</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VT Garment. (2569). </w:t>
      </w:r>
      <w:r>
        <w:rPr>
          <w:rFonts w:ascii="TH Sarabun New" w:cs="TH Sarabun New" w:eastAsia="TH Sarabun New" w:hAnsi="TH Sarabun New"/>
          <w:b w:val="false"/>
          <w:bCs w:val="false"/>
          <w:i/>
          <w:iCs/>
          <w:sz w:val="24"/>
          <w:szCs w:val="24"/>
        </w:rPr>
        <w:t xml:space="preserve">Sustainability and ESG</w:t>
      </w:r>
      <w:r>
        <w:rPr>
          <w:rFonts w:ascii="TH Sarabun New" w:cs="TH Sarabun New" w:eastAsia="TH Sarabun New" w:hAnsi="TH Sarabun New"/>
          <w:b w:val="false"/>
          <w:bCs w:val="false"/>
          <w:i w:val="false"/>
          <w:iCs w:val="false"/>
          <w:sz w:val="24"/>
          <w:szCs w:val="24"/>
        </w:rPr>
        <w:t xml:space="preserve">. https://www.vtgarment.com/sustainability-esg/  [15]</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วอริกซ์ สปอร์ต จำกัด (มหาชน). (2569). </w:t>
      </w:r>
      <w:r>
        <w:rPr>
          <w:rFonts w:ascii="TH Sarabun New" w:cs="TH Sarabun New" w:eastAsia="TH Sarabun New" w:hAnsi="TH Sarabun New"/>
          <w:b w:val="false"/>
          <w:bCs w:val="false"/>
          <w:i/>
          <w:iCs/>
          <w:sz w:val="24"/>
          <w:szCs w:val="24"/>
        </w:rPr>
        <w:t xml:space="preserve">แบบ 56-1 One Report ประจำปี 2568</w:t>
      </w:r>
      <w:r>
        <w:rPr>
          <w:rFonts w:ascii="TH Sarabun New" w:cs="TH Sarabun New" w:eastAsia="TH Sarabun New" w:hAnsi="TH Sarabun New"/>
          <w:b w:val="false"/>
          <w:bCs w:val="false"/>
          <w:i w:val="false"/>
          <w:iCs w:val="false"/>
          <w:sz w:val="24"/>
          <w:szCs w:val="24"/>
        </w:rPr>
        <w:t xml:space="preserve">. https://investor.warrix.co.th/  [16]</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ซาบีน่า จำกัด (มหาชน). (2569). </w:t>
      </w:r>
      <w:r>
        <w:rPr>
          <w:rFonts w:ascii="TH Sarabun New" w:cs="TH Sarabun New" w:eastAsia="TH Sarabun New" w:hAnsi="TH Sarabun New"/>
          <w:b w:val="false"/>
          <w:bCs w:val="false"/>
          <w:i/>
          <w:iCs/>
          <w:sz w:val="24"/>
          <w:szCs w:val="24"/>
        </w:rPr>
        <w:t xml:space="preserve">รายงานการประชุมสามัญผู้ถือหุ้นประจำปี 2569 และผลการดำเนินงานปี 2568</w:t>
      </w:r>
      <w:r>
        <w:rPr>
          <w:rFonts w:ascii="TH Sarabun New" w:cs="TH Sarabun New" w:eastAsia="TH Sarabun New" w:hAnsi="TH Sarabun New"/>
          <w:b w:val="false"/>
          <w:bCs w:val="false"/>
          <w:i w:val="false"/>
          <w:iCs w:val="false"/>
          <w:sz w:val="24"/>
          <w:szCs w:val="24"/>
        </w:rPr>
        <w:t xml:space="preserve">. https://investor.sabina.co.th/  [17]</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European Commission. (2569). </w:t>
      </w:r>
      <w:r>
        <w:rPr>
          <w:rFonts w:ascii="TH Sarabun New" w:cs="TH Sarabun New" w:eastAsia="TH Sarabun New" w:hAnsi="TH Sarabun New"/>
          <w:b w:val="false"/>
          <w:bCs w:val="false"/>
          <w:i/>
          <w:iCs/>
          <w:sz w:val="24"/>
          <w:szCs w:val="24"/>
        </w:rPr>
        <w:t xml:space="preserve">Carbon Border Adjustment Mechanism: Definitive Regime and Covered Sectors</w:t>
      </w:r>
      <w:r>
        <w:rPr>
          <w:rFonts w:ascii="TH Sarabun New" w:cs="TH Sarabun New" w:eastAsia="TH Sarabun New" w:hAnsi="TH Sarabun New"/>
          <w:b w:val="false"/>
          <w:bCs w:val="false"/>
          <w:i w:val="false"/>
          <w:iCs w:val="false"/>
          <w:sz w:val="24"/>
          <w:szCs w:val="24"/>
        </w:rPr>
        <w:t xml:space="preserve">. https://taxation-customs.ec.europa.eu/  [18]</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แม็คกรุ๊ป จำกัด (มหาชน). (2569). </w:t>
      </w:r>
      <w:r>
        <w:rPr>
          <w:rFonts w:ascii="TH Sarabun New" w:cs="TH Sarabun New" w:eastAsia="TH Sarabun New" w:hAnsi="TH Sarabun New"/>
          <w:b w:val="false"/>
          <w:bCs w:val="false"/>
          <w:i/>
          <w:iCs/>
          <w:sz w:val="24"/>
          <w:szCs w:val="24"/>
        </w:rPr>
        <w:t xml:space="preserve">ผลการดำเนินงานปีบัญชี 2568</w:t>
      </w:r>
      <w:r>
        <w:rPr>
          <w:rFonts w:ascii="TH Sarabun New" w:cs="TH Sarabun New" w:eastAsia="TH Sarabun New" w:hAnsi="TH Sarabun New"/>
          <w:b w:val="false"/>
          <w:bCs w:val="false"/>
          <w:i w:val="false"/>
          <w:iCs w:val="false"/>
          <w:sz w:val="24"/>
          <w:szCs w:val="24"/>
        </w:rPr>
        <w:t xml:space="preserve">. https://www.mcgroupnet.com/  [19]</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บริษัท สหพัฒนาอินเตอร์โฮลดิ้ง จำกัด (มหาชน). (2569). </w:t>
      </w:r>
      <w:r>
        <w:rPr>
          <w:rFonts w:ascii="TH Sarabun New" w:cs="TH Sarabun New" w:eastAsia="TH Sarabun New" w:hAnsi="TH Sarabun New"/>
          <w:b w:val="false"/>
          <w:bCs w:val="false"/>
          <w:i/>
          <w:iCs/>
          <w:sz w:val="24"/>
          <w:szCs w:val="24"/>
        </w:rPr>
        <w:t xml:space="preserve">ประวัติบริษัทและการลงทุนใน PG</w:t>
      </w:r>
      <w:r>
        <w:rPr>
          <w:rFonts w:ascii="TH Sarabun New" w:cs="TH Sarabun New" w:eastAsia="TH Sarabun New" w:hAnsi="TH Sarabun New"/>
          <w:b w:val="false"/>
          <w:bCs w:val="false"/>
          <w:i w:val="false"/>
          <w:iCs w:val="false"/>
          <w:sz w:val="24"/>
          <w:szCs w:val="24"/>
        </w:rPr>
        <w:t xml:space="preserve">. https://www.spi.co.th/  [20]</w:t>
      </w:r>
    </w:p>
    <w:p>
      <w:pPr>
        <w:spacing w:after="40" w:line="228"/>
        <w:ind w:left="480" w:hanging="480"/>
        <w:jc w:val="left"/>
      </w:pPr>
      <w:r>
        <w:rPr>
          <w:rFonts w:ascii="TH Sarabun New" w:cs="TH Sarabun New" w:eastAsia="TH Sarabun New" w:hAnsi="TH Sarabun New"/>
          <w:b w:val="false"/>
          <w:bCs w:val="false"/>
          <w:i w:val="false"/>
          <w:iCs w:val="false"/>
          <w:sz w:val="24"/>
          <w:szCs w:val="24"/>
        </w:rPr>
        <w:t xml:space="preserve">Wheelen, T. L., Hunger, J. D., Hoffman, A. N., &amp; Bamford, C. E. (2024). </w:t>
      </w:r>
      <w:r>
        <w:rPr>
          <w:rFonts w:ascii="TH Sarabun New" w:cs="TH Sarabun New" w:eastAsia="TH Sarabun New" w:hAnsi="TH Sarabun New"/>
          <w:b w:val="false"/>
          <w:bCs w:val="false"/>
          <w:i/>
          <w:iCs/>
          <w:sz w:val="24"/>
          <w:szCs w:val="24"/>
        </w:rPr>
        <w:t xml:space="preserve">Strategic Management and Business Policy: Globalization, Innovation and Sustainability</w:t>
      </w:r>
      <w:r>
        <w:rPr>
          <w:rFonts w:ascii="TH Sarabun New" w:cs="TH Sarabun New" w:eastAsia="TH Sarabun New" w:hAnsi="TH Sarabun New"/>
          <w:b w:val="false"/>
          <w:bCs w:val="false"/>
          <w:i w:val="false"/>
          <w:iCs w:val="false"/>
          <w:sz w:val="24"/>
          <w:szCs w:val="24"/>
        </w:rPr>
        <w:t xml:space="preserve"> (16th ed., Global Edition). Pearson Education.  (เอกสารประกอบการสอนรายวิชา 460-401 บทที่ 1–12 ใช้เป็นแหล่งอ้างอิงด้านระเบียบวิธี ได้แก่ EFAS, IFAS, SFAS, VRIO, TOWS, กลยุทธ์ระดับองค์กรและระดับธุรกิจ และ Balanced Scorecard)  [21]</w:t>
      </w:r>
    </w:p>
    <w:p>
      <w:pPr>
        <w:pStyle w:val="Heading1"/>
        <w:keepNext/>
        <w:spacing w:after="80" w:before="180"/>
      </w:pPr>
      <w:r>
        <w:rPr>
          <w:rFonts w:ascii="TH Sarabun New" w:cs="TH Sarabun New" w:eastAsia="TH Sarabun New" w:hAnsi="TH Sarabun New"/>
          <w:b/>
          <w:bCs/>
          <w:i w:val="false"/>
          <w:iCs w:val="false"/>
          <w:sz w:val="36"/>
          <w:szCs w:val="36"/>
        </w:rPr>
        <w:t xml:space="preserve">ภาคผนวก  ตารางสอบทานความสอดคล้องของตรรกะเชิงกลยุทธ์</w:t>
      </w:r>
    </w:p>
    <w:p>
      <w:pPr>
        <w:keepNext/>
        <w:spacing w:after="50" w:before="130"/>
        <w:jc w:val="left"/>
      </w:pPr>
      <w:r>
        <w:rPr>
          <w:rFonts w:ascii="TH Sarabun New" w:cs="TH Sarabun New" w:eastAsia="TH Sarabun New" w:hAnsi="TH Sarabun New"/>
          <w:b/>
          <w:bCs/>
          <w:i w:val="false"/>
          <w:iCs w:val="false"/>
          <w:sz w:val="28"/>
          <w:szCs w:val="28"/>
        </w:rPr>
        <w:t xml:space="preserve">ตารางที่ 24  ตารางสอบทานความสอดคล้องของตรรกะเชิงกลยุทธ์</w:t>
      </w:r>
    </w:p>
    <w:tbl>
      <w:tblPr>
        <w:tblW w:type="dxa" w:w="9468"/>
        <w:tblBorders>
          <w:top w:val="single" w:color="7F7F7F" w:sz="4"/>
          <w:left w:val="single" w:color="7F7F7F" w:sz="4"/>
          <w:bottom w:val="single" w:color="7F7F7F" w:sz="4"/>
          <w:right w:val="single" w:color="7F7F7F" w:sz="4"/>
          <w:insideH w:val="single" w:color="BFBFBF" w:sz="2"/>
          <w:insideV w:val="single" w:color="BFBFBF" w:sz="2"/>
        </w:tblBorders>
      </w:tblPr>
      <w:tblGrid>
        <w:gridCol w:w="3138"/>
        <w:gridCol w:w="3644"/>
        <w:gridCol w:w="2686"/>
      </w:tblGrid>
      <w:tr>
        <w:trPr>
          <w:tblHeader/>
        </w:trPr>
        <w:tc>
          <w:tcPr>
            <w:tcW w:type="dxa" w:w="3138"/>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องค์ประกอบในบทหลัง</w:t>
            </w:r>
          </w:p>
        </w:tc>
        <w:tc>
          <w:tcPr>
            <w:tcW w:type="dxa" w:w="3644"/>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สืบย้อนกลับไปยัง</w:t>
            </w:r>
          </w:p>
        </w:tc>
        <w:tc>
          <w:tcPr>
            <w:tcW w:type="dxa" w:w="2686"/>
            <w:shd w:fill="D9E2F3" w:color="auto" w:val="clear"/>
            <w:tcMar>
              <w:top w:type="dxa" w:w="10"/>
              <w:left w:type="dxa" w:w="60"/>
              <w:bottom w:type="dxa" w:w="10"/>
              <w:right w:type="dxa" w:w="60"/>
            </w:tcMar>
            <w:vAlign w:val="center"/>
          </w:tcPr>
          <w:p>
            <w:pPr>
              <w:spacing w:after="10" w:line="228"/>
              <w:jc w:val="center"/>
            </w:pPr>
            <w:r>
              <w:rPr>
                <w:rFonts w:ascii="TH Sarabun New" w:cs="TH Sarabun New" w:eastAsia="TH Sarabun New" w:hAnsi="TH Sarabun New"/>
                <w:b/>
                <w:bCs/>
                <w:i w:val="false"/>
                <w:iCs w:val="false"/>
                <w:sz w:val="26"/>
                <w:szCs w:val="26"/>
              </w:rPr>
              <w:t xml:space="preserve">ตาราง/หัวข้ออ้างอิง</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โอกาสและอุปสรรค (O1–O5, T1–T5) และ EFAS (ตารางที่ 8)</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STEEP, Five Forces, การวิเคราะห์คู่แข่ง แล้วสรุปเป็น O/T ในหัวข้อ 3.1.4 โดยไม่มีปัจจัยใหม่ในขั้น EFAS</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4, 5, 6, 7 และหัวข้อ 3.1.4</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จุดแข็งและจุดอ่อน (S1–S6, W1–W6) และ IFAS (ตารางที่ 11)</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ทรัพยากร ความสามารถ VRIO และความได้เปรียบรายหน้าที่ แล้วสรุปเป็น S/W ในหัวข้อ 3.2.4 โดยไม่มีปัจจัยใหม่ในขั้น IFAS</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หัวข้อ 3.2.1–3.2.4, ตารางที่ 9, 10</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SFAS (ตารางที่ 12)</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คัดเลือก 12 ปัจจัยจาก EFAS และ IFAS พร้อมเกณฑ์การคัดเลือกที่ระบุไว้</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8 และ 11</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TOWS (ตารางที่ 13)</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จับคู่เฉพาะปัจจัยที่ผ่านการคัดเลือกใน SFAS โดยระบุรหัสปัจจัยทุกข้อ</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12</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ทางเลือกเชิงกลยุทธ์ A, B, C และเมทริกซ์การตัดสินใจ</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กลยุทธ์ใน TOWS และหลักฐานเชิงเปรียบเทียบคู่แข่ง</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13, 6, 7, 16</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กลยุทธ์ระดับองค์กร ระดับธุรกิจ และระดับหน้าที่ 7 ด้าน</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ผลการเลือกทางเลือก C เงื่อนไขตามบทเรียนบทที่ 7 การตัดกลยุทธ์ผู้นำต้นทุนออกด้วยหลักฐานต้นทุนแรงงานและขนาดการผลิต และกลยุทธ์ใน TOWS ที่ระบุรหัสกำกับทุกข้อ</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4, 6, 7, 13 และหัวข้อ 4.4.1–4.4.5</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แผนปฏิบัติการ P1–P11 และงบประมาณ</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กลยุทธ์ระดับหน้าที่ วัตถุประสงค์เชิงกลยุทธ์ และข้อมูลการลงทุนจริงปี 2568</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15, 17, 18</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ตัวชี้วัดใน Balanced Scorecard</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วัตถุประสงค์เชิงกลยุทธ์และโครงการในแผนปฏิบัติการ</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15, 17, 19</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ประมาณการกรณีฐานและกรณีกลยุทธ์</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สมมติฐานที่ผูกกับโครงการ P1–P10 และผลจริงปี 2566–2569</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1, 3, 17, 21, 22, 23</w:t>
            </w:r>
          </w:p>
        </w:tc>
      </w:tr>
      <w:tr>
        <w:tc>
          <w:tcPr>
            <w:tcW w:type="dxa" w:w="3138"/>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ความเสี่ยงของกลยุทธ์</w:t>
            </w:r>
          </w:p>
        </w:tc>
        <w:tc>
          <w:tcPr>
            <w:tcW w:type="dxa" w:w="3644"/>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ข้อจำกัดที่ระบุในหัวข้อ 4.4.2 และ 6.1</w:t>
            </w:r>
          </w:p>
        </w:tc>
        <w:tc>
          <w:tcPr>
            <w:tcW w:type="dxa" w:w="2686"/>
            <w:tcMar>
              <w:top w:type="dxa" w:w="10"/>
              <w:left w:type="dxa" w:w="60"/>
              <w:bottom w:type="dxa" w:w="10"/>
              <w:right w:type="dxa" w:w="60"/>
            </w:tcMar>
            <w:vAlign w:val="center"/>
          </w:tcPr>
          <w:p>
            <w:pPr>
              <w:spacing w:after="10" w:line="228"/>
              <w:jc w:val="left"/>
            </w:pPr>
            <w:r>
              <w:rPr>
                <w:rFonts w:ascii="TH Sarabun New" w:cs="TH Sarabun New" w:eastAsia="TH Sarabun New" w:hAnsi="TH Sarabun New"/>
                <w:b w:val="false"/>
                <w:bCs w:val="false"/>
                <w:i w:val="false"/>
                <w:iCs w:val="false"/>
                <w:sz w:val="26"/>
                <w:szCs w:val="26"/>
              </w:rPr>
              <w:t xml:space="preserve">ตารางที่ 20</w:t>
            </w:r>
          </w:p>
        </w:tc>
      </w:tr>
    </w:tbl>
    <w:p>
      <w:pPr>
        <w:keepNext w:val="false"/>
        <w:spacing w:after="50" w:line="240"/>
        <w:ind w:firstLine="480"/>
        <w:jc w:val="both"/>
      </w:pPr>
      <w:r>
        <w:rPr>
          <w:rFonts w:ascii="TH Sarabun New" w:cs="TH Sarabun New" w:eastAsia="TH Sarabun New" w:hAnsi="TH Sarabun New"/>
          <w:b/>
          <w:bCs/>
          <w:i w:val="false"/>
          <w:iCs w:val="false"/>
          <w:sz w:val="32"/>
          <w:szCs w:val="32"/>
        </w:rPr>
        <w:t xml:space="preserve">การตรวจสอบเชิงตัวเลขที่ดำเนินการแล้ว</w:t>
      </w:r>
      <w:r>
        <w:rPr>
          <w:rFonts w:ascii="TH Sarabun New" w:cs="TH Sarabun New" w:eastAsia="TH Sarabun New" w:hAnsi="TH Sarabun New"/>
          <w:b w:val="false"/>
          <w:bCs w:val="false"/>
          <w:i w:val="false"/>
          <w:iCs w:val="false"/>
          <w:sz w:val="32"/>
          <w:szCs w:val="32"/>
        </w:rPr>
        <w:t xml:space="preserve"> ผลรวมน้ำหนักในตาราง EFAS IFAS SFAS และ KSF ทั้งสองสนามเท่ากับ 1.00 ทุกตาราง คะแนนถ่วงน้ำหนักทุกช่องเท่ากับน้ำหนักคูณ Rating และผลรวมตรงกับแถวรวม การจำแนกปัจจัยภายใน–ภายนอกได้รับการแก้ไขโดยย้ายการแข่งขันจากสินค้านำเข้า ต้นทุนวัตถุดิบและค่าแรง และพฤติกรรมผู้บริโภค จากจุดอ่อนไปเป็นอุปสรรค ปัจจัยซ้ำซ้อนถูกแยกความหมายระหว่าง T2 (อำนาจต่อรองผู้ซื้อระดับอุตสาหกรรม) กับ W2 (การกระจุกตัวของลูกค้าเฉพาะของ PG) ตัวเลขการเงินทุกตารางตรงกับเอกสารต้นทาง (ยอดขายปี 2568 = 605.20 ลบ. ขาดทุนสุทธิ 5.56 ลบ. โดยตารางสรุปใน One Report แสดง 5.57 ลบ. จากการปัดเศษ) และมีการแก้ไขข้อมูลที่ขัดแย้งกันสามจุด ได้แก่ ชื่อบริษัท ผลประเมินการกำกับดูแลกิจการ และขอบเขตสินค้าที่ CBAM ครอบคลุม</w:t>
      </w:r>
    </w:p>
    <w:sectPr>
      <w:footerReference w:type="default" r:id="rId10"/>
      <w:pgSz w:w="11906" w:h="16838" w:orient="portrait"/>
      <w:pgMar w:top="1191" w:right="1077" w:bottom="107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28"/>
        <w:szCs w:val="2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32"/>
        <w:szCs w:val="3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H Sarabun New" w:cs="TH Sarabun New" w:eastAsia="TH Sarabun New" w:hAnsi="TH Sarabun New"/>
      <w:b/>
      <w:bCs/>
      <w:color w:val="1F3864"/>
      <w:sz w:val="36"/>
      <w:szCs w:val="36"/>
    </w:rPr>
  </w:style>
  <w:style w:type="paragraph" w:styleId="Heading2">
    <w:name w:val="Heading 2"/>
    <w:basedOn w:val="Normal"/>
    <w:next w:val="Normal"/>
    <w:qFormat/>
    <w:rPr>
      <w:rFonts w:ascii="TH Sarabun New" w:cs="TH Sarabun New" w:eastAsia="TH Sarabun New" w:hAnsi="TH Sarabun New"/>
      <w:b/>
      <w:bCs/>
      <w:color w:val="2E5496"/>
      <w:sz w:val="32"/>
      <w:szCs w:val="32"/>
    </w:rPr>
  </w:style>
  <w:style w:type="paragraph" w:styleId="Heading3">
    <w:name w:val="Heading 3"/>
    <w:basedOn w:val="Normal"/>
    <w:next w:val="Normal"/>
    <w:qFormat/>
    <w:rPr>
      <w:rFonts w:ascii="TH Sarabun New" w:cs="TH Sarabun New" w:eastAsia="TH Sarabun New" w:hAnsi="TH Sarabun New"/>
      <w:b/>
      <w:bCs/>
      <w:color w:val="000000"/>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40"/>
    </w:pPr>
    <w:rPr>
      <w:rFonts w:ascii="TH Sarabun New" w:cs="TH Sarabun New" w:eastAsia="TH Sarabun New" w:hAnsi="TH Sarabun New"/>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01bf0d776b9b1b5e38e5bee50a76016c78e32bbd.png"/><Relationship Id="rId12" Type="http://schemas.openxmlformats.org/officeDocument/2006/relationships/image" Target="media/7d64a379f93eb4f48ad018abc6e97c7b9cf0aed2.png"/><Relationship Id="rId13" Type="http://schemas.openxmlformats.org/officeDocument/2006/relationships/image" Target="media/453350a91fb2fe6a6851c42f61b19352b6a00e49.png"/><Relationship Id="rId14" Type="http://schemas.openxmlformats.org/officeDocument/2006/relationships/image" Target="media/21e4b4006640321a1dd6f0bbdf992a467e2ddde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แผนกลยุทธ์ บริษัท ประชาอาภรณ์ จำกัด (มหาชน)</dc:title>
  <dc:creator>460-401 Strategic Management</dc:creator>
  <cp:lastModifiedBy>Un-named</cp:lastModifiedBy>
  <cp:revision>1</cp:revision>
  <dcterms:created xsi:type="dcterms:W3CDTF">2026-09-01T09:39:51.628Z</dcterms:created>
  <dcterms:modified xsi:type="dcterms:W3CDTF">2026-09-01T09:39:51.628Z</dcterms:modified>
</cp:coreProperties>
</file>

<file path=docProps/custom.xml><?xml version="1.0" encoding="utf-8"?>
<Properties xmlns="http://schemas.openxmlformats.org/officeDocument/2006/custom-properties" xmlns:vt="http://schemas.openxmlformats.org/officeDocument/2006/docPropsVTypes"/>
</file>