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100"/>
        <w:jc w:val="center"/>
      </w:pPr>
      <w:r>
        <w:rPr>
          <w:rFonts w:ascii="TH Sarabun New" w:cs="TH Sarabun New" w:eastAsia="TH Sarabun New" w:hAnsi="TH Sarabun New"/>
          <w:b/>
          <w:bCs/>
          <w:i w:val="false"/>
          <w:iCs w:val="false"/>
          <w:sz w:val="44"/>
          <w:szCs w:val="44"/>
        </w:rPr>
        <w:t xml:space="preserve">แผนกลยุทธ์</w:t>
      </w:r>
    </w:p>
    <w:p>
      <w:pPr>
        <w:spacing w:after="60"/>
        <w:jc w:val="center"/>
      </w:pPr>
      <w:r>
        <w:rPr>
          <w:rFonts w:ascii="TH Sarabun New" w:cs="TH Sarabun New" w:eastAsia="TH Sarabun New" w:hAnsi="TH Sarabun New"/>
          <w:b/>
          <w:bCs/>
          <w:i w:val="false"/>
          <w:iCs w:val="false"/>
          <w:sz w:val="40"/>
          <w:szCs w:val="40"/>
        </w:rPr>
        <w:t xml:space="preserve">บริษัท ประชาอาภรณ์ จำกัด (มหาชน)</w:t>
      </w:r>
    </w:p>
    <w:p>
      <w:pPr>
        <w:spacing w:after="100"/>
        <w:jc w:val="center"/>
      </w:pPr>
      <w:r>
        <w:rPr>
          <w:rFonts w:ascii="TH Sarabun New" w:cs="TH Sarabun New" w:eastAsia="TH Sarabun New" w:hAnsi="TH Sarabun New"/>
          <w:b/>
          <w:bCs/>
          <w:i w:val="false"/>
          <w:iCs w:val="false"/>
          <w:sz w:val="32"/>
          <w:szCs w:val="32"/>
        </w:rPr>
        <w:t xml:space="preserve">People’s Garment Public Company Limited (PG)</w:t>
      </w:r>
    </w:p>
    <w:p>
      <w:pPr>
        <w:spacing w:after="60"/>
        <w:jc w:val="center"/>
      </w:pPr>
      <w:r>
        <w:rPr>
          <w:rFonts w:ascii="TH Sarabun New" w:cs="TH Sarabun New" w:eastAsia="TH Sarabun New" w:hAnsi="TH Sarabun New"/>
          <w:b w:val="false"/>
          <w:bCs w:val="false"/>
          <w:i w:val="false"/>
          <w:iCs w:val="false"/>
          <w:sz w:val="30"/>
          <w:szCs w:val="30"/>
        </w:rPr>
        <w:t xml:space="preserve">แผนกลยุทธ์ระยะ 5 ปี ประจำปี 2570–2574</w:t>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60"/>
        <w:jc w:val="center"/>
      </w:pPr>
      <w:r>
        <w:rPr>
          <w:rFonts w:ascii="TH Sarabun New" w:cs="TH Sarabun New" w:eastAsia="TH Sarabun New" w:hAnsi="TH Sarabun New"/>
          <w:b/>
          <w:bCs/>
          <w:i w:val="false"/>
          <w:iCs w:val="false"/>
          <w:sz w:val="30"/>
          <w:szCs w:val="30"/>
        </w:rPr>
        <w:t xml:space="preserve">จัดทำโดย</w:t>
      </w:r>
    </w:p>
    <w:p>
      <w:pPr>
        <w:spacing w:after="60"/>
        <w:jc w:val="center"/>
      </w:pPr>
      <w:r>
        <w:rPr>
          <w:rFonts w:ascii="TH Sarabun New" w:hAnsi="TH Sarabun New" w:eastAsia="TH Sarabun New"/>
          <w:sz w:val="32"/>
        </w:rPr>
        <w:t>คณะผู้จัดทำรายงานกลุ่ม</w:t>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60"/>
        <w:jc w:val="center"/>
      </w:pPr>
      <w:r>
        <w:rPr>
          <w:rFonts w:ascii="TH Sarabun New" w:cs="TH Sarabun New" w:eastAsia="TH Sarabun New" w:hAnsi="TH Sarabun New"/>
          <w:b/>
          <w:bCs/>
          <w:i w:val="false"/>
          <w:iCs w:val="false"/>
          <w:sz w:val="30"/>
          <w:szCs w:val="30"/>
        </w:rPr>
        <w:t xml:space="preserve">เสนอ</w:t>
      </w:r>
    </w:p>
    <w:p>
      <w:pPr>
        <w:spacing w:after="60"/>
        <w:jc w:val="center"/>
      </w:pPr>
      <w:r>
        <w:rPr>
          <w:rFonts w:ascii="TH Sarabun New" w:hAnsi="TH Sarabun New" w:eastAsia="TH Sarabun New"/>
          <w:sz w:val="32"/>
        </w:rPr>
        <w:t>อาจารย์ผู้สอนประจำรายวิชา</w:t>
      </w:r>
    </w:p>
    <w:p>
      <w:pPr>
        <w:spacing w:after="50"/>
        <w:jc w:val="center"/>
      </w:pPr>
      <w:r>
        <w:rPr>
          <w:rFonts w:ascii="TH Sarabun New" w:cs="TH Sarabun New" w:eastAsia="TH Sarabun New" w:hAnsi="TH Sarabun New"/>
          <w:b w:val="false"/>
          <w:bCs w:val="false"/>
          <w:i w:val="false"/>
          <w:iCs w:val="false"/>
          <w:sz w:val="30"/>
          <w:szCs w:val="30"/>
        </w:rPr>
        <w:t xml:space="preserve">เป็นส่วนหนึ่งของรายวิชา 460-401 การจัดการเชิงกลยุทธ์</w:t>
      </w:r>
    </w:p>
    <w:p>
      <w:pPr>
        <w:spacing w:after="50"/>
        <w:jc w:val="center"/>
      </w:pPr>
      <w:r>
        <w:rPr>
          <w:rFonts w:ascii="TH Sarabun New" w:cs="TH Sarabun New" w:eastAsia="TH Sarabun New" w:hAnsi="TH Sarabun New"/>
          <w:b w:val="false"/>
          <w:bCs w:val="false"/>
          <w:i w:val="false"/>
          <w:iCs w:val="false"/>
          <w:sz w:val="30"/>
          <w:szCs w:val="30"/>
        </w:rPr>
        <w:t xml:space="preserve">ภาคเรียนที่ 1 ปีการศึกษา 2569</w:t>
      </w:r>
    </w:p>
    <w:p>
      <w:pPr>
        <w:jc w:val="center"/>
      </w:pPr>
      <w:r>
        <w:rPr>
          <w:rFonts w:ascii="TH Sarabun New" w:cs="TH Sarabun New" w:eastAsia="TH Sarabun New" w:hAnsi="TH Sarabun New"/>
          <w:b w:val="false"/>
          <w:bCs w:val="false"/>
          <w:i w:val="false"/>
          <w:iCs w:val="false"/>
          <w:color w:val="595959"/>
          <w:sz w:val="26"/>
          <w:szCs w:val="26"/>
        </w:rPr>
        <w:t xml:space="preserve">ข้อมูล ณ วันที่ 31 สิงหาคม 2569</w:t>
      </w:r>
    </w:p>
    <w:p>
      <w:r>
        <w:br w:type="page"/>
      </w:r>
    </w:p>
    <w:p>
      <w:pPr>
        <w:spacing w:after="180"/>
        <w:jc w:val="center"/>
      </w:pPr>
      <w:r>
        <w:rPr>
          <w:rFonts w:ascii="TH Sarabun New" w:cs="TH Sarabun New" w:eastAsia="TH Sarabun New" w:hAnsi="TH Sarabun New"/>
          <w:b/>
          <w:bCs/>
          <w:i w:val="false"/>
          <w:iCs w:val="false"/>
          <w:sz w:val="34"/>
          <w:szCs w:val="34"/>
        </w:rPr>
        <w:t xml:space="preserve">คำนำ</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รายงานฉบับนี้เป็นส่วนหนึ่งของรายวิชา 460-401 การจัดการเชิงกลยุทธ์ จัดทำขึ้นเพื่อวางแผนกลยุทธ์ระยะ 5 ปี (2570–2574) ให้แก่บริษัท ประชาอาภรณ์ จำกัด (มหาชน) โดยเริ่มจากการศึกษาสถานการณ์ปัจจุบันและผลประกอบการ วิเคราะห์สภาพแวดล้อมภายนอกและภายใน สังเคราะห์เป็นปัจจัยเชิงกลยุทธ์ ทางเลือกเชิงกลยุทธ์ และกลยุทธ์ที่เลือก ก่อนแปลงเป็นแผนปฏิบัติการ งบประมาณ ผู้รับผิดชอบ ระบบติดตามประเมินผล และประมาณการทางการเงิน</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รายงานยึดหลักสามประการ คือ ข้อเท็จจริงทุกข้อต้องอ้างอิงเอกสารของบริษัท หน่วยงานกำกับดูแล หน่วยงานรัฐ หรือเอกสารเปิดเผยของคู่แข่ง และแยกให้ชัดระหว่างข้อเท็จจริง การคำนวณ สมมติฐาน และข้อเสนอเชิงกลยุทธ์ ข้อเสนอทุกข้อในบทหลังต้องสืบย้อนไปยังการวิเคราะห์ในบทก่อนหน้าได้ และเมื่อข้อมูลที่จำเป็นไม่มีการเปิดเผย รายงานจะระบุข้อจำกัดนั้นแทนการเติมตัวเลขที่ไม่มีหลักฐานรองรับ</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คณะผู้จัดทำขอขอบพระคุณอาจารย์ผู้สอนประจำรายวิชา และหวังว่ารายงานฉบับนี้จะเป็นประโยชน์ต่อการพัฒนาการดำเนินงานของบริษัทฯ ต่อไป</w:t>
      </w:r>
    </w:p>
    <w:p>
      <w:pPr>
        <w:spacing w:after="0"/>
      </w:pPr>
      <w:r>
        <w:rPr>
          <w:rFonts w:ascii="TH Sarabun New" w:cs="TH Sarabun New" w:eastAsia="TH Sarabun New" w:hAnsi="TH Sarabun New"/>
          <w:b w:val="false"/>
          <w:bCs w:val="false"/>
          <w:i w:val="false"/>
          <w:iCs w:val="false"/>
          <w:sz w:val="32"/>
          <w:szCs w:val="32"/>
        </w:rPr>
        <w:t xml:space="preserve"/>
      </w:r>
    </w:p>
    <w:p>
      <w:pPr>
        <w:jc w:val="right"/>
      </w:pPr>
      <w:r>
        <w:rPr>
          <w:rFonts w:ascii="TH Sarabun New" w:cs="TH Sarabun New" w:eastAsia="TH Sarabun New" w:hAnsi="TH Sarabun New"/>
          <w:b w:val="false"/>
          <w:bCs w:val="false"/>
          <w:i w:val="false"/>
          <w:iCs w:val="false"/>
          <w:sz w:val="30"/>
          <w:szCs w:val="30"/>
        </w:rPr>
        <w:t xml:space="preserve">คณะผู้จัดทำ</w:t>
      </w:r>
    </w:p>
    <w:p>
      <w:r>
        <w:br w:type="page"/>
      </w:r>
    </w:p>
    <w:p>
      <w:pPr>
        <w:spacing w:after="180"/>
        <w:jc w:val="center"/>
      </w:pPr>
      <w:r>
        <w:rPr>
          <w:rFonts w:ascii="TH Sarabun New" w:cs="TH Sarabun New" w:eastAsia="TH Sarabun New" w:hAnsi="TH Sarabun New"/>
          <w:b/>
          <w:bCs/>
          <w:i w:val="false"/>
          <w:iCs w:val="false"/>
          <w:sz w:val="34"/>
          <w:szCs w:val="34"/>
        </w:rPr>
        <w:t xml:space="preserve">สารบัญ</w:t>
      </w:r>
    </w:p>
    <w:p>
      <w:pPr>
        <w:tabs>
          <w:tab w:pos="9288" w:val="right" w:leader="dot"/>
        </w:tabs>
        <w:spacing w:before="0" w:after="0" w:line="240" w:lineRule="auto"/>
        <w:ind w:left="0"/>
      </w:pPr>
      <w:r>
        <w:rPr>
          <w:rFonts w:ascii="TH Sarabun New" w:hAnsi="TH Sarabun New" w:eastAsia="TH Sarabun New"/>
          <w:b/>
          <w:sz w:val="22"/>
        </w:rPr>
        <w:t>1. บทสรุปผู้บริหาร</w:t>
        <w:tab/>
        <w:t>4</w:t>
      </w:r>
    </w:p>
    <w:p>
      <w:pPr>
        <w:tabs>
          <w:tab w:pos="9288" w:val="right" w:leader="dot"/>
        </w:tabs>
        <w:spacing w:before="0" w:after="0" w:line="240" w:lineRule="auto"/>
        <w:ind w:left="0"/>
      </w:pPr>
      <w:r>
        <w:rPr>
          <w:rFonts w:ascii="TH Sarabun New" w:hAnsi="TH Sarabun New" w:eastAsia="TH Sarabun New"/>
          <w:b/>
          <w:sz w:val="22"/>
        </w:rPr>
        <w:t>2. สถานการณ์ปัจจุบัน</w:t>
        <w:tab/>
        <w:t>5</w:t>
      </w:r>
    </w:p>
    <w:p>
      <w:pPr>
        <w:tabs>
          <w:tab w:pos="9288" w:val="right" w:leader="dot"/>
        </w:tabs>
        <w:spacing w:before="0" w:after="0" w:line="240" w:lineRule="auto"/>
        <w:ind w:left="360"/>
      </w:pPr>
      <w:r>
        <w:rPr>
          <w:rFonts w:ascii="TH Sarabun New" w:hAnsi="TH Sarabun New" w:eastAsia="TH Sarabun New"/>
          <w:b w:val="0"/>
          <w:sz w:val="22"/>
        </w:rPr>
        <w:t>2.1 ประวัติองค์กร</w:t>
        <w:tab/>
        <w:t>5</w:t>
      </w:r>
    </w:p>
    <w:p>
      <w:pPr>
        <w:tabs>
          <w:tab w:pos="9288" w:val="right" w:leader="dot"/>
        </w:tabs>
        <w:spacing w:before="0" w:after="0" w:line="240" w:lineRule="auto"/>
        <w:ind w:left="360"/>
      </w:pPr>
      <w:r>
        <w:rPr>
          <w:rFonts w:ascii="TH Sarabun New" w:hAnsi="TH Sarabun New" w:eastAsia="TH Sarabun New"/>
          <w:b w:val="0"/>
          <w:sz w:val="22"/>
        </w:rPr>
        <w:t>2.2 โครงสร้างองค์กร</w:t>
        <w:tab/>
        <w:t>5</w:t>
      </w:r>
    </w:p>
    <w:p>
      <w:pPr>
        <w:tabs>
          <w:tab w:pos="9288" w:val="right" w:leader="dot"/>
        </w:tabs>
        <w:spacing w:before="0" w:after="0" w:line="240" w:lineRule="auto"/>
        <w:ind w:left="360"/>
      </w:pPr>
      <w:r>
        <w:rPr>
          <w:rFonts w:ascii="TH Sarabun New" w:hAnsi="TH Sarabun New" w:eastAsia="TH Sarabun New"/>
          <w:b w:val="0"/>
          <w:sz w:val="22"/>
        </w:rPr>
        <w:t>2.3 คณะกรรมการบริษัทปัจจุบัน</w:t>
        <w:tab/>
        <w:t>5</w:t>
      </w:r>
    </w:p>
    <w:p>
      <w:pPr>
        <w:tabs>
          <w:tab w:pos="9288" w:val="right" w:leader="dot"/>
        </w:tabs>
        <w:spacing w:before="0" w:after="0" w:line="240" w:lineRule="auto"/>
        <w:ind w:left="360"/>
      </w:pPr>
      <w:r>
        <w:rPr>
          <w:rFonts w:ascii="TH Sarabun New" w:hAnsi="TH Sarabun New" w:eastAsia="TH Sarabun New"/>
          <w:b w:val="0"/>
          <w:sz w:val="22"/>
        </w:rPr>
        <w:t>2.4 วิสัยทัศน์ พันธกิจ วัตถุประสงค์</w:t>
        <w:tab/>
        <w:t>6</w:t>
      </w:r>
    </w:p>
    <w:p>
      <w:pPr>
        <w:tabs>
          <w:tab w:pos="9288" w:val="right" w:leader="dot"/>
        </w:tabs>
        <w:spacing w:before="0" w:after="0" w:line="240" w:lineRule="auto"/>
        <w:ind w:left="360"/>
      </w:pPr>
      <w:r>
        <w:rPr>
          <w:rFonts w:ascii="TH Sarabun New" w:hAnsi="TH Sarabun New" w:eastAsia="TH Sarabun New"/>
          <w:b w:val="0"/>
          <w:sz w:val="22"/>
        </w:rPr>
        <w:t>2.5 กลยุทธ์ปัจจุบัน</w:t>
        <w:tab/>
        <w:t>6</w:t>
      </w:r>
    </w:p>
    <w:p>
      <w:pPr>
        <w:tabs>
          <w:tab w:pos="9288" w:val="right" w:leader="dot"/>
        </w:tabs>
        <w:spacing w:before="0" w:after="0" w:line="240" w:lineRule="auto"/>
        <w:ind w:left="360"/>
      </w:pPr>
      <w:r>
        <w:rPr>
          <w:rFonts w:ascii="TH Sarabun New" w:hAnsi="TH Sarabun New" w:eastAsia="TH Sarabun New"/>
          <w:b w:val="0"/>
          <w:sz w:val="22"/>
        </w:rPr>
        <w:t>2.6 ผลประกอบการที่ผ่านมา</w:t>
        <w:tab/>
        <w:t>7</w:t>
      </w:r>
    </w:p>
    <w:p>
      <w:pPr>
        <w:tabs>
          <w:tab w:pos="9288" w:val="right" w:leader="dot"/>
        </w:tabs>
        <w:spacing w:before="0" w:after="0" w:line="240" w:lineRule="auto"/>
        <w:ind w:left="360"/>
      </w:pPr>
      <w:r>
        <w:rPr>
          <w:rFonts w:ascii="TH Sarabun New" w:hAnsi="TH Sarabun New" w:eastAsia="TH Sarabun New"/>
          <w:b w:val="0"/>
          <w:sz w:val="22"/>
        </w:rPr>
        <w:t>2.7 ผลการดำเนินงานล่าสุด: งวดหกเดือนแรกปี 2569</w:t>
        <w:tab/>
        <w:t>9</w:t>
      </w:r>
    </w:p>
    <w:p>
      <w:pPr>
        <w:tabs>
          <w:tab w:pos="9288" w:val="right" w:leader="dot"/>
        </w:tabs>
        <w:spacing w:before="0" w:after="0" w:line="240" w:lineRule="auto"/>
        <w:ind w:left="0"/>
      </w:pPr>
      <w:r>
        <w:rPr>
          <w:rFonts w:ascii="TH Sarabun New" w:hAnsi="TH Sarabun New" w:eastAsia="TH Sarabun New"/>
          <w:b/>
          <w:sz w:val="22"/>
        </w:rPr>
        <w:t>3. การวิเคราะห์สภาพแวดล้อมเชิงกลยุทธ์</w:t>
        <w:tab/>
        <w:t>9</w:t>
      </w:r>
    </w:p>
    <w:p>
      <w:pPr>
        <w:tabs>
          <w:tab w:pos="9288" w:val="right" w:leader="dot"/>
        </w:tabs>
        <w:spacing w:before="0" w:after="0" w:line="240" w:lineRule="auto"/>
        <w:ind w:left="360"/>
      </w:pPr>
      <w:r>
        <w:rPr>
          <w:rFonts w:ascii="TH Sarabun New" w:hAnsi="TH Sarabun New" w:eastAsia="TH Sarabun New"/>
          <w:b w:val="0"/>
          <w:sz w:val="22"/>
        </w:rPr>
        <w:t>3.1 การวิเคราะห์สภาพแวดล้อมภายนอก</w:t>
        <w:tab/>
        <w:t>9</w:t>
      </w:r>
    </w:p>
    <w:p>
      <w:pPr>
        <w:tabs>
          <w:tab w:pos="9288" w:val="right" w:leader="dot"/>
        </w:tabs>
        <w:spacing w:before="0" w:after="0" w:line="240" w:lineRule="auto"/>
        <w:ind w:left="360"/>
      </w:pPr>
      <w:r>
        <w:rPr>
          <w:rFonts w:ascii="TH Sarabun New" w:hAnsi="TH Sarabun New" w:eastAsia="TH Sarabun New"/>
          <w:b w:val="0"/>
          <w:sz w:val="22"/>
        </w:rPr>
        <w:t>3.2 การวิเคราะห์สภาพแวดล้อมภายใน</w:t>
        <w:tab/>
        <w:t>15</w:t>
      </w:r>
    </w:p>
    <w:p>
      <w:pPr>
        <w:tabs>
          <w:tab w:pos="9288" w:val="right" w:leader="dot"/>
        </w:tabs>
        <w:spacing w:before="0" w:after="0" w:line="240" w:lineRule="auto"/>
        <w:ind w:left="0"/>
      </w:pPr>
      <w:r>
        <w:rPr>
          <w:rFonts w:ascii="TH Sarabun New" w:hAnsi="TH Sarabun New" w:eastAsia="TH Sarabun New"/>
          <w:b/>
          <w:sz w:val="22"/>
        </w:rPr>
        <w:t>4. การวิเคราะห์ปัจจัยเชิงกลยุทธ์</w:t>
        <w:tab/>
        <w:t>18</w:t>
      </w:r>
    </w:p>
    <w:p>
      <w:pPr>
        <w:tabs>
          <w:tab w:pos="9288" w:val="right" w:leader="dot"/>
        </w:tabs>
        <w:spacing w:before="0" w:after="0" w:line="240" w:lineRule="auto"/>
        <w:ind w:left="360"/>
      </w:pPr>
      <w:r>
        <w:rPr>
          <w:rFonts w:ascii="TH Sarabun New" w:hAnsi="TH Sarabun New" w:eastAsia="TH Sarabun New"/>
          <w:b w:val="0"/>
          <w:sz w:val="22"/>
        </w:rPr>
        <w:t>4.1 บทสรุปการวิเคราะห์ปัจจัยเชิงกลยุทธ์ (SFAS Matrix)</w:t>
        <w:tab/>
        <w:t>18</w:t>
      </w:r>
    </w:p>
    <w:p>
      <w:pPr>
        <w:tabs>
          <w:tab w:pos="9288" w:val="right" w:leader="dot"/>
        </w:tabs>
        <w:spacing w:before="0" w:after="0" w:line="240" w:lineRule="auto"/>
        <w:ind w:left="360"/>
      </w:pPr>
      <w:r>
        <w:rPr>
          <w:rFonts w:ascii="TH Sarabun New" w:hAnsi="TH Sarabun New" w:eastAsia="TH Sarabun New"/>
          <w:b w:val="0"/>
          <w:sz w:val="22"/>
        </w:rPr>
        <w:t>4.2 TOWS Matrix</w:t>
        <w:tab/>
        <w:t>19</w:t>
      </w:r>
    </w:p>
    <w:p>
      <w:pPr>
        <w:tabs>
          <w:tab w:pos="9288" w:val="right" w:leader="dot"/>
        </w:tabs>
        <w:spacing w:before="0" w:after="0" w:line="240" w:lineRule="auto"/>
        <w:ind w:left="360"/>
      </w:pPr>
      <w:r>
        <w:rPr>
          <w:rFonts w:ascii="TH Sarabun New" w:hAnsi="TH Sarabun New" w:eastAsia="TH Sarabun New"/>
          <w:b w:val="0"/>
          <w:sz w:val="22"/>
        </w:rPr>
        <w:t>4.3 การทบทวนวิสัยทัศน์ พันธกิจ และวัตถุประสงค์</w:t>
        <w:tab/>
        <w:t>20</w:t>
      </w:r>
    </w:p>
    <w:p>
      <w:pPr>
        <w:tabs>
          <w:tab w:pos="9288" w:val="right" w:leader="dot"/>
        </w:tabs>
        <w:spacing w:before="0" w:after="0" w:line="240" w:lineRule="auto"/>
        <w:ind w:left="360"/>
      </w:pPr>
      <w:r>
        <w:rPr>
          <w:rFonts w:ascii="TH Sarabun New" w:hAnsi="TH Sarabun New" w:eastAsia="TH Sarabun New"/>
          <w:b w:val="0"/>
          <w:sz w:val="22"/>
        </w:rPr>
        <w:t>4.4 ทางเลือกเชิงกลยุทธ์ (Strategic Alternatives)</w:t>
        <w:tab/>
        <w:t>21</w:t>
      </w:r>
    </w:p>
    <w:p>
      <w:pPr>
        <w:tabs>
          <w:tab w:pos="9288" w:val="right" w:leader="dot"/>
        </w:tabs>
        <w:spacing w:before="0" w:after="0" w:line="240" w:lineRule="auto"/>
        <w:ind w:left="360"/>
      </w:pPr>
      <w:r>
        <w:rPr>
          <w:rFonts w:ascii="TH Sarabun New" w:hAnsi="TH Sarabun New" w:eastAsia="TH Sarabun New"/>
          <w:b w:val="0"/>
          <w:sz w:val="22"/>
        </w:rPr>
        <w:t>4.5 เมทริกซ์การตัดสินใจและการทดสอบความไว</w:t>
        <w:tab/>
        <w:t>21</w:t>
      </w:r>
    </w:p>
    <w:p>
      <w:pPr>
        <w:tabs>
          <w:tab w:pos="9288" w:val="right" w:leader="dot"/>
        </w:tabs>
        <w:spacing w:before="0" w:after="0" w:line="240" w:lineRule="auto"/>
        <w:ind w:left="360"/>
      </w:pPr>
      <w:r>
        <w:rPr>
          <w:rFonts w:ascii="TH Sarabun New" w:hAnsi="TH Sarabun New" w:eastAsia="TH Sarabun New"/>
          <w:b w:val="0"/>
          <w:sz w:val="22"/>
        </w:rPr>
        <w:t>4.6 กลยุทธ์ที่แนะนำ (Recommended Strategy)</w:t>
        <w:tab/>
        <w:t>22</w:t>
      </w:r>
    </w:p>
    <w:p>
      <w:pPr>
        <w:tabs>
          <w:tab w:pos="9288" w:val="right" w:leader="dot"/>
        </w:tabs>
        <w:spacing w:before="0" w:after="0" w:line="240" w:lineRule="auto"/>
        <w:ind w:left="360"/>
      </w:pPr>
      <w:r>
        <w:rPr>
          <w:rFonts w:ascii="TH Sarabun New" w:hAnsi="TH Sarabun New" w:eastAsia="TH Sarabun New"/>
          <w:b w:val="0"/>
          <w:sz w:val="22"/>
        </w:rPr>
        <w:t>4.7 กลยุทธ์ระดับองค์กร ธุรกิจ และหน้าที่</w:t>
        <w:tab/>
        <w:t>23</w:t>
      </w:r>
    </w:p>
    <w:p>
      <w:pPr>
        <w:tabs>
          <w:tab w:pos="9288" w:val="right" w:leader="dot"/>
        </w:tabs>
        <w:spacing w:before="0" w:after="0" w:line="240" w:lineRule="auto"/>
        <w:ind w:left="0"/>
      </w:pPr>
      <w:r>
        <w:rPr>
          <w:rFonts w:ascii="TH Sarabun New" w:hAnsi="TH Sarabun New" w:eastAsia="TH Sarabun New"/>
          <w:b/>
          <w:sz w:val="22"/>
        </w:rPr>
        <w:t>5. การนำกลยุทธ์ไปใช้ แผนปฏิบัติการ และการควบคุมประเมินผล</w:t>
        <w:tab/>
        <w:t>24</w:t>
      </w:r>
    </w:p>
    <w:p>
      <w:pPr>
        <w:tabs>
          <w:tab w:pos="9288" w:val="right" w:leader="dot"/>
        </w:tabs>
        <w:spacing w:before="0" w:after="0" w:line="240" w:lineRule="auto"/>
        <w:ind w:left="360"/>
      </w:pPr>
      <w:r>
        <w:rPr>
          <w:rFonts w:ascii="TH Sarabun New" w:hAnsi="TH Sarabun New" w:eastAsia="TH Sarabun New"/>
          <w:b w:val="0"/>
          <w:sz w:val="22"/>
        </w:rPr>
        <w:t>5.1 แผนการปฏิบัติการ (Action Plan)</w:t>
        <w:tab/>
        <w:t>24</w:t>
      </w:r>
    </w:p>
    <w:p>
      <w:pPr>
        <w:tabs>
          <w:tab w:pos="9288" w:val="right" w:leader="dot"/>
        </w:tabs>
        <w:spacing w:before="0" w:after="0" w:line="240" w:lineRule="auto"/>
        <w:ind w:left="360"/>
      </w:pPr>
      <w:r>
        <w:rPr>
          <w:rFonts w:ascii="TH Sarabun New" w:hAnsi="TH Sarabun New" w:eastAsia="TH Sarabun New"/>
          <w:b w:val="0"/>
          <w:sz w:val="22"/>
        </w:rPr>
        <w:t>5.2 งบประมาณและฐานการประมาณการ</w:t>
        <w:tab/>
        <w:t>27</w:t>
      </w:r>
    </w:p>
    <w:p>
      <w:pPr>
        <w:tabs>
          <w:tab w:pos="9288" w:val="right" w:leader="dot"/>
        </w:tabs>
        <w:spacing w:before="0" w:after="0" w:line="240" w:lineRule="auto"/>
        <w:ind w:left="360"/>
      </w:pPr>
      <w:r>
        <w:rPr>
          <w:rFonts w:ascii="TH Sarabun New" w:hAnsi="TH Sarabun New" w:eastAsia="TH Sarabun New"/>
          <w:b w:val="0"/>
          <w:sz w:val="22"/>
        </w:rPr>
        <w:t>5.3 Balanced Scorecard และการควบคุมเชิงกลยุทธ์</w:t>
        <w:tab/>
        <w:t>28</w:t>
      </w:r>
    </w:p>
    <w:p>
      <w:pPr>
        <w:tabs>
          <w:tab w:pos="9288" w:val="right" w:leader="dot"/>
        </w:tabs>
        <w:spacing w:before="0" w:after="0" w:line="240" w:lineRule="auto"/>
        <w:ind w:left="360"/>
      </w:pPr>
      <w:r>
        <w:rPr>
          <w:rFonts w:ascii="TH Sarabun New" w:hAnsi="TH Sarabun New" w:eastAsia="TH Sarabun New"/>
          <w:b w:val="0"/>
          <w:sz w:val="22"/>
        </w:rPr>
        <w:t>5.4 Risk Register / Early Warning / Contingency</w:t>
        <w:tab/>
        <w:t>29</w:t>
      </w:r>
    </w:p>
    <w:p>
      <w:pPr>
        <w:tabs>
          <w:tab w:pos="9288" w:val="right" w:leader="dot"/>
        </w:tabs>
        <w:spacing w:before="0" w:after="0" w:line="240" w:lineRule="auto"/>
        <w:ind w:left="0"/>
      </w:pPr>
      <w:r>
        <w:rPr>
          <w:rFonts w:ascii="TH Sarabun New" w:hAnsi="TH Sarabun New" w:eastAsia="TH Sarabun New"/>
          <w:b/>
          <w:sz w:val="22"/>
        </w:rPr>
        <w:t>6. ประมาณการผลการดำเนินงาน</w:t>
        <w:tab/>
        <w:t>31</w:t>
      </w:r>
    </w:p>
    <w:p>
      <w:pPr>
        <w:tabs>
          <w:tab w:pos="9288" w:val="right" w:leader="dot"/>
        </w:tabs>
        <w:spacing w:before="0" w:after="0" w:line="240" w:lineRule="auto"/>
        <w:ind w:left="360"/>
      </w:pPr>
      <w:r>
        <w:rPr>
          <w:rFonts w:ascii="TH Sarabun New" w:hAnsi="TH Sarabun New" w:eastAsia="TH Sarabun New"/>
          <w:b w:val="0"/>
          <w:sz w:val="22"/>
        </w:rPr>
        <w:t>6.1 กรณีฐาน (Base Case)</w:t>
        <w:tab/>
        <w:t>31</w:t>
      </w:r>
    </w:p>
    <w:p>
      <w:pPr>
        <w:tabs>
          <w:tab w:pos="9288" w:val="right" w:leader="dot"/>
        </w:tabs>
        <w:spacing w:before="0" w:after="0" w:line="240" w:lineRule="auto"/>
        <w:ind w:left="360"/>
      </w:pPr>
      <w:r>
        <w:rPr>
          <w:rFonts w:ascii="TH Sarabun New" w:hAnsi="TH Sarabun New" w:eastAsia="TH Sarabun New"/>
          <w:b w:val="0"/>
          <w:sz w:val="22"/>
        </w:rPr>
        <w:t>6.2 กรณีกลยุทธ์ (Strategic Case)</w:t>
        <w:tab/>
        <w:t>31</w:t>
      </w:r>
    </w:p>
    <w:p>
      <w:pPr>
        <w:tabs>
          <w:tab w:pos="9288" w:val="right" w:leader="dot"/>
        </w:tabs>
        <w:spacing w:before="0" w:after="0" w:line="240" w:lineRule="auto"/>
        <w:ind w:left="360"/>
      </w:pPr>
      <w:r>
        <w:rPr>
          <w:rFonts w:ascii="TH Sarabun New" w:hAnsi="TH Sarabun New" w:eastAsia="TH Sarabun New"/>
          <w:b w:val="0"/>
          <w:sz w:val="22"/>
        </w:rPr>
        <w:t>6.3 สมมติฐานของประมาณการ</w:t>
        <w:tab/>
        <w:t>32</w:t>
      </w:r>
    </w:p>
    <w:p>
      <w:pPr>
        <w:tabs>
          <w:tab w:pos="9288" w:val="right" w:leader="dot"/>
        </w:tabs>
        <w:spacing w:before="0" w:after="0" w:line="240" w:lineRule="auto"/>
        <w:ind w:left="360"/>
      </w:pPr>
      <w:r>
        <w:rPr>
          <w:rFonts w:ascii="TH Sarabun New" w:hAnsi="TH Sarabun New" w:eastAsia="TH Sarabun New"/>
          <w:b w:val="0"/>
          <w:sz w:val="22"/>
        </w:rPr>
        <w:t>6.4 งบแสดงฐานะการเงินประมาณการ</w:t>
        <w:tab/>
        <w:t>33</w:t>
      </w:r>
    </w:p>
    <w:p>
      <w:pPr>
        <w:tabs>
          <w:tab w:pos="9288" w:val="right" w:leader="dot"/>
        </w:tabs>
        <w:spacing w:before="0" w:after="0" w:line="240" w:lineRule="auto"/>
        <w:ind w:left="360"/>
      </w:pPr>
      <w:r>
        <w:rPr>
          <w:rFonts w:ascii="TH Sarabun New" w:hAnsi="TH Sarabun New" w:eastAsia="TH Sarabun New"/>
          <w:b w:val="0"/>
          <w:sz w:val="22"/>
        </w:rPr>
        <w:t>6.5 ข้อจำกัด</w:t>
        <w:tab/>
        <w:t>34</w:t>
      </w:r>
    </w:p>
    <w:p>
      <w:pPr>
        <w:tabs>
          <w:tab w:pos="9288" w:val="right" w:leader="dot"/>
        </w:tabs>
        <w:spacing w:before="0" w:after="0" w:line="240" w:lineRule="auto"/>
        <w:ind w:left="0"/>
      </w:pPr>
      <w:r>
        <w:rPr>
          <w:rFonts w:ascii="TH Sarabun New" w:hAnsi="TH Sarabun New" w:eastAsia="TH Sarabun New"/>
          <w:b/>
          <w:sz w:val="22"/>
        </w:rPr>
        <w:t>บรรณานุกรม</w:t>
        <w:tab/>
        <w:t>34</w:t>
      </w:r>
    </w:p>
    <w:p>
      <w:pPr>
        <w:tabs>
          <w:tab w:pos="9288" w:val="right" w:leader="dot"/>
        </w:tabs>
        <w:spacing w:before="0" w:after="0" w:line="240" w:lineRule="auto"/>
        <w:ind w:left="0"/>
      </w:pPr>
      <w:r>
        <w:rPr>
          <w:rFonts w:ascii="TH Sarabun New" w:hAnsi="TH Sarabun New" w:eastAsia="TH Sarabun New"/>
          <w:b/>
          <w:sz w:val="22"/>
        </w:rPr>
        <w:t>ภาคผนวก Strategic Traceability / Claim-to-Source / Calculation QA</w:t>
        <w:tab/>
        <w:t>35</w:t>
      </w:r>
    </w:p>
    <w:p>
      <w:r>
        <w:br w:type="page"/>
      </w:r>
    </w:p>
    <w:p>
      <w:pPr>
        <w:pStyle w:val="Heading1"/>
        <w:keepNext/>
        <w:spacing w:after="80" w:before="180"/>
      </w:pPr>
      <w:r>
        <w:rPr>
          <w:rFonts w:ascii="TH Sarabun New" w:cs="TH Sarabun New" w:eastAsia="TH Sarabun New" w:hAnsi="TH Sarabun New"/>
          <w:b/>
          <w:bCs/>
          <w:i w:val="false"/>
          <w:iCs w:val="false"/>
          <w:sz w:val="36"/>
          <w:szCs w:val="36"/>
        </w:rPr>
        <w:t xml:space="preserve">1. บทสรุปผู้บริหาร</w:t>
      </w:r>
    </w:p>
    <w:p>
      <w:pPr>
        <w:keepNext w:val="false"/>
        <w:spacing w:after="50" w:line="240"/>
        <w:ind w:firstLine="480"/>
        <w:jc w:val="both"/>
      </w:pPr>
      <w:r>
        <w:rPr>
          <w:rFonts w:ascii="TH Sarabun New" w:hAnsi="TH Sarabun New" w:eastAsia="TH Sarabun New"/>
          <w:sz w:val="32"/>
        </w:rPr>
        <w:t>บริษัท ประชาอาภรณ์ จำกัด (มหาชน) หรือ PG เป็นผู้ผลิตเครื่องนุ่งห่มและผ้าถักที่ดำเนินธุรกิจมา 45 ปี มีโรงงานที่ลำพูนและกบินทร์บุรี ผลิตเสื้อผ้าบุรุษและสตรี ชุดกีฬา ชุดว่ายน้ำ ชุดชั้นในชาย เครื่องแบบองค์กร ชุดทางการแพทย์ และผ้าถัก ทั้งภายใต้แบรนด์ที่ได้รับสิทธิและงาน OEM/ODM ปี 2568 มียอดขาย 605.20 ล้านบาท ลดลงร้อยละ 21.80 ขาดทุนสุทธิประมาณ 5.56 ล้านบาท และมีกำไรขั้นต้น 129.52 ล้านบาท [1][2][3]</w:t>
      </w:r>
    </w:p>
    <w:p>
      <w:pPr>
        <w:keepNext w:val="false"/>
        <w:spacing w:after="50" w:line="240"/>
        <w:ind w:firstLine="480"/>
        <w:jc w:val="both"/>
      </w:pPr>
      <w:r>
        <w:rPr>
          <w:rFonts w:ascii="TH Sarabun New" w:hAnsi="TH Sarabun New" w:eastAsia="TH Sarabun New"/>
          <w:sz w:val="32"/>
        </w:rPr>
        <w:t>ประเด็นเชิงกลยุทธ์คือธุรกิจหลักยังไม่สร้างผลตอบแทนเพียงพอ กำไรขั้นต้นหักค่าใช้จ่ายขายและบริหารติดลบ 27.97, 24.11 และ 48.56 ล้านบาทในปี 2566–2568 โดยคำว่า “ผลจากธุรกิจหลักโดยประมาณ” ในรายงานนี้หมายถึง กำไรขั้นต้น − ค่าใช้จ่ายขายและบริหาร มิใช่ EBIT ที่ตรวจสอบแล้ว ปัญหานี้ซ้อนกับการกระจุกตัวของลูกค้า (I.C.C. ร้อยละ 40.12) สินค้าคงเหลือปลายงวด 337.11 ล้านบาท และสัดส่วนสินทรัพย์ทางการเงินร้อยละ 57.81 ของสินทรัพย์รวม แบบจำลองบริหารคำนวณระยะเวลาสินค้าคงเหลือปีฐานจากสินค้าคงเหลือเฉลี่ย/ต้นทุนขาย × 365 ได้ประมาณ 267.75 วัน ซึ่งต่างจากอัตรา 183.70 วันที่บริษัทเปิดเผยเพราะฐานคำนวณต่างกัน [1][2]</w:t>
      </w:r>
    </w:p>
    <w:p>
      <w:pPr>
        <w:keepNext w:val="false"/>
        <w:spacing w:after="50" w:line="240"/>
        <w:ind w:firstLine="480"/>
        <w:jc w:val="both"/>
      </w:pPr>
      <w:r>
        <w:rPr>
          <w:rFonts w:ascii="TH Sarabun New" w:hAnsi="TH Sarabun New" w:eastAsia="TH Sarabun New"/>
          <w:sz w:val="32"/>
        </w:rPr>
        <w:t>เมื่อแก้การจำแนก SPI/เครือสหพัฒน์เป็นทรัพยากรภายใน แยก T5 ออกจากช่องว่างเทคโนโลยีภายใน และให้คะแนนใหม่ EFAS เท่ากับ 2.33 IFAS เท่ากับ 2.64 และ SFAS เท่ากับ 2.48 คะแนนเหล่านี้ไม่ใช่กฎกลไกที่สั่งให้เลือกกลยุทธ์ใด แต่เมื่ออ่านร่วมกับผลขาดทุนของธุรกิจหลัก Five Forces และช่องว่างคู่แข่ง ยืนยันความจำเป็นของการปรับตำแหน่งเชิงกลยุทธ์ เมทริกซ์ทางเลือกที่คำนวณใหม่ให้ C = 3.90, B = 2.70 และ A = 2.15 และ C ยังนำทุกกรณีทดสอบความไว</w:t>
      </w:r>
    </w:p>
    <w:p>
      <w:pPr>
        <w:keepNext w:val="false"/>
        <w:spacing w:after="50" w:line="240"/>
        <w:ind w:firstLine="480"/>
        <w:jc w:val="both"/>
      </w:pPr>
      <w:r>
        <w:rPr>
          <w:rFonts w:ascii="TH Sarabun New" w:hAnsi="TH Sarabun New" w:eastAsia="TH Sarabun New"/>
          <w:sz w:val="32"/>
        </w:rPr>
        <w:t>กลยุทธ์ที่เลือกยังคงเป็นการฟื้นฟูกิจการแบบมุ่งเน้นควบคู่การเติบโตแบบมุ่งเน้น (Focused Turnaround + Concentrated Growth) ในเครื่องแบบ ชุดทำงาน ชุดทางการแพทย์ และงาน ODM มูลค่าสูงที่คัดเลือก โดยใช้การสร้างความแตกต่างแบบมุ่งเน้น (Focused Differentiation) แผนห้ามแข่งขันปริมาณใน commodity OEM ห้ามขยายกำลังผลิตโดยไม่มีอุปสงค์ผูกพันและกรณีทางธุรกิจ ห้ามเปลี่ยนเป็นแบรนด์ผู้บริโภคเต็มรูปแบบระหว่างแผน และห้ามรับงานที่ไม่ผ่านเกณฑ์กำไรส่วนเพิ่ม</w:t>
      </w:r>
    </w:p>
    <w:p>
      <w:pPr>
        <w:keepNext w:val="false"/>
        <w:spacing w:after="50" w:line="240"/>
        <w:ind w:firstLine="480"/>
        <w:jc w:val="both"/>
      </w:pPr>
      <w:r>
        <w:rPr>
          <w:rFonts w:ascii="TH Sarabun New" w:hAnsi="TH Sarabun New" w:eastAsia="TH Sarabun New"/>
          <w:sz w:val="32"/>
        </w:rPr>
        <w:t>แผน 2570–2574 มีช่วงเตรียมความพร้อมตั้งแต่ปลาย 2569 และใช้ Gate 0–4 ตามลำดับ วิเคราะห์กำไร พิสูจน์สินค้าและตลาด ขยายเชิงพาณิชย์ ลงทุนอัตโนมัติแบบเลือกเฉพาะ และขยายส่งออกแบบเลือกเฉพาะ งบประมาณรวมยังอยู่ที่ 102.5–174.0 ล้านบาท โดย P8 เท่ากับ 45–75 ล้านบาทตลอดสามปี หรือเฉลี่ย 15–25 ล้านบาทต่อปี ผลเป้าหมายปี 2574 คือยอดขายประมาณ 810 ล้านบาท อัตรากำไรขั้นต้นร้อยละ 27.5 ค่าใช้จ่ายขายและบริหารร้อยละ 20.0 ผลจากธุรกิจหลักประมาณร้อยละ 7.5 และระยะเวลาสินค้าคงเหลือตามสูตรแบบจำลองประมาณ 110 วัน อัตราเติบโตเฉลี่ยโดยนัยร้อยละ 4.98 อยู่ในช่วงเดียวกับกรอบการเติบโตร้อยละ 4–5 ต่อปีที่บริษัทเคยประกาศ แต่ไม่ใช่การอ้างว่าเป้าหมายปี 2574 เป็นเป้าหมายที่บริษัทประกาศโดยตรง</w:t>
      </w:r>
    </w:p>
    <w:p>
      <w:pPr>
        <w:keepNext w:val="false"/>
        <w:spacing w:after="50" w:line="240"/>
        <w:ind w:firstLine="480"/>
        <w:jc w:val="both"/>
      </w:pPr>
      <w:r>
        <w:rPr>
          <w:rFonts w:ascii="TH Sarabun New" w:hAnsi="TH Sarabun New" w:eastAsia="TH Sarabun New"/>
          <w:sz w:val="32"/>
        </w:rPr>
        <w:t>ข้อจำกัดสำคัญคือไม่พบข้อมูลสาธารณะเพียงพอเกี่ยวกับกำไรแยกตามกลุ่มผลิตภัณฑ์ ลูกค้า และช่องทาง จึงกำหนด P1 ให้พิสูจน์กำไรครอบคลุมยอดขายอย่างน้อยร้อยละ 95 ภายใน 90 วันเป็น Gate 0 ก่อนอนุมัติการขยายเชิงพาณิชย์หรือ P8 ฉากทัศน์งบการเงินในบทที่ 6 เป็น “Management Target Scenario – not company guidance” และทุกยอดที่ไม่มีหลักฐานสาธารณะระบุเป็นสมมติฐานเชิงวางแผนของผู้จัดทำ</w:t>
      </w:r>
    </w:p>
    <w:p>
      <w:pPr>
        <w:pStyle w:val="Heading1"/>
        <w:keepNext/>
        <w:spacing w:after="80" w:before="180"/>
      </w:pPr>
      <w:r>
        <w:rPr>
          <w:rFonts w:ascii="TH Sarabun New" w:cs="TH Sarabun New" w:eastAsia="TH Sarabun New" w:hAnsi="TH Sarabun New"/>
          <w:b/>
          <w:bCs/>
          <w:i w:val="false"/>
          <w:iCs w:val="false"/>
          <w:sz w:val="36"/>
          <w:szCs w:val="36"/>
        </w:rPr>
        <w:t xml:space="preserve">2. สถานการณ์ปัจจุบัน</w:t>
      </w:r>
    </w:p>
    <w:p>
      <w:pPr>
        <w:pStyle w:val="Heading2"/>
        <w:keepNext/>
        <w:spacing w:after="60" w:before="140"/>
      </w:pPr>
      <w:r>
        <w:rPr>
          <w:rFonts w:ascii="TH Sarabun New" w:cs="TH Sarabun New" w:eastAsia="TH Sarabun New" w:hAnsi="TH Sarabun New"/>
          <w:b/>
          <w:bCs/>
          <w:i w:val="false"/>
          <w:iCs w:val="false"/>
          <w:sz w:val="32"/>
          <w:szCs w:val="32"/>
        </w:rPr>
        <w:t xml:space="preserve">2.1 ประวัติองค์กร</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PG ก่อตั้งเมื่อวันที่ 30 มกราคม 2523 เริ่มจากการผลิตเสื้อผ้าสำเร็จรูปก่อนขยายสู่ผ้าถัก จดทะเบียนในตลาดหลักทรัพย์ฯ เมื่อวันที่ 29 กันยายน 2531 และแปรสภาพเป็นบริษัทมหาชนปี 2537 ปัจจุบันมีทุนจดทะเบียนและชำระแล้ว 96 ล้านบาท (หุ้นสามัญ 96,000,000 หุ้น มูลค่าที่ตราไว้หุ้นละ 1 บาท) ไม่มีบริษัทย่อยหรือบริษัทร่วม สำนักงานใหญ่อยู่ถนนพระราม 3 กรุงเทพมหานคร โรงงานลำพูนผลิตเสื้อผ้าสำเร็จรูปและชุดว่ายน้ำ โรงงานกบินทร์บุรีในสวนอุตสาหกรรมสหพัฒน์ผลิตผ้าถักและเสื้อผ้าสำเร็จรูป ทำให้บริษัทเป็นผู้ผลิตเสื้อผ้าถักครบวงจรตั้งแต่ออกแบบ ถักผ้า จนถึงตัดเย็บ ณ สิ้นปี 2568 มีพนักงาน 715 คน</w:t>
      </w:r>
    </w:p>
    <w:p>
      <w:pPr>
        <w:keepNext w:val="false"/>
        <w:spacing w:after="50" w:line="240"/>
        <w:ind w:firstLine="480"/>
        <w:jc w:val="both"/>
      </w:pPr>
      <w:r>
        <w:rPr>
          <w:rFonts w:ascii="TH Sarabun New" w:hAnsi="TH Sarabun New" w:eastAsia="TH Sarabun New"/>
          <w:sz w:val="32"/>
        </w:rPr>
        <w:t>การเปลี่ยนแปลงสำคัญคือโครงสร้างผู้ถือหุ้น โดย SPI เป็นผู้ถือหุ้นใหญ่และถือหุ้น 45,117,830 หุ้น คิดเป็นร้อยละ 46.998 ตามทะเบียนผู้ถือหุ้น ณ 13 พฤษภาคม 2569 [23] ความสัมพันธ์กับ SPI และเครือสหพัฒน์ เป็นความสัมพันธ์ด้านเจ้าของ การกำกับดูแล ทรัพยากร และเครือข่ายขององค์กร จึงประเมินเป็นปัจจัยภายในและ Strategic Enabler ไม่ใช่โอกาสภายนอกใน EFAS</w:t>
      </w:r>
    </w:p>
    <w:p>
      <w:pPr>
        <w:pStyle w:val="Heading2"/>
        <w:keepNext/>
        <w:spacing w:after="60" w:before="140"/>
      </w:pPr>
      <w:r>
        <w:rPr>
          <w:rFonts w:ascii="TH Sarabun New" w:cs="TH Sarabun New" w:eastAsia="TH Sarabun New" w:hAnsi="TH Sarabun New"/>
          <w:b/>
          <w:bCs/>
          <w:i w:val="false"/>
          <w:iCs w:val="false"/>
          <w:sz w:val="32"/>
          <w:szCs w:val="32"/>
        </w:rPr>
        <w:t xml:space="preserve">2.2 โครงสร้างองค์กร</w:t>
      </w:r>
    </w:p>
    <w:p>
      <w:pPr>
        <w:keepNext w:val="false"/>
        <w:spacing w:after="50" w:line="240"/>
        <w:ind w:firstLine="480"/>
        <w:jc w:val="both"/>
      </w:pPr>
      <w:r>
        <w:rPr>
          <w:rFonts w:ascii="TH Sarabun New" w:hAnsi="TH Sarabun New" w:eastAsia="TH Sarabun New"/>
          <w:sz w:val="32"/>
        </w:rPr>
        <w:t>โครงสร้างการกำกับดูแลที่เปิดเผยใน One Report ปี 2568 ใช้คณะกรรมการบริษัทเป็นองค์กรสูงสุดและมีคณะกรรมการชุดย่อย สำหรับงานตรวจสอบ สรรหาและค่าตอบแทน ความเสี่ยง กำกับดูแลกิจการ/ความยั่งยืน และบริหาร [1] รายชื่อกรรมการปัจจุบันอัปเดตตามมติวันที่ 12 พฤษภาคม 2569 ในหัวข้อ 2.3 [22] ส่วนสายปฏิบัติการจัดตามหน้าที่และหน่วยผลิต ได้แก่ สำนักงานใหญ่ โรงงานลำพูน และโรงงานกบินทร์บุรี</w:t>
      </w:r>
    </w:p>
    <w:p>
      <w:pPr>
        <w:keepNext w:val="false"/>
        <w:spacing w:after="50" w:line="240"/>
        <w:ind w:firstLine="480"/>
        <w:jc w:val="both"/>
      </w:pPr>
      <w:r>
        <w:rPr>
          <w:rFonts w:ascii="TH Sarabun New" w:hAnsi="TH Sarabun New" w:eastAsia="TH Sarabun New"/>
          <w:sz w:val="32"/>
        </w:rPr>
        <w:t>ข้อสังเกตเชิงกลยุทธ์: จากผังองค์กรและข้อมูลสาธารณะที่ตรวจสอบ ไม่พบหลักฐานเพียงพอว่ามีหน่วยธุรกิจที่รับผิดชอบกำไรขาดทุน แยกตามกลุ่มลูกค้าหรือผลิตภัณฑ์ เมื่ออ่านร่วมกับผลขาดทุนของธุรกิจหลัก จึงเสนอให้ P1 ยืนยันโครงสร้างผู้รับผิดชอบและจัดตั้ง accountable P&amp;L ตามสนามที่เลือกในบทที่ 5 ข้อความนี้เป็นข้ออนุมานจากข้อมูลสาธารณะ ไม่ใช่ข้อเท็จจริงภายในที่บริษัทรับรอง</w:t>
      </w:r>
    </w:p>
    <w:p>
      <w:pPr>
        <w:pStyle w:val="Heading2"/>
        <w:keepNext/>
        <w:spacing w:after="60" w:before="140"/>
      </w:pPr>
      <w:r>
        <w:rPr>
          <w:rFonts w:ascii="TH Sarabun New" w:hAnsi="TH Sarabun New" w:eastAsia="TH Sarabun New"/>
          <w:b/>
          <w:color w:val="2F5597"/>
          <w:sz w:val="32"/>
        </w:rPr>
        <w:t>2.3 คณะกรรมการบริษัทปัจจุบัน</w:t>
      </w:r>
    </w:p>
    <w:p>
      <w:pPr>
        <w:keepNext w:val="false"/>
        <w:spacing w:after="50" w:line="240"/>
        <w:ind w:firstLine="480"/>
        <w:jc w:val="both"/>
      </w:pPr>
      <w:r>
        <w:rPr>
          <w:rFonts w:ascii="TH Sarabun New" w:hAnsi="TH Sarabun New" w:eastAsia="TH Sarabun New"/>
          <w:sz w:val="32"/>
        </w:rPr>
        <w:t>ตามมติคณะกรรมการบริษัทวันที่ 12 พฤษภาคม 2569 คณะกรรมการบริษัทปัจจุบันมี 10 คน และเป็นกรรมการอิสระ 4 คน (ร้อยละ 40) ได้แก่ (1) Chailert Manoonpol – Chairman (2) Sunan Niyomnaitham (3) Somporn Tiyaviboonsiri (4) Dusadee Soontrontumrong (5) Duangrudee Milintanggul (6) Suthida Jongjenkit (7) General Konecharnart Chunnabhata – Independent Director (8) Nuchanart Thammanomai – Independent Director (9) Vittawat Panpanich – Independent Director และ (10) Thanapat Wongwaitanasakul – Independent Director [22]</w:t>
      </w:r>
    </w:p>
    <w:p>
      <w:pPr>
        <w:keepNext w:val="false"/>
        <w:spacing w:after="50" w:line="240"/>
        <w:ind w:firstLine="480"/>
        <w:jc w:val="both"/>
      </w:pPr>
      <w:r>
        <w:rPr>
          <w:rFonts w:ascii="TH Sarabun New" w:hAnsi="TH Sarabun New" w:eastAsia="TH Sarabun New"/>
          <w:sz w:val="32"/>
        </w:rPr>
        <w:t>การเปลี่ยนแปลงกรรมการในปี 2568 ภายหลัง SPI เข้าถือหุ้นเป็นเหตุการณ์ทางธรรมาภิบาลในอดีตและยังใช้ตีความทิศทางได้ แต่ไม่ควรนำรายชื่อหรือจำนวนกรรมการปี 2568 มาแทนสถานะปัจจุบัน ณ 12 พฤษภาคม 2569 เชิงกลยุทธ์ คณะกรรมการชุดปัจจุบันควรกำกับ Gate 0–4 การจัดสรรทุน และความเสี่ยงจากรายการหรือช่องทางในเครือโดยแยกบทบาทให้ชัดเจน</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หมายเหตุการตรวจสอบข้อเท็จจริง</w:t>
      </w:r>
      <w:r>
        <w:rPr>
          <w:rFonts w:ascii="TH Sarabun New" w:cs="TH Sarabun New" w:eastAsia="TH Sarabun New" w:hAnsi="TH Sarabun New"/>
          <w:b w:val="false"/>
          <w:bCs w:val="false"/>
          <w:i w:val="false"/>
          <w:iCs w:val="false"/>
          <w:sz w:val="32"/>
          <w:szCs w:val="32"/>
        </w:rPr>
        <w:t xml:space="preserve"> ร่างฉบับก่อนระบุว่าบริษัทเปลี่ยนชื่อเป็น “พีเพิลการ์เมนท์” ซึ่งไม่ถูกต้อง ชื่อภาษาไทยยังคงเป็น “ประชาอาภรณ์” และรายชื่อแบรนด์ที่ได้รับสิทธิหลายแบรนด์กับผลประเมิน IOD ระดับ Top Quartile ปีที่ 3 ไม่พบการยืนยันใน One Report ปี 2568 [1]</w:t>
      </w:r>
    </w:p>
    <w:p>
      <w:pPr>
        <w:pStyle w:val="Heading2"/>
        <w:keepNext/>
        <w:spacing w:after="60" w:before="140"/>
      </w:pPr>
      <w:r>
        <w:rPr>
          <w:rFonts w:ascii="TH Sarabun New" w:cs="TH Sarabun New" w:eastAsia="TH Sarabun New" w:hAnsi="TH Sarabun New"/>
          <w:b/>
          <w:bCs/>
          <w:i w:val="false"/>
          <w:iCs w:val="false"/>
          <w:sz w:val="32"/>
          <w:szCs w:val="32"/>
        </w:rPr>
        <w:t xml:space="preserve">2.4 วิสัยทัศน์ พันธกิจ วัตถุประสงค์</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วิสัยทัศน์</w:t>
      </w:r>
      <w:r>
        <w:rPr>
          <w:rFonts w:ascii="TH Sarabun New" w:cs="TH Sarabun New" w:eastAsia="TH Sarabun New" w:hAnsi="TH Sarabun New"/>
          <w:b w:val="false"/>
          <w:bCs w:val="false"/>
          <w:i w:val="false"/>
          <w:iCs w:val="false"/>
          <w:sz w:val="32"/>
          <w:szCs w:val="32"/>
        </w:rPr>
        <w:t xml:space="preserve"> “มุ่งมั่นเป็นผู้นำในการสร้างสรรค์ผลิตภัณฑ์และบริการที่มีคุณภาพด้วยนวัตกรรมเครื่องนุ่งห่มของประเทศไทย”</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พันธกิจ 7 ข้อ</w:t>
      </w:r>
      <w:r>
        <w:rPr>
          <w:rFonts w:ascii="TH Sarabun New" w:cs="TH Sarabun New" w:eastAsia="TH Sarabun New" w:hAnsi="TH Sarabun New"/>
          <w:b w:val="false"/>
          <w:bCs w:val="false"/>
          <w:i w:val="false"/>
          <w:iCs w:val="false"/>
          <w:sz w:val="32"/>
          <w:szCs w:val="32"/>
        </w:rPr>
        <w:t xml:space="preserve"> ออกแบบและผลิตเสื้อผ้าบุรุษ ชุดกีฬา และชุดว่ายน้ำที่มีคุณภาพ พัฒนาสินค้าและบริการที่มีนวัตกรรม มุ่งเป็น One Stop Service สำหรับผลิตภัณฑ์บุรุษ สร้างการเติบโตทั้งรายได้และกำไร ส่งเสริมพนักงาน สร้างผลตอบแทนแก่ผู้ถือหุ้น และดำเนินธุรกิจด้วยความรับผิดชอบต่อสังคมและสิ่งแวดล้อม </w:t>
      </w:r>
      <w:r>
        <w:rPr>
          <w:rFonts w:ascii="TH Sarabun New" w:cs="TH Sarabun New" w:eastAsia="TH Sarabun New" w:hAnsi="TH Sarabun New"/>
          <w:b/>
          <w:bCs/>
          <w:i w:val="false"/>
          <w:iCs w:val="false"/>
          <w:sz w:val="32"/>
          <w:szCs w:val="32"/>
        </w:rPr>
        <w:t xml:space="preserve">วัตถุประสงค์และเป้าหมายระยะยาว</w:t>
      </w:r>
      <w:r>
        <w:rPr>
          <w:rFonts w:ascii="TH Sarabun New" w:cs="TH Sarabun New" w:eastAsia="TH Sarabun New" w:hAnsi="TH Sarabun New"/>
          <w:b w:val="false"/>
          <w:bCs w:val="false"/>
          <w:i w:val="false"/>
          <w:iCs w:val="false"/>
          <w:sz w:val="32"/>
          <w:szCs w:val="32"/>
        </w:rPr>
        <w:t xml:space="preserve"> อัตราการเติบโตของรายได้เฉลี่ยร้อยละ 4–5 ต่อปีในช่วงปี 2568–2572 พร้อมเป้าหมายลดก๊าซเรือนกระจก ภายใต้ปรัชญา “คนดี สินค้าดี สังคมดี” ของเครือสหพัฒน์</w:t>
      </w:r>
    </w:p>
    <w:p>
      <w:pPr>
        <w:pStyle w:val="Heading2"/>
        <w:keepNext/>
        <w:spacing w:after="60" w:before="140"/>
      </w:pPr>
      <w:r>
        <w:rPr>
          <w:rFonts w:ascii="TH Sarabun New" w:cs="TH Sarabun New" w:eastAsia="TH Sarabun New" w:hAnsi="TH Sarabun New"/>
          <w:b/>
          <w:bCs/>
          <w:i w:val="false"/>
          <w:iCs w:val="false"/>
          <w:sz w:val="32"/>
          <w:szCs w:val="32"/>
        </w:rPr>
        <w:t xml:space="preserve">2.5 กลยุทธ์ปัจจุบัน</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ตามแบบ 56-1 One Report ปี 2568 บริษัทเสนอผลิตภัณฑ์และนวัตกรรมที่หลากหลายขึ้น หาลูกค้าใหม่ ควบคุมต้นทุนโดยรวม และนำระบบกึ่งอัตโนมัติมาใช้ สำหรับปี 2569 กำหนดแนวทางไว้ 5 ข้อ ได้แก่ สร้างอัตลักษณ์แบรนด์ พัฒนาช่องทางโซเชียล เลือกวัสดุที่เป็นมิตรกับสิ่งแวดล้อม สร้างความยืดหยุ่นในการผลิต และพัฒนาเทคโนโลยีการผลิต</w:t>
      </w:r>
    </w:p>
    <w:p>
      <w:pPr>
        <w:keepNext w:val="false"/>
        <w:spacing w:after="50" w:line="240"/>
        <w:ind w:firstLine="480"/>
        <w:jc w:val="both"/>
      </w:pPr>
      <w:r>
        <w:rPr>
          <w:rFonts w:ascii="TH Sarabun New" w:hAnsi="TH Sarabun New" w:eastAsia="TH Sarabun New"/>
          <w:sz w:val="32"/>
        </w:rPr>
        <w:t>การประเมิน: เป้าหมายระยะยาวที่เปิดเผยเป็นเป้าหมายด้านรายได้ และจากเอกสารสาธารณะที่ตรวจสอบไม่พบเป้าหมายเชิงปริมาณ สำหรับผลของธุรกิจหลักกำกับ ทั้งที่ผลจากธุรกิจหลักโดยประมาณติดลบ แนวทางทั้งห้าข้อเป็นกิจกรรมที่ยังไม่ระบุชัดว่าจะชนะหรือเลิกแข่งในสนามใด ปี 2568 ยอดขาย PG ลดร้อยละ 21.80 และ core proxy ติดลบมากที่สุดในรอบสามปี ขณะที่การส่งออกเสื้อผ้าสำเร็จรูปไทยขยายตัวร้อยละ 5.61 จึงมีหลักฐานว่าผลถดถอยไม่ได้มาจากภาวะอุตสาหกรรมเพียงอย่างเดียว [1][3][8]</w:t>
      </w:r>
    </w:p>
    <w:p>
      <w:pPr>
        <w:pStyle w:val="Heading2"/>
        <w:keepNext/>
        <w:spacing w:after="60" w:before="140"/>
      </w:pPr>
      <w:r>
        <w:rPr>
          <w:rFonts w:ascii="TH Sarabun New" w:cs="TH Sarabun New" w:eastAsia="TH Sarabun New" w:hAnsi="TH Sarabun New"/>
          <w:b/>
          <w:bCs/>
          <w:i w:val="false"/>
          <w:iCs w:val="false"/>
          <w:sz w:val="32"/>
          <w:szCs w:val="32"/>
        </w:rPr>
        <w:t xml:space="preserve">2.6 ผลประกอบการที่ผ่านมา</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ข้อมูลในหัวข้อนี้เป็นงบการเงินเฉพาะของ PG เนื่องจากไม่มีบริษัทย่อย ตัวเลขระดับพันล้านบาทในร่างฉบับก่อนไม่ใช่ตัวเลขของ PG และถูกนำออกทั้งหมด</w:t>
      </w:r>
    </w:p>
    <w:p>
      <w:pPr>
        <w:keepNext/>
        <w:spacing w:after="50" w:before="130"/>
        <w:jc w:val="left"/>
      </w:pPr>
      <w:r>
        <w:rPr>
          <w:rFonts w:ascii="TH Sarabun New" w:cs="TH Sarabun New" w:eastAsia="TH Sarabun New" w:hAnsi="TH Sarabun New"/>
          <w:b/>
          <w:bCs/>
          <w:i w:val="false"/>
          <w:iCs w:val="false"/>
          <w:sz w:val="28"/>
          <w:szCs w:val="28"/>
        </w:rPr>
        <w:t xml:space="preserve">ตารางที่ 1  ผลการดำเนินงานและฐานะการเงินของ PG ปี 2566–2568 (หน่วย: ล้านบาท)</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2429"/>
        <w:gridCol w:w="1771"/>
        <w:gridCol w:w="1771"/>
        <w:gridCol w:w="1771"/>
        <w:gridCol w:w="1726"/>
      </w:tblGrid>
      <w:tr>
        <w:trPr>
          <w:tblHeader/>
        </w:trPr>
        <w:tc>
          <w:tcPr>
            <w:tcW w:type="dxa" w:w="242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รายการ</w:t>
            </w:r>
          </w:p>
        </w:tc>
        <w:tc>
          <w:tcPr>
            <w:tcW w:type="dxa" w:w="177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2566</w:t>
            </w:r>
          </w:p>
        </w:tc>
        <w:tc>
          <w:tcPr>
            <w:tcW w:type="dxa" w:w="177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2567</w:t>
            </w:r>
          </w:p>
        </w:tc>
        <w:tc>
          <w:tcPr>
            <w:tcW w:type="dxa" w:w="177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2568</w:t>
            </w:r>
          </w:p>
        </w:tc>
        <w:tc>
          <w:tcPr>
            <w:tcW w:type="dxa" w:w="1726"/>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ประเภทข้อมูล</w:t>
            </w:r>
          </w:p>
        </w:tc>
      </w:tr>
      <w:tr>
        <w:trP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ยอดขายในประเทศ</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527.64</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511.09</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432.66</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rP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ยอดขายต่างประเทศ</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175.86</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262.84</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172.54</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rPr/>
        <w:tc>
          <w:tcPr>
            <w:tcW w:type="dxa" w:w="2429"/>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ยอดขายรวม</w:t>
            </w:r>
          </w:p>
        </w:tc>
        <w:tc>
          <w:tcPr>
            <w:tcW w:type="dxa" w:w="1771"/>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703.52</w:t>
            </w:r>
          </w:p>
        </w:tc>
        <w:tc>
          <w:tcPr>
            <w:tcW w:type="dxa" w:w="1771"/>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773.93</w:t>
            </w:r>
          </w:p>
        </w:tc>
        <w:tc>
          <w:tcPr>
            <w:tcW w:type="dxa" w:w="1771"/>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605.20</w:t>
            </w:r>
          </w:p>
        </w:tc>
        <w:tc>
          <w:tcPr>
            <w:tcW w:type="dxa" w:w="1726"/>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ข้อเท็จจริง</w:t>
            </w:r>
          </w:p>
        </w:tc>
      </w:tr>
      <w:tr>
        <w:trP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อัตราการเติบโตของยอดขาย (%)</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2.38</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10.01</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(21.80)</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rP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กำไรขั้นต้น</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151.74</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182.35</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129.52</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rP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อัตรากำไรขั้นต้น (%)</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21.57</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23.56</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21.40</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rP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ค่าใช้จ่ายขายและบริหาร</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179.71</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206.46</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178.08</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rP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ค่าใช้จ่ายขายและบริหาร/ยอดขาย (%)</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25.54</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26.68</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29.42</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การคำนวณ</w:t>
            </w:r>
          </w:p>
        </w:tc>
      </w:tr>
      <w:tr>
        <w:trPr/>
        <w:tc>
          <w:tcPr>
            <w:tcW w:type="dxa" w:w="2429"/>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ผลจากธุรกิจหลักโดยประมาณ*</w:t>
            </w:r>
          </w:p>
        </w:tc>
        <w:tc>
          <w:tcPr>
            <w:tcW w:type="dxa" w:w="1771"/>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(27.97)</w:t>
            </w:r>
          </w:p>
        </w:tc>
        <w:tc>
          <w:tcPr>
            <w:tcW w:type="dxa" w:w="1771"/>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(24.11)</w:t>
            </w:r>
          </w:p>
        </w:tc>
        <w:tc>
          <w:tcPr>
            <w:tcW w:type="dxa" w:w="1771"/>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(48.56)</w:t>
            </w:r>
          </w:p>
        </w:tc>
        <w:tc>
          <w:tcPr>
            <w:tcW w:type="dxa" w:w="1726"/>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การคำนวณ</w:t>
            </w:r>
          </w:p>
        </w:tc>
      </w:tr>
      <w:tr>
        <w:trPr/>
        <w:tc>
          <w:tcPr>
            <w:tcW w:type="dxa" w:w="2429"/>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อัตราผลจากธุรกิจหลัก (%)</w:t>
            </w:r>
          </w:p>
        </w:tc>
        <w:tc>
          <w:tcPr>
            <w:tcW w:type="dxa" w:w="1771"/>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(3.98)</w:t>
            </w:r>
          </w:p>
        </w:tc>
        <w:tc>
          <w:tcPr>
            <w:tcW w:type="dxa" w:w="1771"/>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(3.12)</w:t>
            </w:r>
          </w:p>
        </w:tc>
        <w:tc>
          <w:tcPr>
            <w:tcW w:type="dxa" w:w="1771"/>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(8.02)</w:t>
            </w:r>
          </w:p>
        </w:tc>
        <w:tc>
          <w:tcPr>
            <w:tcW w:type="dxa" w:w="1726"/>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การคำนวณ</w:t>
            </w:r>
          </w:p>
        </w:tc>
      </w:tr>
      <w:tr>
        <w:trP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รายได้อื่น</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64.64</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64.10</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62.14</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rP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กำไร/(ขาดทุน) จากการตีมูลค่าเงินลงทุน</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(9.86)</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(46.21)</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(19.50)</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rP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กำไร/(ขาดทุน) สุทธิ</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25.99</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1.96</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(5.56)</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rP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สินทรัพย์รวม / หนี้สินรวม / ส่วนของผู้ถือหุ้น</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1,713.80 / 219.05 / 1,494.75</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1,576.57 / 158.34 / 1,418.23</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1,511.37 / 145.83 / 1,365.54</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rP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อัตราส่วนสภาพคล่อง (เท่า) / D/E (เท่า)</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8.26 / 0.15</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10.87 / 0.11</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10.71 / 0.11</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rPr/>
        <w:tc>
          <w:tcPr>
            <w:tcW w:type="dxa" w:w="2429"/>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21"/>
              </w:rPr>
              <w:t>ระยะเวลาขายสินค้าคงเหลือ/วงจรเงินสดที่บริษัทเปิดเผย (วัน)</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157.26 / 174.58</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148.11 / 166.93</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183.70 / 212.39</w:t>
            </w:r>
          </w:p>
        </w:tc>
        <w:tc>
          <w:tcPr>
            <w:tcW w:type="dxa" w:w="1726"/>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21"/>
              </w:rPr>
              <w:t>ข้อเท็จจริง (วิธีคำนวณของบริษัท)</w:t>
            </w:r>
          </w:p>
        </w:tc>
      </w:tr>
      <w:tr>
        <w:trP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ผลตอบแทนต่อส่วนของผู้ถือหุ้น (%)</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1.76</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0.13</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(0.40)</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bl>
    <w:p>
      <w:pPr>
        <w:spacing w:after="110" w:line="228"/>
        <w:jc w:val="left"/>
      </w:pPr>
      <w:r>
        <w:rPr>
          <w:rFonts w:ascii="TH Sarabun New" w:hAnsi="TH Sarabun New" w:eastAsia="TH Sarabun New"/>
          <w:i/>
          <w:color w:val="666666"/>
          <w:sz w:val="20"/>
        </w:rPr>
        <w:t>ที่มา: PG One Report/งบการเงิน/คำชี้แจงปี 2568 [1][2][3]; แถวคำนวณระบุในหมายเหตุ</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ข้อวินิจฉัยหลัก</w:t>
      </w:r>
      <w:r>
        <w:rPr>
          <w:rFonts w:ascii="TH Sarabun New" w:cs="TH Sarabun New" w:eastAsia="TH Sarabun New" w:hAnsi="TH Sarabun New"/>
          <w:b w:val="false"/>
          <w:bCs w:val="false"/>
          <w:i w:val="false"/>
          <w:iCs w:val="false"/>
          <w:sz w:val="32"/>
          <w:szCs w:val="32"/>
        </w:rPr>
        <w:t xml:space="preserve"> ตารางที่ 1 แสดงสิ่งที่บรรทัดกำไรสุทธิปกปิดไว้ คือธุรกิจผลิตและขายเสื้อผ้าสร้างกำไรขั้นต้นไม่พอครอบคลุมค่าใช้จ่ายขายและบริหารมาอย่างน้อยสามปี แม้ปี 2566 ที่รายงานกำไรสุทธิ 25.99 ล้านบาท ผลจากธุรกิจหลักก็ยังติดลบ 27.97 ล้านบาท เพราะกำไรมาจากรายได้อื่น 64.64 ล้านบาทซึ่งส่วนใหญ่เป็นเงินปันผล คำอธิบายที่ถูกต้องคือ “บริษัทมีกำไรจากสถานะการลงทุน แต่ขาดทุนจากธุรกิจที่เป็นพันธกิจหลัก” ปี 2568 รุนแรงขึ้นด้วยกลไกสองชั้น คือยอดขายลด 168.73 ล้านบาททำให้กำไรขั้นต้นหาย 52.83 ล้านบาท ขณะที่ค่าใช้จ่ายลดเพียง 28.38 ล้านบาท สะท้อนโครงสร้างค่าใช้จ่ายคงที่สูงที่ปรับตามปริมาณขายได้ช้า</w:t>
      </w:r>
    </w:p>
    <w:p>
      <w:pPr>
        <w:spacing w:after="60" w:before="60" w:line="240" w:lineRule="auto"/>
        <w:jc w:val="center"/>
      </w:pPr>
      <w:r>
        <w:drawing>
          <wp:inline distT="0" distB="0" distL="0" distR="0">
            <wp:extent cx="50482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1895475"/>
                    </a:xfrm>
                    <a:prstGeom prst="rect">
                      <a:avLst/>
                    </a:prstGeom>
                  </pic:spPr>
                </pic:pic>
              </a:graphicData>
            </a:graphic>
          </wp:inline>
        </w:drawing>
      </w:r>
    </w:p>
    <w:p>
      <w:pPr>
        <w:spacing w:after="110" w:line="228"/>
        <w:jc w:val="left"/>
      </w:pPr>
      <w:r>
        <w:rPr>
          <w:rFonts w:ascii="TH Sarabun New" w:cs="TH Sarabun New" w:eastAsia="TH Sarabun New" w:hAnsi="TH Sarabun New"/>
          <w:b w:val="false"/>
          <w:bCs w:val="false"/>
          <w:i w:val="false"/>
          <w:iCs w:val="false"/>
          <w:sz w:val="26"/>
          <w:szCs w:val="26"/>
        </w:rPr>
        <w:t xml:space="preserve">รูปที่ 1  โครงสร้างผลการดำเนินงานของธุรกิจหลัก ปี 2566–2568  ที่มา: คำนวณจาก [1][2][3]</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ยอดขายในประเทศลดลงร้อยละ 15.35 ซึ่งบริษัทระบุสาเหตุว่ามาจากการเปลี่ยนนโยบายจัดซื้อของลูกค้าหลัก แสดงว่าความเสี่ยงจากการกระจุกตัวเกิดขึ้นจริงแล้ว ส่วนยอดส่งออกลดลงร้อยละ 34.36 ในปีที่การส่งออกเครื่องนุ่งห่มไทยโดยรวมขยายตัว ด้านการผลิต กำลังการผลิตรวมลดจาก 3,972,000 ชิ้นในปี 2566 เหลือ 2,712,000 ชิ้นในปี 2567–2568 (ลดลงร้อยละ 31.7) ผลิตจริง 2,269,318 ชิ้น อัตราการใช้กำลังการผลิตร้อยละ 83.68 ซึ่งยังสูงเพราะตัวหารถูกลดลงพร้อมตัวตั้ง ไม่ใช่เพราะคำสั่งซื้อฟื้นตัว ตัวเลขนี้จึงไม่ควรใช้สนับสนุนการลงทุนขยายกำลังการผลิต</w:t>
      </w:r>
    </w:p>
    <w:p>
      <w:pPr>
        <w:keepNext/>
        <w:spacing w:after="50" w:before="130"/>
        <w:jc w:val="left"/>
      </w:pPr>
      <w:r>
        <w:rPr>
          <w:rFonts w:ascii="TH Sarabun New" w:cs="TH Sarabun New" w:eastAsia="TH Sarabun New" w:hAnsi="TH Sarabun New"/>
          <w:b/>
          <w:bCs/>
          <w:i w:val="false"/>
          <w:iCs w:val="false"/>
          <w:sz w:val="28"/>
          <w:szCs w:val="28"/>
        </w:rPr>
        <w:t xml:space="preserve">ตารางที่ 2  โครงสร้างสินทรัพย์ของ PG ณ วันที่ 31 ธันวาคม 2568</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3441"/>
        <w:gridCol w:w="1518"/>
        <w:gridCol w:w="1923"/>
        <w:gridCol w:w="2586"/>
      </w:tblGrid>
      <w:tr>
        <w:trPr>
          <w:tblHeader/>
        </w:trPr>
        <w:tc>
          <w:tcPr>
            <w:tcW w:type="dxa" w:w="344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รายการสินทรัพย์</w:t>
            </w:r>
          </w:p>
        </w:tc>
        <w:tc>
          <w:tcPr>
            <w:tcW w:type="dxa" w:w="1518"/>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ล้านบาท</w:t>
            </w:r>
          </w:p>
        </w:tc>
        <w:tc>
          <w:tcPr>
            <w:tcW w:type="dxa" w:w="1923"/>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 ของสินทรัพย์รวม</w:t>
            </w:r>
          </w:p>
        </w:tc>
        <w:tc>
          <w:tcPr>
            <w:tcW w:type="dxa" w:w="2586"/>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ลักษณะ</w:t>
            </w:r>
          </w:p>
        </w:tc>
      </w:tr>
      <w:tr>
        <w:trPr/>
        <w:tc>
          <w:tcPr>
            <w:tcW w:type="dxa" w:w="34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สินทรัพย์ทางการเงิน (เงินสด 8.73 + หมุนเวียนอื่น 197.45 + ไม่หมุนเวียนครบกำหนดใน 1 ปี 40.00 + ไม่หมุนเวียนอื่น 627.51)</w:t>
            </w:r>
          </w:p>
        </w:tc>
        <w:tc>
          <w:tcPr>
            <w:tcW w:type="dxa" w:w="151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873.69</w:t>
            </w:r>
          </w:p>
        </w:tc>
        <w:tc>
          <w:tcPr>
            <w:tcW w:type="dxa" w:w="192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57.81</w:t>
            </w:r>
          </w:p>
        </w:tc>
        <w:tc>
          <w:tcPr>
            <w:tcW w:type="dxa" w:w="25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สินทรัพย์ทางการเงิน</w:t>
            </w:r>
          </w:p>
        </w:tc>
      </w:tr>
      <w:tr>
        <w:trPr/>
        <w:tc>
          <w:tcPr>
            <w:tcW w:type="dxa" w:w="34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สินค้าคงเหลือ</w:t>
            </w:r>
          </w:p>
        </w:tc>
        <w:tc>
          <w:tcPr>
            <w:tcW w:type="dxa" w:w="151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337.11</w:t>
            </w:r>
          </w:p>
        </w:tc>
        <w:tc>
          <w:tcPr>
            <w:tcW w:type="dxa" w:w="192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22.30</w:t>
            </w:r>
          </w:p>
        </w:tc>
        <w:tc>
          <w:tcPr>
            <w:tcW w:type="dxa" w:w="25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เงินทุนหมุนเวียน</w:t>
            </w:r>
          </w:p>
        </w:tc>
      </w:tr>
      <w:tr>
        <w:trPr/>
        <w:tc>
          <w:tcPr>
            <w:tcW w:type="dxa" w:w="34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ลูกหนี้การค้าและลูกหนี้อื่น</w:t>
            </w:r>
          </w:p>
        </w:tc>
        <w:tc>
          <w:tcPr>
            <w:tcW w:type="dxa" w:w="151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95.88</w:t>
            </w:r>
          </w:p>
        </w:tc>
        <w:tc>
          <w:tcPr>
            <w:tcW w:type="dxa" w:w="192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6.34</w:t>
            </w:r>
          </w:p>
        </w:tc>
        <w:tc>
          <w:tcPr>
            <w:tcW w:type="dxa" w:w="25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เงินทุนหมุนเวียน</w:t>
            </w:r>
          </w:p>
        </w:tc>
      </w:tr>
      <w:tr>
        <w:trPr/>
        <w:tc>
          <w:tcPr>
            <w:tcW w:type="dxa" w:w="34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ที่ดิน อาคาร และอุปกรณ์</w:t>
            </w:r>
          </w:p>
        </w:tc>
        <w:tc>
          <w:tcPr>
            <w:tcW w:type="dxa" w:w="151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165.18</w:t>
            </w:r>
          </w:p>
        </w:tc>
        <w:tc>
          <w:tcPr>
            <w:tcW w:type="dxa" w:w="192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10.93</w:t>
            </w:r>
          </w:p>
        </w:tc>
        <w:tc>
          <w:tcPr>
            <w:tcW w:type="dxa" w:w="25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สินทรัพย์ดำเนินงาน</w:t>
            </w:r>
          </w:p>
        </w:tc>
      </w:tr>
      <w:tr>
        <w:trPr/>
        <w:tc>
          <w:tcPr>
            <w:tcW w:type="dxa" w:w="34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สินทรัพย์สิทธิการใช้ และสินทรัพย์อื่น</w:t>
            </w:r>
          </w:p>
        </w:tc>
        <w:tc>
          <w:tcPr>
            <w:tcW w:type="dxa" w:w="151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39.51</w:t>
            </w:r>
          </w:p>
        </w:tc>
        <w:tc>
          <w:tcPr>
            <w:tcW w:type="dxa" w:w="192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2.62</w:t>
            </w:r>
          </w:p>
        </w:tc>
        <w:tc>
          <w:tcPr>
            <w:tcW w:type="dxa" w:w="25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อื่น ๆ</w:t>
            </w:r>
          </w:p>
        </w:tc>
      </w:tr>
      <w:tr>
        <w:trPr/>
        <w:tc>
          <w:tcPr>
            <w:tcW w:type="dxa" w:w="3441"/>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รวมสินทรัพย์</w:t>
            </w:r>
          </w:p>
        </w:tc>
        <w:tc>
          <w:tcPr>
            <w:tcW w:type="dxa" w:w="1518"/>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1,511.37</w:t>
            </w:r>
          </w:p>
        </w:tc>
        <w:tc>
          <w:tcPr>
            <w:tcW w:type="dxa" w:w="1923"/>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100.00</w:t>
            </w:r>
          </w:p>
        </w:tc>
        <w:tc>
          <w:tcPr>
            <w:tcW w:type="dxa" w:w="2586"/>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w:t>
            </w:r>
          </w:p>
        </w:tc>
      </w:tr>
    </w:tbl>
    <w:p>
      <w:pPr>
        <w:spacing w:after="110" w:line="228"/>
        <w:jc w:val="left"/>
      </w:pPr>
      <w:r>
        <w:rPr>
          <w:rFonts w:ascii="TH Sarabun New" w:hAnsi="TH Sarabun New" w:eastAsia="TH Sarabun New"/>
          <w:i/>
          <w:color w:val="666666"/>
          <w:sz w:val="20"/>
        </w:rPr>
        <w:t>ที่มา: PG One Report ปี 2568 [1]; สัดส่วนเป็นการคำนวณของผู้จัดทำ</w:t>
      </w:r>
    </w:p>
    <w:p>
      <w:pPr>
        <w:spacing w:after="60" w:before="60" w:line="240" w:lineRule="auto"/>
        <w:jc w:val="center"/>
      </w:pPr>
      <w:r>
        <w:drawing>
          <wp:inline distT="0" distB="0" distL="0" distR="0">
            <wp:extent cx="4810125"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10125" cy="1628775"/>
                    </a:xfrm>
                    <a:prstGeom prst="rect">
                      <a:avLst/>
                    </a:prstGeom>
                  </pic:spPr>
                </pic:pic>
              </a:graphicData>
            </a:graphic>
          </wp:inline>
        </w:drawing>
      </w:r>
    </w:p>
    <w:p>
      <w:pPr>
        <w:spacing w:after="110" w:line="228"/>
        <w:jc w:val="left"/>
      </w:pPr>
      <w:r>
        <w:rPr>
          <w:rFonts w:ascii="TH Sarabun New" w:cs="TH Sarabun New" w:eastAsia="TH Sarabun New" w:hAnsi="TH Sarabun New"/>
          <w:b w:val="false"/>
          <w:bCs w:val="false"/>
          <w:i w:val="false"/>
          <w:iCs w:val="false"/>
          <w:sz w:val="26"/>
          <w:szCs w:val="26"/>
        </w:rPr>
        <w:t xml:space="preserve">รูปที่ 2  โครงสร้างสินทรัพย์ของ PG ณ 31 ธันวาคม 2568  ที่มา: คำนวณจาก [1]</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สินทรัพย์ทางการเงิน 873.69 ล้านบาทสูงกว่าฐานการผลิตจริง 5.3 เท่า โดยส่วนไม่หมุนเวียน 627.51 ล้านบาทประกอบด้วยเงินลงทุนในตลาดหลักทรัพย์ 228.50 ล้านบาท นอกตลาด 81.82 ล้านบาท และตราสารหนี้ 73.59 ล้านบาท สร้างเงินปันผล 28.40 ล้านบาทในปี 2568 การถือครองเช่นนี้ไม่ผิดในตัวเอง แต่เมื่อธุรกิจหลักขาดทุนเชิงปฏิบัติการ 48.56 ล้านบาทและบริษัทยังจ่ายเงินปันผล 48.0 ล้านบาทในปีที่ขาดทุนสุทธิ ย่อมเกิดคำถามเรื่องการจัดสรรทุนที่ตอบไม่ได้ด้วยการปรับกิจกรรมการตลาด ด้านสินค้าคงเหลือ จาก 337.11 ล้านบาท เป็นสินค้าสำเร็จรูป 237.46 ล้านบาทหรือร้อยละ 70.4 พร้อมค่าเผื่อสินค้าล้าสมัย 15.91 ล้านบาท สัดส่วนที่สูงเช่นนี้ในธุรกิจที่บริษัทเองระบุว่าสินค้าเปลี่ยนเร็ว เป็นสัญญาณของการผลิตเพื่อเก็บสต็อกมากกว่าผลิตตามคำสั่งซื้อ</w:t>
      </w:r>
    </w:p>
    <w:p>
      <w:pPr>
        <w:pStyle w:val="Heading2"/>
        <w:keepNext/>
        <w:spacing w:after="50" w:before="130"/>
        <w:jc w:val="left"/>
      </w:pPr>
      <w:r>
        <w:rPr>
          <w:rFonts w:ascii="TH Sarabun New" w:hAnsi="TH Sarabun New" w:eastAsia="TH Sarabun New"/>
          <w:b/>
          <w:color w:val="2F5597"/>
          <w:sz w:val="32"/>
        </w:rPr>
        <w:t>2.7 ผลการดำเนินงานล่าสุด: งวดหกเดือนแรกปี 2569</w:t>
      </w:r>
    </w:p>
    <w:p>
      <w:r>
        <w:rPr>
          <w:rFonts w:ascii="TH Sarabun New" w:hAnsi="TH Sarabun New" w:eastAsia="TH Sarabun New"/>
          <w:b/>
          <w:sz w:val="28"/>
        </w:rPr>
        <w:t>ตารางที่ 3 ผลการดำเนินงานงวดหกเดือนแรก ปี 2569 เทียบกับปี 2568 (หน่วย: ล้านบาท)</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1620"/>
        <w:gridCol w:w="840"/>
        <w:gridCol w:w="840"/>
        <w:gridCol w:w="1010"/>
        <w:gridCol w:w="1860"/>
        <w:gridCol w:w="840"/>
        <w:gridCol w:w="840"/>
        <w:gridCol w:w="1618"/>
      </w:tblGrid>
      <w:tr>
        <w:trPr>
          <w:tblHeader/>
        </w:trPr>
        <w:tc>
          <w:tcPr>
            <w:tcW w:type="dxa" w:w="162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รายการ</w:t>
            </w:r>
          </w:p>
        </w:tc>
        <w:tc>
          <w:tcPr>
            <w:tcW w:type="dxa" w:w="84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6M/2568</w:t>
            </w:r>
          </w:p>
        </w:tc>
        <w:tc>
          <w:tcPr>
            <w:tcW w:type="dxa" w:w="84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6M/2569</w:t>
            </w:r>
          </w:p>
        </w:tc>
        <w:tc>
          <w:tcPr>
            <w:tcW w:type="dxa" w:w="101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เปลี่ยนแปลง</w:t>
            </w:r>
          </w:p>
        </w:tc>
        <w:tc>
          <w:tcPr>
            <w:tcW w:type="dxa" w:w="186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รายการ</w:t>
            </w:r>
          </w:p>
        </w:tc>
        <w:tc>
          <w:tcPr>
            <w:tcW w:type="dxa" w:w="84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6M/2568</w:t>
            </w:r>
          </w:p>
        </w:tc>
        <w:tc>
          <w:tcPr>
            <w:tcW w:type="dxa" w:w="84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6M/2569</w:t>
            </w:r>
          </w:p>
        </w:tc>
        <w:tc>
          <w:tcPr>
            <w:tcW w:type="dxa" w:w="1618"/>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เปลี่ยนแปลง</w:t>
            </w:r>
          </w:p>
        </w:tc>
      </w:tr>
      <w:tr>
        <w:trPr/>
        <w:tc>
          <w:tcPr>
            <w:tcW w:type="dxa" w:w="162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รายได้จากการขาย</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292.72</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285.05</w:t>
            </w:r>
          </w:p>
        </w:tc>
        <w:tc>
          <w:tcPr>
            <w:tcW w:type="dxa" w:w="101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-2.62%</w:t>
            </w:r>
          </w:p>
        </w:tc>
        <w:tc>
          <w:tcPr>
            <w:tcW w:type="dxa" w:w="186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รายได้อื่น</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32.61</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29.77</w:t>
            </w:r>
          </w:p>
        </w:tc>
        <w:tc>
          <w:tcPr>
            <w:tcW w:type="dxa" w:w="161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-8.70%</w:t>
            </w:r>
          </w:p>
        </w:tc>
      </w:tr>
      <w:tr>
        <w:trPr/>
        <w:tc>
          <w:tcPr>
            <w:tcW w:type="dxa" w:w="162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กำไรขั้นต้น</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59.93</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59.35</w:t>
            </w:r>
          </w:p>
        </w:tc>
        <w:tc>
          <w:tcPr>
            <w:tcW w:type="dxa" w:w="101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-0.97%</w:t>
            </w:r>
          </w:p>
        </w:tc>
        <w:tc>
          <w:tcPr>
            <w:tcW w:type="dxa" w:w="186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กำไร/(ขาดทุน) ตีมูลค่าเงินลงทุน</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(22.67)</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7.36</w:t>
            </w:r>
          </w:p>
        </w:tc>
        <w:tc>
          <w:tcPr>
            <w:tcW w:type="dxa" w:w="161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พลิกเป็นกำไร</w:t>
            </w:r>
          </w:p>
        </w:tc>
      </w:tr>
      <w:tr>
        <w:trPr/>
        <w:tc>
          <w:tcPr>
            <w:tcW w:type="dxa" w:w="162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ค่าใช้จ่ายขายและบริหาร</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92.09</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76.21</w:t>
            </w:r>
          </w:p>
        </w:tc>
        <w:tc>
          <w:tcPr>
            <w:tcW w:type="dxa" w:w="101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-17.24%</w:t>
            </w:r>
          </w:p>
        </w:tc>
        <w:tc>
          <w:tcPr>
            <w:tcW w:type="dxa" w:w="186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กำไร/(ขาดทุน) สุทธิ</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(19.27)</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17.92</w:t>
            </w:r>
          </w:p>
        </w:tc>
        <w:tc>
          <w:tcPr>
            <w:tcW w:type="dxa" w:w="161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+192.97%</w:t>
            </w:r>
          </w:p>
        </w:tc>
      </w:tr>
      <w:tr>
        <w:trPr/>
        <w:tc>
          <w:tcPr>
            <w:tcW w:type="dxa" w:w="1620"/>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ผลจากธุรกิจหลัก</w:t>
            </w:r>
          </w:p>
        </w:tc>
        <w:tc>
          <w:tcPr>
            <w:tcW w:type="dxa" w:w="840"/>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(32.16)</w:t>
            </w:r>
          </w:p>
        </w:tc>
        <w:tc>
          <w:tcPr>
            <w:tcW w:type="dxa" w:w="840"/>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(16.86)</w:t>
            </w:r>
          </w:p>
        </w:tc>
        <w:tc>
          <w:tcPr>
            <w:tcW w:type="dxa" w:w="1010"/>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ขาดทุนลดลง 15.30</w:t>
            </w:r>
          </w:p>
        </w:tc>
        <w:tc>
          <w:tcPr>
            <w:tcW w:type="dxa" w:w="1860"/>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อัตราผลจากธุรกิจหลัก</w:t>
            </w:r>
          </w:p>
        </w:tc>
        <w:tc>
          <w:tcPr>
            <w:tcW w:type="dxa" w:w="840"/>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(10.99%)</w:t>
            </w:r>
          </w:p>
        </w:tc>
        <w:tc>
          <w:tcPr>
            <w:tcW w:type="dxa" w:w="840"/>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(5.91%)</w:t>
            </w:r>
          </w:p>
        </w:tc>
        <w:tc>
          <w:tcPr>
            <w:tcW w:type="dxa" w:w="1618"/>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ดีขึ้น 5.08 จุด</w:t>
            </w:r>
          </w:p>
        </w:tc>
      </w:tr>
    </w:tbl>
    <w:p>
      <w:pPr>
        <w:spacing w:after="110" w:line="228"/>
        <w:jc w:val="left"/>
      </w:pPr>
      <w:r>
        <w:rPr>
          <w:rFonts w:ascii="TH Sarabun New" w:hAnsi="TH Sarabun New" w:eastAsia="TH Sarabun New"/>
          <w:i/>
          <w:color w:val="666666"/>
          <w:sz w:val="20"/>
        </w:rPr>
        <w:t>ที่มา: คำชี้แจง Q2/2569 ลงวันที่ 11 สิงหาคม 2569 [4]; core proxy เป็นการคำนวณ</w:t>
      </w:r>
    </w:p>
    <w:p>
      <w:pPr>
        <w:keepNext w:val="false"/>
        <w:spacing w:after="50" w:line="240"/>
        <w:ind w:firstLine="480"/>
        <w:jc w:val="both"/>
      </w:pPr>
      <w:r>
        <w:rPr>
          <w:rFonts w:ascii="TH Sarabun New" w:hAnsi="TH Sarabun New" w:eastAsia="TH Sarabun New"/>
          <w:sz w:val="32"/>
        </w:rPr>
        <w:t>นัยเชิงกลยุทธ์ต่อ PG: ครึ่งแรกปี 2569 มียอดขาย 285.05 ล้านบาท กำไรขั้นต้น 59.35 ล้านบาท ค่าใช้จ่ายขายและบริหาร 76.21 ล้านบาท และผลจากธุรกิจหลักโดยประมาณ -16.86 ล้านบาท กำไรสุทธิ 17.92 ล้านบาทดีขึ้นเมื่อเทียบปีก่อน โดยแรงขับหลักคือการลดค่าใช้จ่ายพนักงานใน SG&amp;A 15.88 ล้านบาท และการพลิกจากขาดทุนตีมูลค่าเงินลงทุน 22.67 ล้านบาทเป็นกำไร 7.36 ล้านบาท รายได้อื่น 29.77 ล้านบาทยังมีส่วนสำคัญต่อกำไรที่รายงาน แต่ลดลงร้อยละ 8.70 จึงไม่ใช่สาเหตุของการดีขึ้น YoY ข้อสรุปคือกำไรสุทธิฟื้น แต่ธุรกิจหลักยังไม่คุ้มค่าใช้จ่าย [4]</w:t>
      </w:r>
    </w:p>
    <w:p>
      <w:pPr>
        <w:pStyle w:val="Heading1"/>
        <w:keepNext/>
        <w:spacing w:after="80" w:before="180"/>
      </w:pPr>
      <w:r>
        <w:rPr>
          <w:rFonts w:ascii="TH Sarabun New" w:cs="TH Sarabun New" w:eastAsia="TH Sarabun New" w:hAnsi="TH Sarabun New"/>
          <w:b/>
          <w:bCs/>
          <w:i w:val="false"/>
          <w:iCs w:val="false"/>
          <w:sz w:val="36"/>
          <w:szCs w:val="36"/>
        </w:rPr>
        <w:t xml:space="preserve">3. การวิเคราะห์สภาพแวดล้อมเชิงกลยุทธ์</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บทนี้ยึดหลักการจำแนกตามบทเรียนบทที่ 4 และ 5 คือ </w:t>
      </w:r>
      <w:r>
        <w:rPr>
          <w:rFonts w:ascii="TH Sarabun New" w:cs="TH Sarabun New" w:eastAsia="TH Sarabun New" w:hAnsi="TH Sarabun New"/>
          <w:b/>
          <w:bCs/>
          <w:i w:val="false"/>
          <w:iCs w:val="false"/>
          <w:sz w:val="32"/>
          <w:szCs w:val="32"/>
        </w:rPr>
        <w:t xml:space="preserve">โอกาสและอุปสรรคต้องเป็นปัจจัยภายนอกที่บริษัทควบคุมไม่ได้ ส่วนจุดแข็งและจุดอ่อนต้องเป็นทรัพยากร ความสามารถ กระบวนการ หรือผลลัพธ์ภายในองค์กร</w:t>
      </w:r>
      <w:r>
        <w:rPr>
          <w:rFonts w:ascii="TH Sarabun New" w:cs="TH Sarabun New" w:eastAsia="TH Sarabun New" w:hAnsi="TH Sarabun New"/>
          <w:b w:val="false"/>
          <w:bCs w:val="false"/>
          <w:i w:val="false"/>
          <w:iCs w:val="false"/>
          <w:sz w:val="32"/>
          <w:szCs w:val="32"/>
        </w:rPr>
        <w:t xml:space="preserve"> ปัจจัยเช่นการแข่งขันจากสินค้านำเข้า ต้นทุนวัตถุดิบและค่าแรงในตลาด และการเปลี่ยนแปลงพฤติกรรมผู้บริโภค จึงจัดเป็นอุปสรรค ไม่ใช่จุดอ่อนตามที่ปรากฏในร่างรายงานฉบับก่อนหน้า</w:t>
      </w:r>
    </w:p>
    <w:p>
      <w:pPr>
        <w:pStyle w:val="Heading2"/>
        <w:keepNext/>
        <w:spacing w:after="60" w:before="140"/>
      </w:pPr>
      <w:r>
        <w:rPr>
          <w:rFonts w:ascii="TH Sarabun New" w:cs="TH Sarabun New" w:eastAsia="TH Sarabun New" w:hAnsi="TH Sarabun New"/>
          <w:b/>
          <w:bCs/>
          <w:i w:val="false"/>
          <w:iCs w:val="false"/>
          <w:sz w:val="32"/>
          <w:szCs w:val="32"/>
        </w:rPr>
        <w:t xml:space="preserve">3.1 การวิเคราะห์สภาพแวดล้อมภายนอก</w:t>
      </w:r>
    </w:p>
    <w:p>
      <w:pPr>
        <w:pStyle w:val="Heading3"/>
        <w:keepNext/>
        <w:spacing w:after="70" w:before="150"/>
      </w:pPr>
      <w:r>
        <w:rPr>
          <w:rFonts w:ascii="TH Sarabun New" w:cs="TH Sarabun New" w:eastAsia="TH Sarabun New" w:hAnsi="TH Sarabun New"/>
          <w:b/>
          <w:bCs/>
          <w:i w:val="false"/>
          <w:iCs w:val="false"/>
          <w:sz w:val="32"/>
          <w:szCs w:val="32"/>
        </w:rPr>
        <w:t xml:space="preserve">3.1.1 การวิเคราะห์สภาพแวดล้อมภายนอกทั่วไป (STEEP)</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ทุกปัจจัยเชื่อมตามลำดับ </w:t>
      </w:r>
      <w:r>
        <w:rPr>
          <w:rFonts w:ascii="TH Sarabun New" w:cs="TH Sarabun New" w:eastAsia="TH Sarabun New" w:hAnsi="TH Sarabun New"/>
          <w:b/>
          <w:bCs/>
          <w:i w:val="false"/>
          <w:iCs w:val="false"/>
          <w:sz w:val="32"/>
          <w:szCs w:val="32"/>
        </w:rPr>
        <w:t xml:space="preserve">การเปลี่ยนแปลงภายนอกและหลักฐาน → ผลต่ออุตสาหกรรมและนัยเฉพาะต่อ PG → จัดเป็นโอกาสหรืออุปสรรค</w:t>
      </w:r>
    </w:p>
    <w:p>
      <w:pPr>
        <w:keepNext/>
        <w:spacing w:after="50" w:before="130"/>
        <w:jc w:val="left"/>
      </w:pPr>
      <w:r>
        <w:rPr>
          <w:rFonts w:ascii="TH Sarabun New" w:cs="TH Sarabun New" w:eastAsia="TH Sarabun New" w:hAnsi="TH Sarabun New"/>
          <w:b/>
          <w:bCs/>
          <w:i w:val="false"/>
          <w:iCs w:val="false"/>
          <w:sz w:val="28"/>
          <w:szCs w:val="28"/>
        </w:rPr>
        <w:t xml:space="preserve">ตารางที่ 4  สรุปการวิเคราะห์ STEEP และนัยต่อ PG</w:t>
      </w:r>
    </w:p>
    <w:tbl>
      <w:tblPr>
        <w:tblW w:type="dxa" w:w="9468"/>
        <w:jc w:val="center"/>
        <w:tblBorders>
          <w:top w:val="single" w:color="B7B7B7" w:sz="4"/>
          <w:left w:val="single" w:color="B7B7B7" w:sz="4"/>
          <w:bottom w:val="single" w:color="B7B7B7" w:sz="4"/>
          <w:right w:val="single" w:color="B7B7B7" w:sz="4"/>
          <w:insideH w:val="single" w:color="B7B7B7" w:sz="4"/>
          <w:insideV w:val="single" w:color="B7B7B7" w:sz="4"/>
        </w:tblBorders>
        <w:tblLayout w:type="fixed"/>
      </w:tblPr>
      <w:tblGrid>
        <w:gridCol w:w="1200"/>
        <w:gridCol w:w="3600"/>
        <w:gridCol w:w="3600"/>
        <w:gridCol w:w="700"/>
      </w:tblGrid>
      <w:tr>
        <w:trPr>
          <w:tblHeader w:val="true"/>
        </w:trPr>
        <w:tc>
          <w:tcPr>
            <w:tcW w:type="dxa" w:w="12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มิติ</w:t>
            </w:r>
          </w:p>
        </w:tc>
        <w:tc>
          <w:tcPr>
            <w:tcW w:type="dxa" w:w="36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การเปลี่ยนแปลงและหลักฐาน</w:t>
            </w:r>
          </w:p>
        </w:tc>
        <w:tc>
          <w:tcPr>
            <w:tcW w:type="dxa" w:w="36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นัยต่ออุตสาหกรรมและต่อ PG</w:t>
            </w:r>
          </w:p>
        </w:tc>
        <w:tc>
          <w:tcPr>
            <w:tcW w:type="dxa" w:w="7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O/T</w:t>
            </w:r>
          </w:p>
        </w:tc>
      </w:tr>
      <w:tr>
        <w:trPr/>
        <w:tc>
          <w:tcPr>
            <w:tcW w:type="dxa" w:w="12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สังคม</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กำลังซื้อในประเทศอ่อนแอ ตลาดไทยมีเสื้อผ้ามือสองและแบรนด์ลดราคาจำนวนมาก บริษัทระบุเองว่าผู้บริโภคมีโอกาสซื้อสินค้าดีราคาถูกจากการเร่งระบายสต็อก [1]</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ราคาในตลาดเสื้อผ้าแฟชั่นทั่วไปถูกกดทั้งระบบ PG ซึ่งขายผ่านค้าปลีกในประเทศเป็นหลักถูกกดทั้งราคาและปริมาณ สะท้อนในยอดขายในประเทศที่ลดลง 15.35%</w:t>
            </w:r>
          </w:p>
        </w:tc>
        <w:tc>
          <w:tcPr>
            <w:tcW w:type="dxa" w:w="7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T</w:t>
            </w:r>
          </w:p>
        </w:tc>
      </w:tr>
      <w:tr>
        <w:trPr/>
        <w:tc>
          <w:tcPr>
            <w:tcW w:type="dxa" w:w="12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สังคม</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ความต้องการเครื่องแบบวิชาชีพที่ตอบโจทย์การใช้งานจริง เช่น ความสบาย ความคล่องตัว และการยับยั้งแบคทีเรีย บริษัทระบุว่าปี 2568 ขยายตลาดชุดทางการแพทย์ผ่านตัวแทนและขายตรงจนยอดขายเติบโตต่อเนื่อง [1] และ DITP ชี้ว่าผู้ผลิตไทยขยับสู่สิ่งทอเชิงฟังก์ชันมูลค่าสูงได้ [9]</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อุปสงค์กลุ่มนี้ตัดสินใจซื้อด้วยคุณสมบัติและมาตรฐาน ไม่ใช่ราคาต่อชิ้น จึงเป็นสนามที่ PG ซึ่งมีผ้าถักของตนเอง มาตรฐานคุณภาพ และฐานลูกค้าเครื่องแบบอยู่แล้ว แข่งขันได้โดยไม่ต้องลงไปแข่งราคา</w:t>
            </w:r>
          </w:p>
        </w:tc>
        <w:tc>
          <w:tcPr>
            <w:tcW w:type="dxa" w:w="7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O</w:t>
            </w:r>
          </w:p>
        </w:tc>
      </w:tr>
      <w:tr>
        <w:trPr/>
        <w:tc>
          <w:tcPr>
            <w:tcW w:type="dxa" w:w="12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เทคโนโลยี</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คู่แข่งระดับภูมิภาคยกระดับด้วย garment engineering โรงงานดิจิทัล และแพลตฟอร์มรับงาน on-demand [14] รวมถึง AI และ Industry 4.0 [15] ขณะที่โรงงานไทยส่วนใหญ่ยังพึ่งแรงงานเป็นหลัก [1]</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มาตรฐานความเร็วและความยืดหยุ่นของอุตสาหกรรมถูกยกให้สูงขึ้น ผู้ที่ไม่ปรับตัวจะเสียงานที่ต้องการการตอบสนองเร็ว ซึ่งเป็นสนามเดียวกับที่ PG ตั้งใจจะเข้า</w:t>
            </w:r>
          </w:p>
        </w:tc>
        <w:tc>
          <w:tcPr>
            <w:tcW w:type="dxa" w:w="7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T</w:t>
            </w:r>
          </w:p>
        </w:tc>
      </w:tr>
      <w:tr>
        <w:trPr/>
        <w:tc>
          <w:tcPr>
            <w:tcW w:type="dxa" w:w="12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เทคโนโลยี</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ต้นทุนเข้าถึงเครื่องมือดิจิทัลสำหรับงาน B2B (CRM ระบบคิดต้นทุน S&amp;OP และระบบตรวจสอบย้อนกลับ) ลดลงมากเทียบกับการลงทุนเครื่องจักร</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เปิดทางให้ผู้ผลิตขนาดกลางยกระดับความสามารถเชิงพาณิชย์ด้วยเงินลงทุนไม่มาก เหมาะกับข้อจำกัดด้านขนาดของ PG แต่ต้องผูกกับกรณีทางธุรกิจที่ชัดเจน</w:t>
            </w:r>
          </w:p>
        </w:tc>
        <w:tc>
          <w:tcPr>
            <w:tcW w:type="dxa" w:w="7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O</w:t>
            </w:r>
          </w:p>
        </w:tc>
      </w:tr>
      <w:tr>
        <w:trPr/>
        <w:tc>
          <w:tcPr>
            <w:tcW w:type="dxa" w:w="12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เศรษฐกิจ</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อุตสาหกรรมเครื่องนุ่งห่มไทยหดตัวเชิงโครงสร้าง ดัชนีผลผลิตลดเฉลี่ย 6.6% ต่อปีช่วงปี 2559–2568 อัตราการใช้กำลังการผลิตลดจาก 64.8% เหลือ 46.1% และคาดว่าส่วนแบ่งตลาดโลกของไทยจะต่ำกว่า 0.5% [1]</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ตลาดโดยรวมไม่ขยายตัวพอรองรับกลยุทธ์เพิ่มปริมาณ การเติบโตต้องมาจากการแย่งส่วนแบ่งหรือการขยับสู่สินค้ามูลค่าสูงกว่า</w:t>
            </w:r>
          </w:p>
        </w:tc>
        <w:tc>
          <w:tcPr>
            <w:tcW w:type="dxa" w:w="7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T</w:t>
            </w:r>
          </w:p>
        </w:tc>
      </w:tr>
      <w:tr>
        <w:trPr/>
        <w:tc>
          <w:tcPr>
            <w:tcW w:type="dxa" w:w="12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เศรษฐกิจ</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สำนักงานเศรษฐกิจอุตสาหกรรมรายงานว่าการส่งออกเสื้อผ้าสำเร็จรูปไทยปี 2568 มีมูลค่าประมาณ 2,018.77 ล้านดอลลาร์สหรัฐ ขยายตัวร้อยละ 5.61 โดยหมวดที่เติบโตรวมถึงชุดกีฬา เสื้อโปโล เสื้อผ้าเด็กอ่อน และชุดชั้นใน [8]</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การฟื้นตัวเกิดเฉพาะบางหมวด PG มีฐานผลิตในหมวดที่ขยายตัวอยู่แล้ว แต่ยอดส่งออกของบริษัทกลับลดลง 34.36% ในปีเดียวกัน จึงเป็นโอกาสที่ยังใช้ประโยชน์ไม่ได้</w:t>
            </w:r>
          </w:p>
        </w:tc>
        <w:tc>
          <w:tcPr>
            <w:tcW w:type="dxa" w:w="7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O</w:t>
            </w:r>
          </w:p>
        </w:tc>
      </w:tr>
      <w:tr>
        <w:trPr/>
        <w:tc>
          <w:tcPr>
            <w:tcW w:type="dxa" w:w="12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เศรษฐกิจ</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ต้นทุนแรงงานไทย 325–386 ดอลลาร์/เดือน เทียบบังกลาเทศ 103–133 และเวียดนาม 131–188 [1] ประกอบกับการนำเข้าเครื่องนุ่งห่มโตเฉลี่ย 9.1% ต่อปี มูลค่า 1,713 ล้านดอลลาร์ กว่าครึ่งจากจีนและเวียดนาม [1]</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โครงสร้างต้นทุนของผู้ผลิตไทยเสียเปรียบถาวรในงานที่แข่งด้วยราคา กลยุทธ์ผู้นำต้นทุนจึงเป็นไปไม่ได้ และตลาดในประเทศซึ่งเป็นรายได้ 71.49% ของ PG ถูกกดโดยตรง</w:t>
            </w:r>
          </w:p>
        </w:tc>
        <w:tc>
          <w:tcPr>
            <w:tcW w:type="dxa" w:w="7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T</w:t>
            </w:r>
          </w:p>
        </w:tc>
      </w:tr>
      <w:tr>
        <w:trPr/>
        <w:tc>
          <w:tcPr>
            <w:tcW w:type="dxa" w:w="12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สิ่งแวดล้อม</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ยุทธศาสตร์สิ่งทอของ EU และ ESPR กำหนดทิศทาง/กรอบข้อมูลความยั่งยืนระดับผลิตภัณฑ์และ Digital Product Passport แต่รายละเอียดและกำหนดเวลาบังคับสำหรับสิ่งทอต้องเป็นไปตามกฎเฉพาะผลิตภัณฑ์ที่ใช้บังคับ จึงไม่สมมติวันบังคับสากลสำหรับเสื้อผ้าทุกชนิด [10][11]</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ผู้ซื้อสากลใช้ข้อมูลวัสดุและการตรวจสอบย้อนกลับเป็นเกณฑ์คัดเลือกผู้ผลิต ผู้ที่มี GRS และ ISO 14001 พร้อมใช้ เปลี่ยนภาระการปฏิบัติตามกฎเป็นข้อเสนอคุณค่าได้ PG มีมาตรฐานครบแล้วแต่ยังไม่มีข้อเสนอเชิงพาณิชย์</w:t>
            </w:r>
          </w:p>
        </w:tc>
        <w:tc>
          <w:tcPr>
            <w:tcW w:type="dxa" w:w="7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O</w:t>
            </w:r>
          </w:p>
        </w:tc>
      </w:tr>
      <w:tr>
        <w:trPr/>
        <w:tc>
          <w:tcPr>
            <w:tcW w:type="dxa" w:w="12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การเมืองและกฎหมาย</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มาตรการภาษีตอบโต้ของสหรัฐฯ ที่เริ่มต้น 36% ก่อนเจรจาลดเหลือ 19% ทำให้ลูกค้าลดและเลื่อนคำสั่งซื้อ [1] ประกอบกับความผันผวนของค่าเงินบาท</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ผู้ส่งออกไทยเผชิญความไม่แน่นอนในการวางแผน สหรัฐฯ คิดเป็นกว่า 40% ของการส่งออกเครื่องนุ่งห่มไทย ความเสี่ยงจึงกระจุกตัว</w:t>
            </w:r>
          </w:p>
        </w:tc>
        <w:tc>
          <w:tcPr>
            <w:tcW w:type="dxa" w:w="7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T</w:t>
            </w:r>
          </w:p>
        </w:tc>
      </w:tr>
      <w:tr>
        <w:trPr/>
        <w:tc>
          <w:tcPr>
            <w:tcW w:type="dxa" w:w="12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การเมืองและกฎหมาย</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Regulation (EU) 2024/3015 ว่าด้วยการห้ามผลิตภัณฑ์ที่ผลิตด้วยแรงงานบังคับใช้กับสินค้าที่วางในตลาด EU ตั้งแต่ 14 ธันวาคม 2570 โดยสิ่งทอเป็นหนึ่งในอุตสาหกรรมเสี่ยงที่ทางการระบุ [12]</w:t>
            </w:r>
          </w:p>
        </w:tc>
        <w:tc>
          <w:tcPr>
            <w:tcW w:type="dxa" w:w="3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เพิ่มภาระการตรวจสอบย้อนกลับ แต่ยกระดับกำแพงการเข้าตลาดสำหรับผู้ผลิตที่ไม่มีระบบข้อมูล จึงเป็นประโยชน์ต่อผู้ที่ลงทุนล่วงหน้า</w:t>
            </w:r>
          </w:p>
        </w:tc>
        <w:tc>
          <w:tcPr>
            <w:tcW w:type="dxa" w:w="7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O</w:t>
            </w:r>
          </w:p>
        </w:tc>
      </w:tr>
    </w:tbl>
    <w:p>
      <w:pPr>
        <w:spacing w:after="110" w:line="228"/>
        <w:jc w:val="left"/>
      </w:pPr>
      <w:r>
        <w:rPr>
          <w:rFonts w:ascii="TH Sarabun New" w:hAnsi="TH Sarabun New" w:eastAsia="TH Sarabun New"/>
          <w:i/>
          <w:color w:val="666666"/>
          <w:sz w:val="20"/>
        </w:rPr>
        <w:t>ที่มา: PG [1], OIE [8], DITP [9], European Commission/EUR-Lex [10][11][12][18]; การตีความเป็นของผู้จัดทำ</w:t>
      </w:r>
    </w:p>
    <w:p>
      <w:pPr>
        <w:keepNext w:val="false"/>
        <w:spacing w:after="50" w:line="240"/>
        <w:ind w:firstLine="480"/>
        <w:jc w:val="both"/>
      </w:pPr>
      <w:r>
        <w:rPr>
          <w:rFonts w:ascii="TH Sarabun New" w:hAnsi="TH Sarabun New" w:eastAsia="TH Sarabun New"/>
          <w:sz w:val="32"/>
        </w:rPr>
        <w:t>ข้อแก้ไขสำคัญ: เครื่องนุ่งห่มไม่ใช่ภาคที่อยู่ในขอบเขต CBAM โดยตรง ณ วันที่ตัดข้อมูล ภาคที่ครอบคลุมคือซีเมนต์ เหล็กและเหล็กกล้า อะลูมิเนียม ปุ๋ย ไฟฟ้า และไฮโดรเจน [18] แรงกดดันที่เกี่ยวกับ PG โดยตรงกว่าคือ circularity, ecodesign, product information และ forced labour ทั้งนี้ EU Textile Strategy และ ESPR เป็นกรอบทิศทางของ DPP; รายงานไม่กำหนดวันบังคับสำหรับเสื้อผ้าทุกชนิดหากยังไม่มีกฎเฉพาะผลิตภัณฑ์รองรับ</w:t>
      </w:r>
    </w:p>
    <w:p>
      <w:pPr>
        <w:pStyle w:val="Heading3"/>
        <w:keepNext/>
        <w:spacing w:after="70" w:before="150"/>
      </w:pPr>
      <w:r>
        <w:rPr>
          <w:rFonts w:ascii="TH Sarabun New" w:cs="TH Sarabun New" w:eastAsia="TH Sarabun New" w:hAnsi="TH Sarabun New"/>
          <w:b/>
          <w:bCs/>
          <w:i w:val="false"/>
          <w:iCs w:val="false"/>
          <w:sz w:val="32"/>
          <w:szCs w:val="32"/>
        </w:rPr>
        <w:t xml:space="preserve">3.1.2 การวิเคราะห์อุตสาหกรรม (Five Forces Model)</w:t>
      </w:r>
    </w:p>
    <w:p>
      <w:pPr>
        <w:keepNext/>
        <w:spacing w:after="50" w:before="130"/>
        <w:jc w:val="left"/>
      </w:pPr>
      <w:r>
        <w:rPr>
          <w:rFonts w:ascii="TH Sarabun New" w:cs="TH Sarabun New" w:eastAsia="TH Sarabun New" w:hAnsi="TH Sarabun New"/>
          <w:b/>
          <w:bCs/>
          <w:i w:val="false"/>
          <w:iCs w:val="false"/>
          <w:sz w:val="28"/>
          <w:szCs w:val="28"/>
        </w:rPr>
        <w:t xml:space="preserve">ตารางที่ 5  สรุปการวิเคราะห์แรงกดดันทั้งห้าของอุตสาหกรรมที่ PG แข่งขันอยู่</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1923"/>
        <w:gridCol w:w="1113"/>
        <w:gridCol w:w="6432"/>
      </w:tblGrid>
      <w:tr>
        <w:trPr>
          <w:tblHeader/>
        </w:trPr>
        <w:tc>
          <w:tcPr>
            <w:tcW w:type="dxa" w:w="1923"/>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แรงกดดัน</w:t>
            </w:r>
          </w:p>
        </w:tc>
        <w:tc>
          <w:tcPr>
            <w:tcW w:type="dxa" w:w="1113"/>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ระดับ</w:t>
            </w:r>
          </w:p>
        </w:tc>
        <w:tc>
          <w:tcPr>
            <w:tcW w:type="dxa" w:w="6432"/>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หลักฐานและนัยเชิงกลยุทธ์ต่อ PG</w:t>
            </w:r>
          </w:p>
        </w:tc>
      </w:tr>
      <w:tr>
        <w:trP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การแข่งขันระหว่างคู่แข่งเดิม</w:t>
            </w:r>
          </w:p>
        </w:tc>
        <w:tc>
          <w:tcPr>
            <w:tcW w:type="dxa" w:w="111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สูงมาก (5/5)</w:t>
            </w:r>
          </w:p>
        </w:tc>
        <w:tc>
          <w:tcPr>
            <w:tcW w:type="dxa" w:w="64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คู่แข่งไทยรายใหญ่มีฐานผลิตหลายประเทศและกำลังผลิตหลายสิบล้านชิ้นต่อปี [13][14] ตลาดในประเทศถูกกดด้วยสินค้านำเข้าที่โต 9.1% ต่อปี และอุตสาหกรรมมีอัตราการใช้กำลังการผลิตเพียง 46.1% ซึ่งเป็นภาวะกำลังผลิตส่วนเกิน การแข่งขันจึงลงสู่ราคาโดยอัตโนมัติ PG ที่มีต้นทุนต่อหน่วยสูงกว่าไม่ควรเลือกสนามนี้เป็นสนามหลัก</w:t>
            </w:r>
          </w:p>
        </w:tc>
      </w:tr>
      <w:tr>
        <w:trP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อำนาจต่อรองของผู้ซื้อ</w:t>
            </w:r>
          </w:p>
        </w:tc>
        <w:tc>
          <w:tcPr>
            <w:tcW w:type="dxa" w:w="111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สูงมาก (5/5)</w:t>
            </w:r>
          </w:p>
        </w:tc>
        <w:tc>
          <w:tcPr>
            <w:tcW w:type="dxa" w:w="64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ผู้ซื้อ OEM ลดคำสั่งซื้อ เลื่อนการผลิต หรือย้ายฐานได้ทันทีโดยผู้ผลิตรับความเสี่ยงทั้งหมด [1] และ PG มีลูกค้ารายเดียวคิดเป็น 40.12% ของยอดขายรวม ความไม่สมดุลนี้เป็นสาเหตุโดยตรงของอัตรากำไรขั้นต้นที่ต่ำ ทางแก้เชิงโครงสร้างคือเปลี่ยนฐานลูกค้าไปสู่กลุ่มที่ซื้อด้วยสเปกและสัญญา</w:t>
            </w:r>
          </w:p>
        </w:tc>
      </w:tr>
      <w:tr>
        <w:trP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อำนาจต่อรองของผู้ขายปัจจัยการผลิต</w:t>
            </w:r>
          </w:p>
        </w:tc>
        <w:tc>
          <w:tcPr>
            <w:tcW w:type="dxa" w:w="111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ต่ำถึงปานกลาง (2/5)</w:t>
            </w:r>
          </w:p>
        </w:tc>
        <w:tc>
          <w:tcPr>
            <w:tcW w:type="dxa" w:w="64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 2568 มีคู่ค้า 222 ราย ในประเทศ 77% ต่างประเทศ 23% ไม่มีรายใดเกิน 10% ของยอดจัดซื้อ พร้อมการประเมินผู้ขายประจำปี [1] และผลิตผ้าถักเองที่กบินทร์บุรี เป็นแรงกดดันเดียวที่ PG ได้เปรียบ ควรใช้เป็นฐานรับประกันคุณภาพและเวลาส่งมอบ ข้อจำกัดคือวัสดุเชิงฟังก์ชันที่มีใบรับรองเฉพาะบางชนิดยังต้องนำเข้า</w:t>
            </w:r>
          </w:p>
        </w:tc>
      </w:tr>
      <w:tr>
        <w:trP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ภัยคุกคามจากผู้เข้าใหม่</w:t>
            </w:r>
          </w:p>
        </w:tc>
        <w:tc>
          <w:tcPr>
            <w:tcW w:type="dxa" w:w="111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ปานกลาง (3/5)</w:t>
            </w:r>
          </w:p>
        </w:tc>
        <w:tc>
          <w:tcPr>
            <w:tcW w:type="dxa" w:w="64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การตัดเย็บทั่วไปเข้าตลาดได้ไม่ยาก แต่การเข้าถึงลูกค้าองค์กร การได้รับการรับรองมาตรฐาน และการสร้างระบบตรวจสอบย้อนกลับต้องใช้เวลาและประวัติผลงาน กำแพงในงานเครื่องแบบและงานโครงการจึงสูงกว่างานตัดเย็บทั่วไป</w:t>
            </w:r>
          </w:p>
        </w:tc>
      </w:tr>
      <w:tr>
        <w:trP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ภัยคุกคามจากสินค้าทดแทน</w:t>
            </w:r>
          </w:p>
        </w:tc>
        <w:tc>
          <w:tcPr>
            <w:tcW w:type="dxa" w:w="111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สูง (4/5)</w:t>
            </w:r>
          </w:p>
        </w:tc>
        <w:tc>
          <w:tcPr>
            <w:tcW w:type="dxa" w:w="64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เสื้อผ้านำเข้าราคาต่ำ แบรนด์ลดราคา เสื้อผ้ามือสอง และการแต่งกายลำลองในที่ทำงาน ทดแทนเสื้อผ้าแฟชั่นกลุ่มเดิมได้ [1] แต่มีผลจำกัดกับเครื่องแบบวิชาชีพที่มีข้อกำหนดด้านความปลอดภัยและภาพลักษณ์องค์กร</w:t>
            </w:r>
          </w:p>
        </w:tc>
      </w:tr>
    </w:tbl>
    <w:p>
      <w:r>
        <w:rPr>
          <w:rFonts w:ascii="TH Sarabun New" w:hAnsi="TH Sarabun New" w:eastAsia="TH Sarabun New"/>
          <w:i/>
          <w:color w:val="666666"/>
          <w:sz w:val="20"/>
        </w:rPr>
        <w:t>ที่มา: PG [1] และข้อมูลสาธารณะของคู่แข่ง [13][14][15]; ระดับแรงกดดันเป็น analyst assessment</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บทสรุป</w:t>
      </w:r>
      <w:r>
        <w:rPr>
          <w:rFonts w:ascii="TH Sarabun New" w:cs="TH Sarabun New" w:eastAsia="TH Sarabun New" w:hAnsi="TH Sarabun New"/>
          <w:b w:val="false"/>
          <w:bCs w:val="false"/>
          <w:i w:val="false"/>
          <w:iCs w:val="false"/>
          <w:sz w:val="32"/>
          <w:szCs w:val="32"/>
        </w:rPr>
        <w:t xml:space="preserve"> แรงกดดันสี่ในห้าอยู่ระดับสูงถึงสูงมาก อุตสาหกรรมรับจ้างผลิตเสื้อผ้าทั่วไปจึงไม่น่าดึงดูด แต่ข้อสรุปที่ถูกต้องไม่ใช่ “ควรออกจากอุตสาหกรรม” หากคือ “ควรเปลี่ยนตำแหน่งภายในอุตสาหกรรม” เพราะแรงกดดันไม่ได้รุนแรงเท่ากันทุกกลุ่มลูกค้า ในงานที่ต้องปรับแต่งตามข้อกำหนดเฉพาะ ล็อตเล็ก เติมสินค้าสม่ำเสมอ และพิสูจน์คุณสมบัติได้ อำนาจต่อรองของผู้ซื้อจะลดลง กำแพงการเข้าตลาดสูงขึ้น และภัยจากสินค้าทดแทนน้อยลง นี่คือช่องว่างที่เหมาะสม (Propitious Niche) ตามบทเรียนบทที่ 6</w:t>
      </w:r>
    </w:p>
    <w:p>
      <w:pPr>
        <w:pStyle w:val="Heading3"/>
        <w:keepNext/>
        <w:spacing w:after="70" w:before="150"/>
      </w:pPr>
      <w:r>
        <w:rPr>
          <w:rFonts w:ascii="TH Sarabun New" w:cs="TH Sarabun New" w:eastAsia="TH Sarabun New" w:hAnsi="TH Sarabun New"/>
          <w:b/>
          <w:bCs/>
          <w:i w:val="false"/>
          <w:iCs w:val="false"/>
          <w:sz w:val="32"/>
          <w:szCs w:val="32"/>
        </w:rPr>
        <w:t xml:space="preserve">3.1.3 การวิเคราะห์คู่แข่งขันหลักและปัจจัยแห่งความสำเร็จ (KSF)</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การวิเคราะห์คู่แข่งต้องแยกตามสนามแข่งขัน เพราะบริษัทเครื่องนุ่งห่มที่ดูคล้ายกันมีรูปแบบธุรกิจต่างกัน โรงงานรับจ้างผลิตแข่งด้วยขนาดและต้นทุน เจ้าของแบรนด์แข่งด้วยการตลาดและช่องทาง ส่วนผู้ขายงานเครื่องแบบแข่งด้วยการออกแบบตามโจทย์ การบริการ และการส่งมอบตามสัญญา</w:t>
      </w:r>
    </w:p>
    <w:p>
      <w:pPr>
        <w:keepNext/>
        <w:spacing w:after="50" w:before="130"/>
        <w:jc w:val="left"/>
      </w:pPr>
      <w:r>
        <w:rPr>
          <w:rFonts w:ascii="TH Sarabun New" w:cs="TH Sarabun New" w:eastAsia="TH Sarabun New" w:hAnsi="TH Sarabun New"/>
          <w:b/>
          <w:bCs/>
          <w:i w:val="false"/>
          <w:iCs w:val="false"/>
          <w:sz w:val="28"/>
          <w:szCs w:val="28"/>
        </w:rPr>
        <w:t xml:space="preserve">ตารางที่ 6  ข้อมูลเปรียบเทียบ PG กับคู่แข่งและกลุ่มเทียบเคียงตามสนามแข่งขัน</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1923"/>
        <w:gridCol w:w="4251"/>
        <w:gridCol w:w="3294"/>
      </w:tblGrid>
      <w:tr>
        <w:trPr>
          <w:tblHeader/>
        </w:trPr>
        <w:tc>
          <w:tcPr>
            <w:tcW w:type="dxa" w:w="1923"/>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บริษัท (สนาม)</w:t>
            </w:r>
          </w:p>
        </w:tc>
        <w:tc>
          <w:tcPr>
            <w:tcW w:type="dxa" w:w="425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ขนาดธุรกิจปี 2568 และศักยภาพ</w:t>
            </w:r>
          </w:p>
        </w:tc>
        <w:tc>
          <w:tcPr>
            <w:tcW w:type="dxa" w:w="3294"/>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ตำแหน่งเชิงกลยุทธ์</w:t>
            </w:r>
          </w:p>
        </w:tc>
      </w:tr>
      <w:tr>
        <w:trP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PG (สนาม 1 และ 2)</w:t>
            </w:r>
          </w:p>
        </w:tc>
        <w:tc>
          <w:tcPr>
            <w:tcW w:type="dxa" w:w="425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ยอดขาย 605.20 ลบ. อัตรากำไรขั้นต้น 21.40% กำลังผลิต 2.712 ล้านชิ้น/ปี พนักงาน 715 คน โรงงาน 2 แห่งในไทย ผลิตผ้าถักเอง</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ผู้ผลิตขนาดกลางที่ทำได้หลายอย่างแต่ยังไม่มีสนามที่ชนะชัดเจน</w:t>
            </w:r>
          </w:p>
        </w:tc>
      </w:tr>
      <w:tr>
        <w:trP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Nice Group Holding (1)</w:t>
            </w:r>
          </w:p>
        </w:tc>
        <w:tc>
          <w:tcPr>
            <w:tcW w:type="dxa" w:w="425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รายได้ &gt;17,481 ลบ. 16 โรงงานใน 4 ประเทศ พนักงาน &gt;23,000 คน กำลังผลิต &gt;72 ล้านชิ้น/ปี</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ผู้นำด้านขนาดและระบบอัตโนมัติ แข่งด้วยต้นทุนต่อหน่วยและความยืดหยุ่นของห่วงโซ่อุปทาน</w:t>
            </w:r>
          </w:p>
        </w:tc>
      </w:tr>
      <w:tr>
        <w:trP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Hi-Tech Apparel (1)</w:t>
            </w:r>
          </w:p>
        </w:tc>
        <w:tc>
          <w:tcPr>
            <w:tcW w:type="dxa" w:w="425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ไม่เปิดเผยรายได้ พนักงาน &gt;14,000 คน ฐานผลิตในไทย กัมพูชา เวียดนาม ลาว และอียิปต์ ผลิต &gt;40 ล้านชิ้น/ปี</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ผู้นำด้านขนาดผสานเทคโนโลยี เน้นชุดกีฬาและ activewear มีโรงงานดิจิทัลและแพลตฟอร์มรับงาน on-demand</w:t>
            </w:r>
          </w:p>
        </w:tc>
      </w:tr>
      <w:tr>
        <w:trP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VT Garment (1)</w:t>
            </w:r>
          </w:p>
        </w:tc>
        <w:tc>
          <w:tcPr>
            <w:tcW w:type="dxa" w:w="425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ไม่เปิดเผยรายได้ พนักงานประมาณ 3,000 คน ฐานผลิตไทยและเมียนมา</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ใกล้แนวทางสร้างความแตกต่างแบบมุ่งเน้นมากที่สุด เน้นชุดกีฬา เสื้อคลุม อุปกรณ์ป้องกัน มี Fair Trade, Higg FEM, GRS และ LEED</w:t>
            </w:r>
          </w:p>
        </w:tc>
      </w:tr>
      <w:tr>
        <w:trP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Warrix Sport (2)</w:t>
            </w:r>
          </w:p>
        </w:tc>
        <w:tc>
          <w:tcPr>
            <w:tcW w:type="dxa" w:w="425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รายได้จากการขายและบริการ 1,701.44 ลบ. มีแบรนด์ ช่องทางค้าปลีกและออนไลน์ และฐานงานโครงการ</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คู่แข่งโดยตรงที่สุดในงานเครื่องแบบและงานโครงการ มีทั้งแบรนด์และช่องทาง</w:t>
            </w:r>
          </w:p>
        </w:tc>
      </w:tr>
      <w:tr>
        <w:trP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Sabina และ MC Group (2 – เทียบเคียง)</w:t>
            </w:r>
          </w:p>
        </w:tc>
        <w:tc>
          <w:tcPr>
            <w:tcW w:type="dxa" w:w="425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Sabina รายได้รวม 3,338.88 ลบ. กำไรสุทธิ 410.76 ลบ. อัตรากำไรขั้นต้น 51.47% / MC Group ยอดขาย 4,152 ลบ. อัตรากำไรขั้นต้น 63.9% กำไรสุทธิ 760 ลบ. ออนไลน์ 17%</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แสดงระดับอัตรากำไรที่โมเดลแบรนด์สร้างได้ แต่ต้องอาศัยแบรนด์ ข้อมูลลูกค้า และงบการตลาดจำนวนมาก</w:t>
            </w:r>
          </w:p>
        </w:tc>
      </w:tr>
    </w:tbl>
    <w:p>
      <w:pPr>
        <w:spacing w:after="110" w:line="228"/>
        <w:jc w:val="left"/>
      </w:pPr>
      <w:r>
        <w:rPr>
          <w:rFonts w:ascii="TH Sarabun New" w:hAnsi="TH Sarabun New" w:eastAsia="TH Sarabun New"/>
          <w:i/>
          <w:color w:val="666666"/>
          <w:sz w:val="20"/>
        </w:rPr>
        <w:t>ที่มา: PG [1]; official competitor disclosures [13]–[17][19]; benchmark ไม่ใช่ direct-equivalence claim</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รายได้ของ Nice Group สูงกว่า PG ประมาณ 28.9 เท่า กำลังผลิตของ Hi-Tech Apparel สูงกว่า PG ประมาณ 14.8 เท่า พร้อมฐานผลิตห้าประเทศที่ให้ความยืดหยุ่นด้านแหล่งกำเนิดสินค้าซึ่ง PG ไม่มี ในทางกลับกัน อัตรากำไรขั้นต้นของ PG ที่ 21.40% ต่ำกว่า Sabina และ MC Group มาก ซึ่งเป็นช่องว่างของโมเดลธุรกิจ ไม่ใช่ของประสิทธิภาพการผลิตเพียงอย่างเดียว</w:t>
      </w:r>
    </w:p>
    <w:p>
      <w:pPr>
        <w:keepNext/>
        <w:spacing w:after="50" w:before="130"/>
        <w:jc w:val="left"/>
      </w:pPr>
      <w:r>
        <w:rPr>
          <w:rFonts w:ascii="TH Sarabun New" w:cs="TH Sarabun New" w:eastAsia="TH Sarabun New" w:hAnsi="TH Sarabun New"/>
          <w:b/>
          <w:bCs/>
          <w:i w:val="false"/>
          <w:iCs w:val="false"/>
          <w:sz w:val="28"/>
          <w:szCs w:val="28"/>
        </w:rPr>
        <w:t xml:space="preserve">ตารางที่ 7  การเปรียบเทียบตามปัจจัยแห่งความสำเร็จ (KSF) แยกตามสนามแข่งขัน</w:t>
      </w:r>
    </w:p>
    <w:tbl>
      <w:tblPr>
        <w:tblW w:type="dxa" w:w="9468"/>
        <w:jc w:val="center"/>
        <w:tblBorders>
          <w:top w:val="single" w:color="B7B7B7" w:sz="4"/>
          <w:left w:val="single" w:color="B7B7B7" w:sz="4"/>
          <w:bottom w:val="single" w:color="B7B7B7" w:sz="4"/>
          <w:right w:val="single" w:color="B7B7B7" w:sz="4"/>
          <w:insideH w:val="single" w:color="B7B7B7" w:sz="4"/>
          <w:insideV w:val="single" w:color="B7B7B7" w:sz="4"/>
        </w:tblBorders>
        <w:tblLayout w:type="fixed"/>
      </w:tblPr>
      <w:tblGrid>
        <w:gridCol w:w="3600"/>
        <w:gridCol w:w="600"/>
        <w:gridCol w:w="550"/>
        <w:gridCol w:w="650"/>
        <w:gridCol w:w="550"/>
        <w:gridCol w:w="650"/>
        <w:gridCol w:w="2500"/>
      </w:tblGrid>
      <w:tr>
        <w:trPr>
          <w:tblHeader w:val="true"/>
        </w:trPr>
        <w:tc>
          <w:tcPr>
            <w:tcW w:type="dxa" w:w="36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ปัจจัยแห่งความสำเร็จ (KSF)</w:t>
            </w:r>
          </w:p>
        </w:tc>
        <w:tc>
          <w:tcPr>
            <w:tcW w:type="dxa" w:w="6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น้ำหนัก</w:t>
            </w:r>
          </w:p>
        </w:tc>
        <w:tc>
          <w:tcPr>
            <w:tcW w:type="dxa" w:w="55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PG Rating</w:t>
            </w:r>
          </w:p>
        </w:tc>
        <w:tc>
          <w:tcPr>
            <w:tcW w:type="dxa" w:w="65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PG คะแนน</w:t>
            </w:r>
          </w:p>
        </w:tc>
        <w:tc>
          <w:tcPr>
            <w:tcW w:type="dxa" w:w="55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คู่แข่ง Rating</w:t>
            </w:r>
          </w:p>
        </w:tc>
        <w:tc>
          <w:tcPr>
            <w:tcW w:type="dxa" w:w="65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คู่แข่ง คะแนน</w:t>
            </w:r>
          </w:p>
        </w:tc>
        <w:tc>
          <w:tcPr>
            <w:tcW w:type="dxa" w:w="25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ข้อสังเกต</w:t>
            </w:r>
          </w:p>
        </w:tc>
      </w:tr>
      <w:tr>
        <w:trPr/>
        <w:tc>
          <w:tcPr>
            <w:tcW w:type="dxa" w:w="2500"/>
            <w:gridSpan w:val="7"/>
            <w:shd w:fill="EDF1F9"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สนามที่ 1: การรับจ้างผลิตเพื่อส่งออก (คู่แข่งอ้างอิง: Hi-Tech Apparel)</w:t>
            </w:r>
          </w:p>
        </w:tc>
      </w:tr>
      <w:tr>
        <w:trPr/>
        <w:tc>
          <w:tcPr>
            <w:tcW w:type="dxa" w:w="3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1. ขนาดการผลิตและต้นทุนต่อหน่วย</w:t>
            </w:r>
          </w:p>
        </w:tc>
        <w:tc>
          <w:tcPr>
            <w:tcW w:type="dxa" w:w="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0.20</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2</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0.40</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5</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1.00</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PG 2.712 ล้านชิ้น เทียบคู่แข่งกว่า 40 ล้านชิ้นต่อปี</w:t>
            </w:r>
          </w:p>
        </w:tc>
      </w:tr>
      <w:tr>
        <w:trPr/>
        <w:tc>
          <w:tcPr>
            <w:tcW w:type="dxa" w:w="3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2. ฐานการผลิตหลายประเทศและความยืดหยุ่นด้านแหล่งกำเนิดสินค้า</w:t>
            </w:r>
          </w:p>
        </w:tc>
        <w:tc>
          <w:tcPr>
            <w:tcW w:type="dxa" w:w="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0.15</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1</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0.15</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5</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0.75</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PG ผลิตในไทยเท่านั้น จึงบริหารความเสี่ยงด้านภาษีการค้าไม่ได้</w:t>
            </w:r>
          </w:p>
        </w:tc>
      </w:tr>
      <w:tr>
        <w:trPr/>
        <w:tc>
          <w:tcPr>
            <w:tcW w:type="dxa" w:w="3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3. วิศวกรรมผลิตภัณฑ์และความสามารถ ODM</w:t>
            </w:r>
          </w:p>
        </w:tc>
        <w:tc>
          <w:tcPr>
            <w:tcW w:type="dxa" w:w="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0.15</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3</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0.45</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5</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0.75</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PG มีฐาน ODM จากการออกแบบและถักผ้าเอง แต่ยังไม่มีทีมวิศวกรรมผลิตภัณฑ์เต็มรูปแบบ</w:t>
            </w:r>
          </w:p>
        </w:tc>
      </w:tr>
      <w:tr>
        <w:trPr/>
        <w:tc>
          <w:tcPr>
            <w:tcW w:type="dxa" w:w="3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4. ความคล่องตัวในงานล็อตเล็กและสเปกเฉพาะ</w:t>
            </w:r>
          </w:p>
        </w:tc>
        <w:tc>
          <w:tcPr>
            <w:tcW w:type="dxa" w:w="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0.15</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3</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0.45</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4</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0.60</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เป็นช่องว่างที่ PG ไล่ตามได้ใกล้ที่สุดในสนามนี้</w:t>
            </w:r>
          </w:p>
        </w:tc>
      </w:tr>
      <w:tr>
        <w:trPr/>
        <w:tc>
          <w:tcPr>
            <w:tcW w:type="dxa" w:w="3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5. มาตรฐานคุณภาพและความยั่งยืน</w:t>
            </w:r>
          </w:p>
        </w:tc>
        <w:tc>
          <w:tcPr>
            <w:tcW w:type="dxa" w:w="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0.15</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4</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0.60</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5</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0.75</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PG มี ISO 9001, ISO 14001, GRS, COOL MODE และฉลากเบอร์ 5</w:t>
            </w:r>
          </w:p>
        </w:tc>
      </w:tr>
      <w:tr>
        <w:trPr/>
        <w:tc>
          <w:tcPr>
            <w:tcW w:type="dxa" w:w="3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6. ระบบดิจิทัลในการผลิตและการวางแผน</w:t>
            </w:r>
          </w:p>
        </w:tc>
        <w:tc>
          <w:tcPr>
            <w:tcW w:type="dxa" w:w="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0.10</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2</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0.20</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5</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0.50</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PG เพิ่งเริ่มระบบกึ่งอัตโนมัติ ขณะที่คู่แข่งมีโรงงานดิจิทัลแล้ว</w:t>
            </w:r>
          </w:p>
        </w:tc>
      </w:tr>
      <w:tr>
        <w:trPr/>
        <w:tc>
          <w:tcPr>
            <w:tcW w:type="dxa" w:w="3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7. ความน่าเชื่อถือด้านการส่งมอบและคุณภาพ</w:t>
            </w:r>
          </w:p>
        </w:tc>
        <w:tc>
          <w:tcPr>
            <w:tcW w:type="dxa" w:w="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0.10</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3</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0.30</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4</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0.40</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PG ยังไม่เปิดเผยตัวชี้วัดการส่งมอบตรงเวลา จึงประเมินได้เพียงระดับกลาง</w:t>
            </w:r>
          </w:p>
        </w:tc>
      </w:tr>
      <w:tr>
        <w:trPr/>
        <w:tc>
          <w:tcPr>
            <w:tcW w:type="dxa" w:w="3600"/>
            <w:shd w:fill="FCE4D6" w:color="auto" w:val="clear"/>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รวมสนามที่ 1</w:t>
            </w:r>
          </w:p>
        </w:tc>
        <w:tc>
          <w:tcPr>
            <w:tcW w:type="dxa" w:w="60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1.00</w:t>
            </w:r>
          </w:p>
        </w:tc>
        <w:tc>
          <w:tcPr>
            <w:tcW w:type="dxa" w:w="55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r>
          </w:p>
        </w:tc>
        <w:tc>
          <w:tcPr>
            <w:tcW w:type="dxa" w:w="65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2.55</w:t>
            </w:r>
          </w:p>
        </w:tc>
        <w:tc>
          <w:tcPr>
            <w:tcW w:type="dxa" w:w="55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r>
          </w:p>
        </w:tc>
        <w:tc>
          <w:tcPr>
            <w:tcW w:type="dxa" w:w="65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4.75</w:t>
            </w:r>
          </w:p>
        </w:tc>
        <w:tc>
          <w:tcPr>
            <w:tcW w:type="dxa" w:w="250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PG ตามหลัง 2.20 คะแนน</w:t>
            </w:r>
          </w:p>
        </w:tc>
      </w:tr>
      <w:tr>
        <w:trPr/>
        <w:tc>
          <w:tcPr>
            <w:tcW w:type="dxa" w:w="2500"/>
            <w:gridSpan w:val="7"/>
            <w:shd w:fill="EDF1F9"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สนามที่ 2: เครื่องแบบ งานโครงการ และช่องทางในประเทศ (คู่แข่งอ้างอิง: Warrix)</w:t>
            </w:r>
          </w:p>
        </w:tc>
      </w:tr>
      <w:tr>
        <w:trPr/>
        <w:tc>
          <w:tcPr>
            <w:tcW w:type="dxa" w:w="3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1. ความแข็งแรงของแบรนด์ต่อผู้บริโภค</w:t>
            </w:r>
          </w:p>
        </w:tc>
        <w:tc>
          <w:tcPr>
            <w:tcW w:type="dxa" w:w="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0.15</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2</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0.30</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5</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0.75</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PG จำหน่ายในประเทศผ่าน I.C.C. เป็นหลัก จึงไม่มีความสัมพันธ์ตรงกับผู้บริโภค</w:t>
            </w:r>
          </w:p>
        </w:tc>
      </w:tr>
      <w:tr>
        <w:trPr/>
        <w:tc>
          <w:tcPr>
            <w:tcW w:type="dxa" w:w="3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2. ความสามารถขายโครงการและงานประมูลให้องค์กร</w:t>
            </w:r>
          </w:p>
        </w:tc>
        <w:tc>
          <w:tcPr>
            <w:tcW w:type="dxa" w:w="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0.20</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3</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0.60</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4</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0.80</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PG มีลูกค้ากลุ่มสถาบันการเงิน ราชการ รัฐวิสาหกิจ และสถานศึกษาอยู่แล้ว แต่ยังไม่มีทีมขายโครงการเฉพาะ</w:t>
            </w:r>
          </w:p>
        </w:tc>
      </w:tr>
      <w:tr>
        <w:trPr/>
        <w:tc>
          <w:tcPr>
            <w:tcW w:type="dxa" w:w="3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3. การออกแบบผลิตภัณฑ์เชิงฟังก์ชันสำหรับงานเฉพาะ</w:t>
            </w:r>
          </w:p>
        </w:tc>
        <w:tc>
          <w:tcPr>
            <w:tcW w:type="dxa" w:w="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0.20</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4</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0.80</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4</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0.80</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PG ผลิตผ้าถักเองและมีวัสดุเชิงฟังก์ชันหลายรายการ เป็นจุดที่เทียบเท่าคู่แข่ง</w:t>
            </w:r>
          </w:p>
        </w:tc>
      </w:tr>
      <w:tr>
        <w:trPr/>
        <w:tc>
          <w:tcPr>
            <w:tcW w:type="dxa" w:w="3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4. การควบคุมช่องทางจำหน่ายและข้อมูลลูกค้า</w:t>
            </w:r>
          </w:p>
        </w:tc>
        <w:tc>
          <w:tcPr>
            <w:tcW w:type="dxa" w:w="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0.15</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2</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0.30</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4</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0.60</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เป็นจุดอ่อนที่ชัดเจนที่สุดของ PG ในสนามนี้</w:t>
            </w:r>
          </w:p>
        </w:tc>
      </w:tr>
      <w:tr>
        <w:trPr/>
        <w:tc>
          <w:tcPr>
            <w:tcW w:type="dxa" w:w="3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5. การผลิตเองและการควบคุมคุณภาพและต้นทุน</w:t>
            </w:r>
          </w:p>
        </w:tc>
        <w:tc>
          <w:tcPr>
            <w:tcW w:type="dxa" w:w="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0.15</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4</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0.60</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3</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0.45</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PG ได้เปรียบเพราะมีโรงงานผ้าถักและโรงงานตัดเย็บของตนเอง</w:t>
            </w:r>
          </w:p>
        </w:tc>
      </w:tr>
      <w:tr>
        <w:trPr/>
        <w:tc>
          <w:tcPr>
            <w:tcW w:type="dxa" w:w="3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6. บริการหลังการขายและการเติมสินค้าตามสัญญา</w:t>
            </w:r>
          </w:p>
        </w:tc>
        <w:tc>
          <w:tcPr>
            <w:tcW w:type="dxa" w:w="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0.15</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2</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0.30</w:t>
            </w:r>
          </w:p>
        </w:tc>
        <w:tc>
          <w:tcPr>
            <w:tcW w:type="dxa" w:w="5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3</w:t>
            </w:r>
          </w:p>
        </w:tc>
        <w:tc>
          <w:tcPr>
            <w:tcW w:type="dxa" w:w="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0.45</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จากข้อมูลสาธารณะที่ตรวจสอบ ไม่พบหลักฐานเพียงพอให้ยืนยันขอบเขตระบบเติมสินค้าตามสัญญาของแต่ละบริษัท คะแนนจึงเป็นประมาณการของผู้จัดทำ ไม่ใช่ข้อเท็จจริงขององค์กร</w:t>
            </w:r>
          </w:p>
        </w:tc>
      </w:tr>
      <w:tr>
        <w:trPr/>
        <w:tc>
          <w:tcPr>
            <w:tcW w:type="dxa" w:w="3600"/>
            <w:shd w:fill="FCE4D6" w:color="auto" w:val="clear"/>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รวมสนามที่ 2</w:t>
            </w:r>
          </w:p>
        </w:tc>
        <w:tc>
          <w:tcPr>
            <w:tcW w:type="dxa" w:w="60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1.00</w:t>
            </w:r>
          </w:p>
        </w:tc>
        <w:tc>
          <w:tcPr>
            <w:tcW w:type="dxa" w:w="55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r>
          </w:p>
        </w:tc>
        <w:tc>
          <w:tcPr>
            <w:tcW w:type="dxa" w:w="65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2.90</w:t>
            </w:r>
          </w:p>
        </w:tc>
        <w:tc>
          <w:tcPr>
            <w:tcW w:type="dxa" w:w="55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r>
          </w:p>
        </w:tc>
        <w:tc>
          <w:tcPr>
            <w:tcW w:type="dxa" w:w="65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3.85</w:t>
            </w:r>
          </w:p>
        </w:tc>
        <w:tc>
          <w:tcPr>
            <w:tcW w:type="dxa" w:w="250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PG ตามหลังเพียง 0.95 คะแนน</w:t>
            </w:r>
          </w:p>
        </w:tc>
      </w:tr>
    </w:tbl>
    <w:p>
      <w:r>
        <w:rPr>
          <w:rFonts w:ascii="TH Sarabun New" w:hAnsi="TH Sarabun New" w:eastAsia="TH Sarabun New"/>
          <w:i/>
          <w:color w:val="666666"/>
          <w:sz w:val="20"/>
        </w:rPr>
        <w:t>ที่มา: [1][14][16]; weights/ratings เป็น analyst estimates และแต่ละสนามมีน้ำหนักรวม 1.00</w:t>
      </w:r>
    </w:p>
    <w:p>
      <w:pPr>
        <w:spacing w:after="110" w:line="228"/>
        <w:jc w:val="left"/>
      </w:pPr>
      <w:r>
        <w:rPr>
          <w:rFonts w:ascii="TH Sarabun New" w:cs="TH Sarabun New" w:eastAsia="TH Sarabun New" w:hAnsi="TH Sarabun New"/>
          <w:b w:val="false"/>
          <w:bCs w:val="false"/>
          <w:i w:val="false"/>
          <w:iCs w:val="false"/>
          <w:sz w:val="26"/>
          <w:szCs w:val="26"/>
        </w:rPr>
        <w:t xml:space="preserve">หมายเหตุ: คะแนน 1–5 เป็นการประเมินของผู้จัดทำจากหลักฐานสาธารณะ ไม่ใช่คะแนนที่บริษัทใดประกาศ ที่มา: [1][14][16]</w:t>
      </w:r>
    </w:p>
    <w:p>
      <w:pPr>
        <w:spacing w:after="60" w:before="60" w:line="240" w:lineRule="auto"/>
        <w:jc w:val="center"/>
      </w:pPr>
      <w:r>
        <w:drawing>
          <wp:inline distT="0" distB="0" distL="0" distR="0">
            <wp:extent cx="4762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33625"/>
                    </a:xfrm>
                    <a:prstGeom prst="rect">
                      <a:avLst/>
                    </a:prstGeom>
                  </pic:spPr>
                </pic:pic>
              </a:graphicData>
            </a:graphic>
          </wp:inline>
        </w:drawing>
      </w:r>
    </w:p>
    <w:p>
      <w:pPr>
        <w:spacing w:after="110" w:line="228"/>
        <w:jc w:val="left"/>
      </w:pPr>
      <w:r>
        <w:rPr>
          <w:rFonts w:ascii="TH Sarabun New" w:cs="TH Sarabun New" w:eastAsia="TH Sarabun New" w:hAnsi="TH Sarabun New"/>
          <w:b w:val="false"/>
          <w:bCs w:val="false"/>
          <w:i w:val="false"/>
          <w:iCs w:val="false"/>
          <w:sz w:val="26"/>
          <w:szCs w:val="26"/>
        </w:rPr>
        <w:t xml:space="preserve">รูปที่ 3  ช่องว่างคะแนนถ่วงน้ำหนักรายปัจจัยแห่งความสำเร็จ แยกตามสนามแข่งขัน  ที่มา: คำนวณจากตารางที่ 7</w:t>
      </w:r>
    </w:p>
    <w:p>
      <w:pPr>
        <w:keepNext w:val="false"/>
        <w:spacing w:after="50" w:line="240"/>
        <w:ind w:firstLine="480"/>
        <w:jc w:val="both"/>
      </w:pPr>
      <w:r>
        <w:rPr>
          <w:rFonts w:ascii="TH Sarabun New" w:hAnsi="TH Sarabun New" w:eastAsia="TH Sarabun New"/>
          <w:sz w:val="32"/>
        </w:rPr>
        <w:t>นัยเชิงกลยุทธ์ต่อ PG: ในสนาม OEM ส่งออก PG ตามหลัง 2.20 คะแนน โดยช่องว่างหลักอยู่ที่ขนาดและฐานผลิตหลายประเทศ แต่ในสนามเครื่องแบบและงานโครงการ PG ตามหลัง 0.95 คะแนน และมีฐานผ้าถัก การควบคุมคุณภาพ และผลิตภัณฑ์เชิงฟังก์ชันที่ใช้ต่อยอดได้ Warrix จึงใช้เป็น benchmark ใกล้เคียงด้านงานโครงการ/เครื่องแบบ มิใช่คู่แข่งตรงสมบูรณ์ ส่วน Sabina และ MC Group ใช้เพียงเทียบเศรษฐศาสตร์ของแบรนด์/ช่องทาง ไม่ใช้สมมติว่า PG จะได้อัตรากำไรขั้นต้นเท่ากัน คะแนนคู่แข่งทั้งหมดเป็น analyst estimates จากข้อมูลสาธารณะ</w:t>
      </w:r>
    </w:p>
    <w:p>
      <w:pPr>
        <w:pStyle w:val="Heading3"/>
        <w:keepNext/>
        <w:spacing w:after="70" w:before="150"/>
      </w:pPr>
      <w:r>
        <w:rPr>
          <w:rFonts w:ascii="TH Sarabun New" w:cs="TH Sarabun New" w:eastAsia="TH Sarabun New" w:hAnsi="TH Sarabun New"/>
          <w:b/>
          <w:bCs/>
          <w:i w:val="false"/>
          <w:iCs w:val="false"/>
          <w:sz w:val="32"/>
          <w:szCs w:val="32"/>
        </w:rPr>
        <w:t xml:space="preserve">3.1.4 การวิเคราะห์โอกาสและอุปสรรค</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โอกาสและอุปสรรคทั้งหมดกลั่นมาจากตารางที่ 4–7 โดยไม่มีการสร้างปัจจัยใหม่ในขั้นตอน EFAS และผ่านการทดสอบสองข้อ คือเป็นเรื่องนอกการควบคุมของ PG จริงหรือไม่ และมีนัยเฉพาะต่อ PG อย่างไร แนวโน้มที่ฟังดูดีแต่ไม่มีเส้นทางเชื่อมไปยังทรัพยากรของ PG จะไม่ถูกจัดเป็นโอกาส</w:t>
      </w:r>
    </w:p>
    <w:p>
      <w:pPr>
        <w:keepNext w:val="false"/>
        <w:spacing w:after="50" w:line="240"/>
        <w:ind w:firstLine="480"/>
        <w:jc w:val="both"/>
      </w:pPr>
      <w:r>
        <w:rPr>
          <w:rFonts w:ascii="TH Sarabun New" w:hAnsi="TH Sarabun New" w:eastAsia="TH Sarabun New"/>
          <w:sz w:val="32"/>
        </w:rPr>
        <w:t>โอกาสประกอบด้วย O1 อุปสงค์เครื่องแบบและชุดทำงานเชิงฟังก์ชันในกลุ่มการแพทย์ บริการ และอุตสาหกรรม O2 กฎเกณฑ์และเกณฑ์จัดซื้อสากลที่ให้ค่ากับการตรวจสอบย้อนกลับและเศรษฐกิจหมุนเวียน O3 การกลับมาขยายตัวของการส่งออกเครื่องนุ่งห่มไทยในบางหมวด และ O4 ต้นทุนการเข้าถึงเครื่องมือดิจิทัลสำหรับงาน B2B ที่ลดลง ไม่รวม SPI/เครือสหพัฒน์ซึ่งเป็นปัจจัยภายใน</w:t>
      </w:r>
    </w:p>
    <w:p>
      <w:pPr>
        <w:keepNext w:val="false"/>
        <w:spacing w:after="50" w:line="240"/>
        <w:ind w:firstLine="480"/>
        <w:jc w:val="both"/>
      </w:pPr>
      <w:r>
        <w:rPr>
          <w:rFonts w:ascii="TH Sarabun New" w:hAnsi="TH Sarabun New" w:eastAsia="TH Sarabun New"/>
          <w:sz w:val="32"/>
        </w:rPr>
        <w:t>อุปสรรคประกอบด้วย T1 การแข่งขันด้านต้นทุนจากผู้ผลิตต่างประเทศและสินค้านำเข้าราคาต่ำ T2 อำนาจต่อรองของผู้ซื้อในอุตสาหกรรมรับจ้างผลิตและค้าปลีก T3 กำลังซื้อในประเทศอ่อนแอและการเปลี่ยนนโยบายจัดซื้อของลูกค้ารายใหญ่ T4 ความไม่แน่นอนจากมาตรการภาษีการค้าและอัตราแลกเปลี่ยน และ T5 มาตรฐานอุตสาหกรรมด้าน automation, response time และ digital manufacturing ที่สูงขึ้น ส่วนช่องว่างเทคโนโลยี/ผลิตภาพเฉพาะของ PG จัดเป็น W4</w:t>
      </w:r>
    </w:p>
    <w:p>
      <w:pPr>
        <w:pStyle w:val="Heading3"/>
        <w:keepNext/>
        <w:spacing w:after="70" w:before="150"/>
      </w:pPr>
      <w:r>
        <w:rPr>
          <w:rFonts w:ascii="TH Sarabun New" w:cs="TH Sarabun New" w:eastAsia="TH Sarabun New" w:hAnsi="TH Sarabun New"/>
          <w:b/>
          <w:bCs/>
          <w:i w:val="false"/>
          <w:iCs w:val="false"/>
          <w:sz w:val="32"/>
          <w:szCs w:val="32"/>
        </w:rPr>
        <w:t xml:space="preserve">3.1.5 บทสรุปการวิเคราะห์ปัจจัยภายนอก (EFAS)</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ตาราง EFAS จัดทำตามหลักเกณฑ์ในบทเรียนบทที่ 4 คือน้ำหนักสะท้อน </w:t>
      </w:r>
      <w:r>
        <w:rPr>
          <w:rFonts w:ascii="TH Sarabun New" w:cs="TH Sarabun New" w:eastAsia="TH Sarabun New" w:hAnsi="TH Sarabun New"/>
          <w:b/>
          <w:bCs/>
          <w:i w:val="false"/>
          <w:iCs w:val="false"/>
          <w:sz w:val="32"/>
          <w:szCs w:val="32"/>
        </w:rPr>
        <w:t xml:space="preserve">ความสำคัญ</w:t>
      </w:r>
      <w:r>
        <w:rPr>
          <w:rFonts w:ascii="TH Sarabun New" w:cs="TH Sarabun New" w:eastAsia="TH Sarabun New" w:hAnsi="TH Sarabun New"/>
          <w:b w:val="false"/>
          <w:bCs w:val="false"/>
          <w:i w:val="false"/>
          <w:iCs w:val="false"/>
          <w:sz w:val="32"/>
          <w:szCs w:val="32"/>
        </w:rPr>
        <w:t xml:space="preserve"> ของปัจจัยต่อตำแหน่งเชิงกลยุทธ์ ผลรวมเท่ากับ 1.00 ส่วนคะแนน (Rating) ใช้มาตรา 1–5 สะท้อน </w:t>
      </w:r>
      <w:r>
        <w:rPr>
          <w:rFonts w:ascii="TH Sarabun New" w:cs="TH Sarabun New" w:eastAsia="TH Sarabun New" w:hAnsi="TH Sarabun New"/>
          <w:b/>
          <w:bCs/>
          <w:i w:val="false"/>
          <w:iCs w:val="false"/>
          <w:sz w:val="32"/>
          <w:szCs w:val="32"/>
        </w:rPr>
        <w:t xml:space="preserve">คุณภาพการตอบสนองของบริษัทต่อปัจจัยนั้น</w:t>
      </w:r>
      <w:r>
        <w:rPr>
          <w:rFonts w:ascii="TH Sarabun New" w:cs="TH Sarabun New" w:eastAsia="TH Sarabun New" w:hAnsi="TH Sarabun New"/>
          <w:b w:val="false"/>
          <w:bCs w:val="false"/>
          <w:i w:val="false"/>
          <w:iCs w:val="false"/>
          <w:sz w:val="32"/>
          <w:szCs w:val="32"/>
        </w:rPr>
        <w:t xml:space="preserve"> โดย 5 คือดีเด่น 3 คือปานกลาง และ 1 คือแย่มาก ข้อผิดพลาดที่แก้ไขในรายงานฉบับนี้คือการให้คะแนน 5 เพราะปัจจัยนั้นสำคัญ ซึ่งเป็นการนำความสำคัญมาใส่ซ้ำในช่อง Rating</w:t>
      </w:r>
    </w:p>
    <w:p>
      <w:pPr>
        <w:keepNext/>
        <w:spacing w:after="50" w:before="130"/>
        <w:jc w:val="left"/>
      </w:pPr>
      <w:r>
        <w:rPr>
          <w:rFonts w:ascii="TH Sarabun New" w:cs="TH Sarabun New" w:eastAsia="TH Sarabun New" w:hAnsi="TH Sarabun New"/>
          <w:b/>
          <w:bCs/>
          <w:i w:val="false"/>
          <w:iCs w:val="false"/>
          <w:sz w:val="28"/>
          <w:szCs w:val="28"/>
        </w:rPr>
        <w:t xml:space="preserve">ตารางที่ 8  สรุปการวิเคราะห์ปัจจัยภายนอก (EFAS Matrix) ของ PG</w:t>
      </w:r>
    </w:p>
    <w:tbl>
      <w:tblPr>
        <w:tblW w:type="dxa" w:w="9468"/>
        <w:jc w:val="center"/>
        <w:tblBorders>
          <w:top w:val="single" w:color="B7B7B7" w:sz="4"/>
          <w:left w:val="single" w:color="B7B7B7" w:sz="4"/>
          <w:bottom w:val="single" w:color="B7B7B7" w:sz="4"/>
          <w:right w:val="single" w:color="B7B7B7" w:sz="4"/>
          <w:insideH w:val="single" w:color="B7B7B7" w:sz="4"/>
          <w:insideV w:val="single" w:color="B7B7B7" w:sz="4"/>
        </w:tblBorders>
        <w:tblLayout w:type="fixed"/>
      </w:tblPr>
      <w:tblGrid>
        <w:gridCol w:w="3150"/>
        <w:gridCol w:w="650"/>
        <w:gridCol w:w="650"/>
        <w:gridCol w:w="700"/>
        <w:gridCol w:w="3870"/>
      </w:tblGrid>
      <w:tr>
        <w:trPr>
          <w:tblHeader w:val="true"/>
        </w:trPr>
        <w:tc>
          <w:tcPr>
            <w:tcW w:type="dxa" w:w="315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ปัจจัยภายนอก (External Factors)</w:t>
            </w:r>
          </w:p>
        </w:tc>
        <w:tc>
          <w:tcPr>
            <w:tcW w:type="dxa" w:w="65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น้ำหนัก</w:t>
            </w:r>
          </w:p>
        </w:tc>
        <w:tc>
          <w:tcPr>
            <w:tcW w:type="dxa" w:w="65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Rating</w:t>
            </w:r>
          </w:p>
        </w:tc>
        <w:tc>
          <w:tcPr>
            <w:tcW w:type="dxa" w:w="7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คะแนน</w:t>
            </w:r>
          </w:p>
        </w:tc>
        <w:tc>
          <w:tcPr>
            <w:tcW w:type="dxa" w:w="387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เหตุผลของน้ำหนักและคะแนน</w:t>
            </w:r>
          </w:p>
        </w:tc>
      </w:tr>
      <w:tr>
        <w:trPr/>
        <w:tc>
          <w:tcPr>
            <w:tcW w:type="dxa" w:w="3870"/>
            <w:gridSpan w:val="5"/>
            <w:vAlign w:val="center"/>
            <w:shd w:fill="F2F2F2"/>
          </w:tcPr>
          <w:p>
            <w:pPr>
              <w:spacing w:before="0" w:after="0" w:line="240" w:lineRule="auto"/>
              <w:jc w:val="center"/>
            </w:pPr>
            <w:r>
              <w:rPr>
                <w:rFonts w:ascii="TH Sarabun New" w:hAnsi="TH Sarabun New" w:eastAsia="TH Sarabun New"/>
                <w:b w:val="0"/>
                <w:sz w:val="19"/>
              </w:rPr>
              <w:t>โอกาส (Opportunities)</w:t>
            </w:r>
          </w:p>
        </w:tc>
      </w:tr>
      <w:tr>
        <w:trPr/>
        <w:tc>
          <w:tcPr>
            <w:tcW w:type="dxa" w:w="3150"/>
            <w:vAlign w:val="center"/>
          </w:tcPr>
          <w:p>
            <w:pPr>
              <w:spacing w:before="0" w:after="0" w:line="240" w:lineRule="auto"/>
              <w:jc w:val="left"/>
            </w:pPr>
            <w:r>
              <w:rPr>
                <w:rFonts w:ascii="TH Sarabun New" w:hAnsi="TH Sarabun New" w:eastAsia="TH Sarabun New"/>
                <w:b w:val="0"/>
                <w:sz w:val="19"/>
              </w:rPr>
              <w:t>O1 อุปสงค์เครื่องแบบและชุดทำงานเชิงฟังก์ชันในกลุ่มการแพทย์ บริการ และอุตสาหกรรม</w:t>
            </w:r>
          </w:p>
        </w:tc>
        <w:tc>
          <w:tcPr>
            <w:tcW w:type="dxa" w:w="650"/>
            <w:vAlign w:val="center"/>
          </w:tcPr>
          <w:p>
            <w:pPr>
              <w:spacing w:before="0" w:after="0" w:line="240" w:lineRule="auto"/>
              <w:jc w:val="center"/>
            </w:pPr>
            <w:r>
              <w:rPr>
                <w:rFonts w:ascii="TH Sarabun New" w:hAnsi="TH Sarabun New" w:eastAsia="TH Sarabun New"/>
                <w:b w:val="0"/>
                <w:sz w:val="19"/>
              </w:rPr>
              <w:t>0.14</w:t>
            </w:r>
          </w:p>
        </w:tc>
        <w:tc>
          <w:tcPr>
            <w:tcW w:type="dxa" w:w="650"/>
            <w:vAlign w:val="center"/>
          </w:tcPr>
          <w:p>
            <w:pPr>
              <w:spacing w:before="0" w:after="0" w:line="240" w:lineRule="auto"/>
              <w:jc w:val="center"/>
            </w:pPr>
            <w:r>
              <w:rPr>
                <w:rFonts w:ascii="TH Sarabun New" w:hAnsi="TH Sarabun New" w:eastAsia="TH Sarabun New"/>
                <w:b w:val="0"/>
                <w:sz w:val="19"/>
              </w:rPr>
              <w:t>3</w:t>
            </w:r>
          </w:p>
        </w:tc>
        <w:tc>
          <w:tcPr>
            <w:tcW w:type="dxa" w:w="700"/>
            <w:vAlign w:val="center"/>
          </w:tcPr>
          <w:p>
            <w:pPr>
              <w:spacing w:before="0" w:after="0" w:line="240" w:lineRule="auto"/>
              <w:jc w:val="center"/>
            </w:pPr>
            <w:r>
              <w:rPr>
                <w:rFonts w:ascii="TH Sarabun New" w:hAnsi="TH Sarabun New" w:eastAsia="TH Sarabun New"/>
                <w:b w:val="0"/>
                <w:sz w:val="19"/>
              </w:rPr>
              <w:t>0.42</w:t>
            </w:r>
          </w:p>
        </w:tc>
        <w:tc>
          <w:tcPr>
            <w:tcW w:type="dxa" w:w="3870"/>
            <w:vAlign w:val="center"/>
          </w:tcPr>
          <w:p>
            <w:pPr>
              <w:spacing w:before="0" w:after="0" w:line="240" w:lineRule="auto"/>
              <w:jc w:val="center"/>
            </w:pPr>
            <w:r>
              <w:rPr>
                <w:rFonts w:ascii="TH Sarabun New" w:hAnsi="TH Sarabun New" w:eastAsia="TH Sarabun New"/>
                <w:b w:val="0"/>
                <w:sz w:val="19"/>
              </w:rPr>
              <w:t>สำคัญสูงสุดในกลุ่มโอกาสและตรงกับฐานผลิตภัณฑ์ของ PG; Rating 3 เพราะมีชุดทางการแพทย์และลูกค้าองค์กรแล้ว แต่ยังไม่เป็นหน่วยธุรกิจที่วัดกำไรแยก</w:t>
            </w:r>
          </w:p>
        </w:tc>
      </w:tr>
      <w:tr>
        <w:trPr/>
        <w:tc>
          <w:tcPr>
            <w:tcW w:type="dxa" w:w="3150"/>
            <w:vAlign w:val="center"/>
          </w:tcPr>
          <w:p>
            <w:pPr>
              <w:spacing w:before="0" w:after="0" w:line="240" w:lineRule="auto"/>
              <w:jc w:val="left"/>
            </w:pPr>
            <w:r>
              <w:rPr>
                <w:rFonts w:ascii="TH Sarabun New" w:hAnsi="TH Sarabun New" w:eastAsia="TH Sarabun New"/>
                <w:b w:val="0"/>
                <w:sz w:val="19"/>
              </w:rPr>
              <w:t>O2 กฎและเกณฑ์จัดซื้อสากลด้าน traceability/circularity</w:t>
            </w:r>
          </w:p>
        </w:tc>
        <w:tc>
          <w:tcPr>
            <w:tcW w:type="dxa" w:w="650"/>
            <w:vAlign w:val="center"/>
          </w:tcPr>
          <w:p>
            <w:pPr>
              <w:spacing w:before="0" w:after="0" w:line="240" w:lineRule="auto"/>
              <w:jc w:val="center"/>
            </w:pPr>
            <w:r>
              <w:rPr>
                <w:rFonts w:ascii="TH Sarabun New" w:hAnsi="TH Sarabun New" w:eastAsia="TH Sarabun New"/>
                <w:b w:val="0"/>
                <w:sz w:val="19"/>
              </w:rPr>
              <w:t>0.10</w:t>
            </w:r>
          </w:p>
        </w:tc>
        <w:tc>
          <w:tcPr>
            <w:tcW w:type="dxa" w:w="650"/>
            <w:vAlign w:val="center"/>
          </w:tcPr>
          <w:p>
            <w:pPr>
              <w:spacing w:before="0" w:after="0" w:line="240" w:lineRule="auto"/>
              <w:jc w:val="center"/>
            </w:pPr>
            <w:r>
              <w:rPr>
                <w:rFonts w:ascii="TH Sarabun New" w:hAnsi="TH Sarabun New" w:eastAsia="TH Sarabun New"/>
                <w:b w:val="0"/>
                <w:sz w:val="19"/>
              </w:rPr>
              <w:t>3</w:t>
            </w:r>
          </w:p>
        </w:tc>
        <w:tc>
          <w:tcPr>
            <w:tcW w:type="dxa" w:w="700"/>
            <w:vAlign w:val="center"/>
          </w:tcPr>
          <w:p>
            <w:pPr>
              <w:spacing w:before="0" w:after="0" w:line="240" w:lineRule="auto"/>
              <w:jc w:val="center"/>
            </w:pPr>
            <w:r>
              <w:rPr>
                <w:rFonts w:ascii="TH Sarabun New" w:hAnsi="TH Sarabun New" w:eastAsia="TH Sarabun New"/>
                <w:b w:val="0"/>
                <w:sz w:val="19"/>
              </w:rPr>
              <w:t>0.30</w:t>
            </w:r>
          </w:p>
        </w:tc>
        <w:tc>
          <w:tcPr>
            <w:tcW w:type="dxa" w:w="3870"/>
            <w:vAlign w:val="center"/>
          </w:tcPr>
          <w:p>
            <w:pPr>
              <w:spacing w:before="0" w:after="0" w:line="240" w:lineRule="auto"/>
              <w:jc w:val="center"/>
            </w:pPr>
            <w:r>
              <w:rPr>
                <w:rFonts w:ascii="TH Sarabun New" w:hAnsi="TH Sarabun New" w:eastAsia="TH Sarabun New"/>
                <w:b w:val="0"/>
                <w:sz w:val="19"/>
              </w:rPr>
              <w:t>กำหนดการเข้าถึงลูกค้ามูลค่าสูง; Rating 3 เพราะมี ISO 14001/GRS แต่ยังไม่มีข้อมูลระดับ SKU/ล็อตครบ</w:t>
            </w:r>
          </w:p>
        </w:tc>
      </w:tr>
      <w:tr>
        <w:trPr/>
        <w:tc>
          <w:tcPr>
            <w:tcW w:type="dxa" w:w="3150"/>
            <w:vAlign w:val="center"/>
          </w:tcPr>
          <w:p>
            <w:pPr>
              <w:spacing w:before="0" w:after="0" w:line="240" w:lineRule="auto"/>
              <w:jc w:val="left"/>
            </w:pPr>
            <w:r>
              <w:rPr>
                <w:rFonts w:ascii="TH Sarabun New" w:hAnsi="TH Sarabun New" w:eastAsia="TH Sarabun New"/>
                <w:b w:val="0"/>
                <w:sz w:val="19"/>
              </w:rPr>
              <w:t>O3 การส่งออกเสื้อผ้าสำเร็จรูปไทยบางหมวดกลับมาขยายตัว</w:t>
            </w:r>
          </w:p>
        </w:tc>
        <w:tc>
          <w:tcPr>
            <w:tcW w:type="dxa" w:w="650"/>
            <w:vAlign w:val="center"/>
          </w:tcPr>
          <w:p>
            <w:pPr>
              <w:spacing w:before="0" w:after="0" w:line="240" w:lineRule="auto"/>
              <w:jc w:val="center"/>
            </w:pPr>
            <w:r>
              <w:rPr>
                <w:rFonts w:ascii="TH Sarabun New" w:hAnsi="TH Sarabun New" w:eastAsia="TH Sarabun New"/>
                <w:b w:val="0"/>
                <w:sz w:val="19"/>
              </w:rPr>
              <w:t>0.07</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0.14</w:t>
            </w:r>
          </w:p>
        </w:tc>
        <w:tc>
          <w:tcPr>
            <w:tcW w:type="dxa" w:w="3870"/>
            <w:vAlign w:val="center"/>
          </w:tcPr>
          <w:p>
            <w:pPr>
              <w:spacing w:before="0" w:after="0" w:line="240" w:lineRule="auto"/>
              <w:jc w:val="center"/>
            </w:pPr>
            <w:r>
              <w:rPr>
                <w:rFonts w:ascii="TH Sarabun New" w:hAnsi="TH Sarabun New" w:eastAsia="TH Sarabun New"/>
                <w:b w:val="0"/>
                <w:sz w:val="19"/>
              </w:rPr>
              <w:t>OIE รายงาน 2,018.77 ล้านดอลลาร์สหรัฐ +5.61%; Rating 2 เพราะยอดส่งออก PG กลับลด 34.36%</w:t>
            </w:r>
          </w:p>
        </w:tc>
      </w:tr>
      <w:tr>
        <w:trPr/>
        <w:tc>
          <w:tcPr>
            <w:tcW w:type="dxa" w:w="3150"/>
            <w:vAlign w:val="center"/>
          </w:tcPr>
          <w:p>
            <w:pPr>
              <w:spacing w:before="0" w:after="0" w:line="240" w:lineRule="auto"/>
              <w:jc w:val="left"/>
            </w:pPr>
            <w:r>
              <w:rPr>
                <w:rFonts w:ascii="TH Sarabun New" w:hAnsi="TH Sarabun New" w:eastAsia="TH Sarabun New"/>
                <w:b w:val="0"/>
                <w:sz w:val="19"/>
              </w:rPr>
              <w:t>O4 ต้นทุนเข้าถึงเครื่องมือดิจิทัล B2B ลดลง</w:t>
            </w:r>
          </w:p>
        </w:tc>
        <w:tc>
          <w:tcPr>
            <w:tcW w:type="dxa" w:w="650"/>
            <w:vAlign w:val="center"/>
          </w:tcPr>
          <w:p>
            <w:pPr>
              <w:spacing w:before="0" w:after="0" w:line="240" w:lineRule="auto"/>
              <w:jc w:val="center"/>
            </w:pPr>
            <w:r>
              <w:rPr>
                <w:rFonts w:ascii="TH Sarabun New" w:hAnsi="TH Sarabun New" w:eastAsia="TH Sarabun New"/>
                <w:b w:val="0"/>
                <w:sz w:val="19"/>
              </w:rPr>
              <w:t>0.07</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0.14</w:t>
            </w:r>
          </w:p>
        </w:tc>
        <w:tc>
          <w:tcPr>
            <w:tcW w:type="dxa" w:w="3870"/>
            <w:vAlign w:val="center"/>
          </w:tcPr>
          <w:p>
            <w:pPr>
              <w:spacing w:before="0" w:after="0" w:line="240" w:lineRule="auto"/>
              <w:jc w:val="center"/>
            </w:pPr>
            <w:r>
              <w:rPr>
                <w:rFonts w:ascii="TH Sarabun New" w:hAnsi="TH Sarabun New" w:eastAsia="TH Sarabun New"/>
                <w:b w:val="0"/>
                <w:sz w:val="19"/>
              </w:rPr>
              <w:t>ช่วยผู้ผลิตขนาดกลางยกระดับ CRM/costing/S&amp;OP; Rating 2 เพราะ PG ยังไม่เปิดเผยระบบเชิงพาณิชย์ดังกล่าว</w:t>
            </w:r>
          </w:p>
        </w:tc>
      </w:tr>
      <w:tr>
        <w:trPr/>
        <w:tc>
          <w:tcPr>
            <w:tcW w:type="dxa" w:w="3870"/>
            <w:gridSpan w:val="5"/>
            <w:vAlign w:val="center"/>
            <w:shd w:fill="F2F2F2"/>
          </w:tcPr>
          <w:p>
            <w:pPr>
              <w:spacing w:before="0" w:after="0" w:line="240" w:lineRule="auto"/>
              <w:jc w:val="center"/>
            </w:pPr>
            <w:r>
              <w:rPr>
                <w:rFonts w:ascii="TH Sarabun New" w:hAnsi="TH Sarabun New" w:eastAsia="TH Sarabun New"/>
                <w:b w:val="0"/>
                <w:sz w:val="19"/>
              </w:rPr>
              <w:t>อุปสรรค (Threats)</w:t>
            </w:r>
          </w:p>
        </w:tc>
      </w:tr>
      <w:tr>
        <w:trPr/>
        <w:tc>
          <w:tcPr>
            <w:tcW w:type="dxa" w:w="3150"/>
            <w:vAlign w:val="center"/>
          </w:tcPr>
          <w:p>
            <w:pPr>
              <w:spacing w:before="0" w:after="0" w:line="240" w:lineRule="auto"/>
              <w:jc w:val="left"/>
            </w:pPr>
            <w:r>
              <w:rPr>
                <w:rFonts w:ascii="TH Sarabun New" w:hAnsi="TH Sarabun New" w:eastAsia="TH Sarabun New"/>
                <w:b w:val="0"/>
                <w:sz w:val="19"/>
              </w:rPr>
              <w:t>T1 การแข่งขันด้านต้นทุนจากผู้ผลิตต่างประเทศและสินค้านำเข้าราคาต่ำ</w:t>
            </w:r>
          </w:p>
        </w:tc>
        <w:tc>
          <w:tcPr>
            <w:tcW w:type="dxa" w:w="650"/>
            <w:vAlign w:val="center"/>
          </w:tcPr>
          <w:p>
            <w:pPr>
              <w:spacing w:before="0" w:after="0" w:line="240" w:lineRule="auto"/>
              <w:jc w:val="center"/>
            </w:pPr>
            <w:r>
              <w:rPr>
                <w:rFonts w:ascii="TH Sarabun New" w:hAnsi="TH Sarabun New" w:eastAsia="TH Sarabun New"/>
                <w:b w:val="0"/>
                <w:sz w:val="19"/>
              </w:rPr>
              <w:t>0.16</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0.32</w:t>
            </w:r>
          </w:p>
        </w:tc>
        <w:tc>
          <w:tcPr>
            <w:tcW w:type="dxa" w:w="3870"/>
            <w:vAlign w:val="center"/>
          </w:tcPr>
          <w:p>
            <w:pPr>
              <w:spacing w:before="0" w:after="0" w:line="240" w:lineRule="auto"/>
              <w:jc w:val="center"/>
            </w:pPr>
            <w:r>
              <w:rPr>
                <w:rFonts w:ascii="TH Sarabun New" w:hAnsi="TH Sarabun New" w:eastAsia="TH Sarabun New"/>
                <w:b w:val="0"/>
                <w:sz w:val="19"/>
              </w:rPr>
              <w:t>กระทบเพดานอัตรากำไรโดยตรง; Rating 2 เพราะการตอบสนองยังไม่เปลี่ยนสนามการแข่งขันอย่างเป็นระบบ</w:t>
            </w:r>
          </w:p>
        </w:tc>
      </w:tr>
      <w:tr>
        <w:trPr/>
        <w:tc>
          <w:tcPr>
            <w:tcW w:type="dxa" w:w="3150"/>
            <w:vAlign w:val="center"/>
          </w:tcPr>
          <w:p>
            <w:pPr>
              <w:spacing w:before="0" w:after="0" w:line="240" w:lineRule="auto"/>
              <w:jc w:val="left"/>
            </w:pPr>
            <w:r>
              <w:rPr>
                <w:rFonts w:ascii="TH Sarabun New" w:hAnsi="TH Sarabun New" w:eastAsia="TH Sarabun New"/>
                <w:b w:val="0"/>
                <w:sz w:val="19"/>
              </w:rPr>
              <w:t>T2 อำนาจต่อรองของผู้ซื้อในอุตสาหกรรมรับจ้างผลิตและค้าปลีก</w:t>
            </w:r>
          </w:p>
        </w:tc>
        <w:tc>
          <w:tcPr>
            <w:tcW w:type="dxa" w:w="650"/>
            <w:vAlign w:val="center"/>
          </w:tcPr>
          <w:p>
            <w:pPr>
              <w:spacing w:before="0" w:after="0" w:line="240" w:lineRule="auto"/>
              <w:jc w:val="center"/>
            </w:pPr>
            <w:r>
              <w:rPr>
                <w:rFonts w:ascii="TH Sarabun New" w:hAnsi="TH Sarabun New" w:eastAsia="TH Sarabun New"/>
                <w:b w:val="0"/>
                <w:sz w:val="19"/>
              </w:rPr>
              <w:t>0.14</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0.28</w:t>
            </w:r>
          </w:p>
        </w:tc>
        <w:tc>
          <w:tcPr>
            <w:tcW w:type="dxa" w:w="3870"/>
            <w:vAlign w:val="center"/>
          </w:tcPr>
          <w:p>
            <w:pPr>
              <w:spacing w:before="0" w:after="0" w:line="240" w:lineRule="auto"/>
              <w:jc w:val="center"/>
            </w:pPr>
            <w:r>
              <w:rPr>
                <w:rFonts w:ascii="TH Sarabun New" w:hAnsi="TH Sarabun New" w:eastAsia="TH Sarabun New"/>
                <w:b w:val="0"/>
                <w:sz w:val="19"/>
              </w:rPr>
              <w:t>แรงกดดันสูงมาก; Rating 2 เพราะยังไม่มีหลักฐานสัญญาระยะกลางหรือกลไกปรับราคาที่ลดอำนาจผู้ซื้อ</w:t>
            </w:r>
          </w:p>
        </w:tc>
      </w:tr>
      <w:tr>
        <w:trPr/>
        <w:tc>
          <w:tcPr>
            <w:tcW w:type="dxa" w:w="3150"/>
            <w:vAlign w:val="center"/>
          </w:tcPr>
          <w:p>
            <w:pPr>
              <w:spacing w:before="0" w:after="0" w:line="240" w:lineRule="auto"/>
              <w:jc w:val="left"/>
            </w:pPr>
            <w:r>
              <w:rPr>
                <w:rFonts w:ascii="TH Sarabun New" w:hAnsi="TH Sarabun New" w:eastAsia="TH Sarabun New"/>
                <w:b w:val="0"/>
                <w:sz w:val="19"/>
              </w:rPr>
              <w:t>T3 กำลังซื้อในประเทศอ่อนแอและการเปลี่ยนนโยบายจัดซื้อของลูกค้ารายใหญ่</w:t>
            </w:r>
          </w:p>
        </w:tc>
        <w:tc>
          <w:tcPr>
            <w:tcW w:type="dxa" w:w="650"/>
            <w:vAlign w:val="center"/>
          </w:tcPr>
          <w:p>
            <w:pPr>
              <w:spacing w:before="0" w:after="0" w:line="240" w:lineRule="auto"/>
              <w:jc w:val="center"/>
            </w:pPr>
            <w:r>
              <w:rPr>
                <w:rFonts w:ascii="TH Sarabun New" w:hAnsi="TH Sarabun New" w:eastAsia="TH Sarabun New"/>
                <w:b w:val="0"/>
                <w:sz w:val="19"/>
              </w:rPr>
              <w:t>0.12</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0.24</w:t>
            </w:r>
          </w:p>
        </w:tc>
        <w:tc>
          <w:tcPr>
            <w:tcW w:type="dxa" w:w="3870"/>
            <w:vAlign w:val="center"/>
          </w:tcPr>
          <w:p>
            <w:pPr>
              <w:spacing w:before="0" w:after="0" w:line="240" w:lineRule="auto"/>
              <w:jc w:val="center"/>
            </w:pPr>
            <w:r>
              <w:rPr>
                <w:rFonts w:ascii="TH Sarabun New" w:hAnsi="TH Sarabun New" w:eastAsia="TH Sarabun New"/>
                <w:b w:val="0"/>
                <w:sz w:val="19"/>
              </w:rPr>
              <w:t>กระทบรายได้ในประเทศส่วนใหญ่; Rating 2 เพราะยอดขายในประเทศและครึ่งแรก 2569 ยังลดลง</w:t>
            </w:r>
          </w:p>
        </w:tc>
      </w:tr>
      <w:tr>
        <w:trPr/>
        <w:tc>
          <w:tcPr>
            <w:tcW w:type="dxa" w:w="3150"/>
            <w:vAlign w:val="center"/>
          </w:tcPr>
          <w:p>
            <w:pPr>
              <w:spacing w:before="0" w:after="0" w:line="240" w:lineRule="auto"/>
              <w:jc w:val="left"/>
            </w:pPr>
            <w:r>
              <w:rPr>
                <w:rFonts w:ascii="TH Sarabun New" w:hAnsi="TH Sarabun New" w:eastAsia="TH Sarabun New"/>
                <w:b w:val="0"/>
                <w:sz w:val="19"/>
              </w:rPr>
              <w:t>T4 ความไม่แน่นอนจากภาษีการค้าและอัตราแลกเปลี่ยน</w:t>
            </w:r>
          </w:p>
        </w:tc>
        <w:tc>
          <w:tcPr>
            <w:tcW w:type="dxa" w:w="650"/>
            <w:vAlign w:val="center"/>
          </w:tcPr>
          <w:p>
            <w:pPr>
              <w:spacing w:before="0" w:after="0" w:line="240" w:lineRule="auto"/>
              <w:jc w:val="center"/>
            </w:pPr>
            <w:r>
              <w:rPr>
                <w:rFonts w:ascii="TH Sarabun New" w:hAnsi="TH Sarabun New" w:eastAsia="TH Sarabun New"/>
                <w:b w:val="0"/>
                <w:sz w:val="19"/>
              </w:rPr>
              <w:t>0.09</w:t>
            </w:r>
          </w:p>
        </w:tc>
        <w:tc>
          <w:tcPr>
            <w:tcW w:type="dxa" w:w="650"/>
            <w:vAlign w:val="center"/>
          </w:tcPr>
          <w:p>
            <w:pPr>
              <w:spacing w:before="0" w:after="0" w:line="240" w:lineRule="auto"/>
              <w:jc w:val="center"/>
            </w:pPr>
            <w:r>
              <w:rPr>
                <w:rFonts w:ascii="TH Sarabun New" w:hAnsi="TH Sarabun New" w:eastAsia="TH Sarabun New"/>
                <w:b w:val="0"/>
                <w:sz w:val="19"/>
              </w:rPr>
              <w:t>3</w:t>
            </w:r>
          </w:p>
        </w:tc>
        <w:tc>
          <w:tcPr>
            <w:tcW w:type="dxa" w:w="700"/>
            <w:vAlign w:val="center"/>
          </w:tcPr>
          <w:p>
            <w:pPr>
              <w:spacing w:before="0" w:after="0" w:line="240" w:lineRule="auto"/>
              <w:jc w:val="center"/>
            </w:pPr>
            <w:r>
              <w:rPr>
                <w:rFonts w:ascii="TH Sarabun New" w:hAnsi="TH Sarabun New" w:eastAsia="TH Sarabun New"/>
                <w:b w:val="0"/>
                <w:sz w:val="19"/>
              </w:rPr>
              <w:t>0.27</w:t>
            </w:r>
          </w:p>
        </w:tc>
        <w:tc>
          <w:tcPr>
            <w:tcW w:type="dxa" w:w="3870"/>
            <w:vAlign w:val="center"/>
          </w:tcPr>
          <w:p>
            <w:pPr>
              <w:spacing w:before="0" w:after="0" w:line="240" w:lineRule="auto"/>
              <w:jc w:val="center"/>
            </w:pPr>
            <w:r>
              <w:rPr>
                <w:rFonts w:ascii="TH Sarabun New" w:hAnsi="TH Sarabun New" w:eastAsia="TH Sarabun New"/>
                <w:b w:val="0"/>
                <w:sz w:val="19"/>
              </w:rPr>
              <w:t>กระทบส่วนส่งออก; Rating 3 เพราะมี natural hedge บัญชีเงินตราต่างประเทศ และ forward ตามนโยบายบริษัท</w:t>
            </w:r>
          </w:p>
        </w:tc>
      </w:tr>
      <w:tr>
        <w:trPr/>
        <w:tc>
          <w:tcPr>
            <w:tcW w:type="dxa" w:w="3150"/>
            <w:vAlign w:val="center"/>
          </w:tcPr>
          <w:p>
            <w:pPr>
              <w:spacing w:before="0" w:after="0" w:line="240" w:lineRule="auto"/>
              <w:jc w:val="left"/>
            </w:pPr>
            <w:r>
              <w:rPr>
                <w:rFonts w:ascii="TH Sarabun New" w:hAnsi="TH Sarabun New" w:eastAsia="TH Sarabun New"/>
                <w:b w:val="0"/>
                <w:sz w:val="19"/>
              </w:rPr>
              <w:t>T5 benchmark อุตสาหกรรมด้าน automation, response time และ digital manufacturing สูงขึ้น</w:t>
            </w:r>
          </w:p>
        </w:tc>
        <w:tc>
          <w:tcPr>
            <w:tcW w:type="dxa" w:w="650"/>
            <w:vAlign w:val="center"/>
          </w:tcPr>
          <w:p>
            <w:pPr>
              <w:spacing w:before="0" w:after="0" w:line="240" w:lineRule="auto"/>
              <w:jc w:val="center"/>
            </w:pPr>
            <w:r>
              <w:rPr>
                <w:rFonts w:ascii="TH Sarabun New" w:hAnsi="TH Sarabun New" w:eastAsia="TH Sarabun New"/>
                <w:b w:val="0"/>
                <w:sz w:val="19"/>
              </w:rPr>
              <w:t>0.11</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0.22</w:t>
            </w:r>
          </w:p>
        </w:tc>
        <w:tc>
          <w:tcPr>
            <w:tcW w:type="dxa" w:w="3870"/>
            <w:vAlign w:val="center"/>
          </w:tcPr>
          <w:p>
            <w:pPr>
              <w:spacing w:before="0" w:after="0" w:line="240" w:lineRule="auto"/>
              <w:jc w:val="center"/>
            </w:pPr>
            <w:r>
              <w:rPr>
                <w:rFonts w:ascii="TH Sarabun New" w:hAnsi="TH Sarabun New" w:eastAsia="TH Sarabun New"/>
                <w:b w:val="0"/>
                <w:sz w:val="19"/>
              </w:rPr>
              <w:t>กำหนดความสามารถแข่งขันระยะกลาง; Rating 2 เพราะ PG เริ่มกึ่งอัตโนมัติ แต่ยังไม่เปิดเผยผลลัพธ์ผลิตภาพ/ความเร็ว</w:t>
            </w:r>
          </w:p>
        </w:tc>
      </w:tr>
      <w:tr>
        <w:trPr/>
        <w:tc>
          <w:tcPr>
            <w:tcW w:type="dxa" w:w="3150"/>
            <w:vAlign w:val="center"/>
            <w:shd w:fill="FCE4D6"/>
          </w:tcPr>
          <w:p>
            <w:pPr>
              <w:spacing w:before="0" w:after="0" w:line="240" w:lineRule="auto"/>
              <w:jc w:val="left"/>
            </w:pPr>
            <w:r>
              <w:rPr>
                <w:rFonts w:ascii="TH Sarabun New" w:hAnsi="TH Sarabun New" w:eastAsia="TH Sarabun New"/>
                <w:b w:val="0"/>
                <w:sz w:val="19"/>
              </w:rPr>
              <w:t>รวม</w:t>
            </w:r>
          </w:p>
        </w:tc>
        <w:tc>
          <w:tcPr>
            <w:tcW w:type="dxa" w:w="650"/>
            <w:vAlign w:val="center"/>
            <w:shd w:fill="FCE4D6"/>
          </w:tcPr>
          <w:p>
            <w:pPr>
              <w:spacing w:before="0" w:after="0" w:line="240" w:lineRule="auto"/>
              <w:jc w:val="center"/>
            </w:pPr>
            <w:r>
              <w:rPr>
                <w:rFonts w:ascii="TH Sarabun New" w:hAnsi="TH Sarabun New" w:eastAsia="TH Sarabun New"/>
                <w:b w:val="0"/>
                <w:sz w:val="19"/>
              </w:rPr>
              <w:t>1.00</w:t>
            </w:r>
          </w:p>
        </w:tc>
        <w:tc>
          <w:tcPr>
            <w:tcW w:type="dxa" w:w="650"/>
            <w:vAlign w:val="center"/>
            <w:shd w:fill="FCE4D6"/>
          </w:tcPr>
          <w:p>
            <w:pPr>
              <w:spacing w:before="0" w:after="0" w:line="240" w:lineRule="auto"/>
              <w:jc w:val="center"/>
            </w:pPr>
            <w:r>
              <w:rPr>
                <w:rFonts w:ascii="TH Sarabun New" w:hAnsi="TH Sarabun New" w:eastAsia="TH Sarabun New"/>
                <w:b w:val="0"/>
                <w:sz w:val="19"/>
              </w:rPr>
            </w:r>
          </w:p>
        </w:tc>
        <w:tc>
          <w:tcPr>
            <w:tcW w:type="dxa" w:w="700"/>
            <w:vAlign w:val="center"/>
            <w:shd w:fill="FCE4D6"/>
          </w:tcPr>
          <w:p>
            <w:pPr>
              <w:spacing w:before="0" w:after="0" w:line="240" w:lineRule="auto"/>
              <w:jc w:val="center"/>
            </w:pPr>
            <w:r>
              <w:rPr>
                <w:rFonts w:ascii="TH Sarabun New" w:hAnsi="TH Sarabun New" w:eastAsia="TH Sarabun New"/>
                <w:b w:val="0"/>
                <w:sz w:val="19"/>
              </w:rPr>
              <w:t>2.33</w:t>
            </w:r>
          </w:p>
        </w:tc>
        <w:tc>
          <w:tcPr>
            <w:tcW w:type="dxa" w:w="3870"/>
            <w:vAlign w:val="center"/>
            <w:shd w:fill="FCE4D6"/>
          </w:tcPr>
          <w:p>
            <w:pPr>
              <w:spacing w:before="0" w:after="0" w:line="240" w:lineRule="auto"/>
              <w:jc w:val="center"/>
            </w:pPr>
            <w:r>
              <w:rPr>
                <w:rFonts w:ascii="TH Sarabun New" w:hAnsi="TH Sarabun New" w:eastAsia="TH Sarabun New"/>
                <w:b w:val="0"/>
                <w:sz w:val="19"/>
              </w:rPr>
            </w:r>
          </w:p>
        </w:tc>
      </w:tr>
    </w:tbl>
    <w:p>
      <w:r>
        <w:rPr>
          <w:rFonts w:ascii="TH Sarabun New" w:hAnsi="TH Sarabun New" w:eastAsia="TH Sarabun New"/>
          <w:i/>
          <w:color w:val="666666"/>
          <w:sz w:val="20"/>
        </w:rPr>
        <w:t>ที่มา: สังเคราะห์ตาราง 4–7; weights/ratings เป็นการประเมินของผู้จัดทำ (Fact/Calculation/Assumption แยกในเหตุผล)</w:t>
      </w:r>
    </w:p>
    <w:p>
      <w:pPr>
        <w:spacing w:after="110" w:line="228"/>
        <w:jc w:val="left"/>
      </w:pPr>
      <w:r>
        <w:rPr>
          <w:rFonts w:ascii="TH Sarabun New" w:cs="TH Sarabun New" w:eastAsia="TH Sarabun New" w:hAnsi="TH Sarabun New"/>
          <w:b w:val="false"/>
          <w:bCs w:val="false"/>
          <w:i w:val="false"/>
          <w:iCs w:val="false"/>
          <w:sz w:val="26"/>
          <w:szCs w:val="26"/>
        </w:rPr>
        <w:t xml:space="preserve">หมายเหตุ: น้ำหนักและคะแนนเป็นการประเมินของผู้จัดทำจากหลักฐานในหัวข้อ 3.1.1–3.1.3 ไม่ใช่ตัวเลขที่บริษัทประกาศ</w:t>
      </w:r>
    </w:p>
    <w:p>
      <w:pPr>
        <w:keepNext w:val="false"/>
        <w:spacing w:after="50" w:line="240"/>
        <w:ind w:firstLine="480"/>
        <w:jc w:val="both"/>
      </w:pPr>
      <w:r>
        <w:rPr>
          <w:rFonts w:ascii="TH Sarabun New" w:hAnsi="TH Sarabun New" w:eastAsia="TH Sarabun New"/>
          <w:sz w:val="32"/>
        </w:rPr>
        <w:t>นัยเชิงกลยุทธ์ต่อ PG: EFAS รวม 2.33 สะท้อนว่าการตอบสนองต่อโอกาสและอุปสรรคสำคัญยังต่ำกว่าระดับปานกลาง แต่คะแนนต่ำกว่า 3.00 ไม่ใช่กฎอัตโนมัติให้เลือกกลยุทธ์ใด เมื่ออ่านร่วมกับผลธุรกิจหลัก Five Forces และการเทียบคู่แข่ง หลักฐานสนับสนุนให้ PG ย้ายจากการแข่งขันด้านปริมาณ/ราคาไปสู่สนามที่ O1/O2 เชื่อมกับความสามารถภายในได้</w:t>
      </w:r>
    </w:p>
    <w:p>
      <w:pPr>
        <w:pStyle w:val="Heading2"/>
        <w:keepNext/>
        <w:spacing w:after="60" w:before="140"/>
      </w:pPr>
      <w:r>
        <w:rPr>
          <w:rFonts w:ascii="TH Sarabun New" w:cs="TH Sarabun New" w:eastAsia="TH Sarabun New" w:hAnsi="TH Sarabun New"/>
          <w:b/>
          <w:bCs/>
          <w:i w:val="false"/>
          <w:iCs w:val="false"/>
          <w:sz w:val="32"/>
          <w:szCs w:val="32"/>
        </w:rPr>
        <w:t xml:space="preserve">3.2 การวิเคราะห์สภาพแวดล้อมภายใน</w:t>
      </w:r>
    </w:p>
    <w:p>
      <w:pPr>
        <w:pStyle w:val="Heading3"/>
        <w:keepNext/>
        <w:spacing w:after="70" w:before="150"/>
      </w:pPr>
      <w:r>
        <w:rPr>
          <w:rFonts w:ascii="TH Sarabun New" w:cs="TH Sarabun New" w:eastAsia="TH Sarabun New" w:hAnsi="TH Sarabun New"/>
          <w:b/>
          <w:bCs/>
          <w:i w:val="false"/>
          <w:iCs w:val="false"/>
          <w:sz w:val="32"/>
          <w:szCs w:val="32"/>
        </w:rPr>
        <w:t xml:space="preserve">3.2.1 การวิเคราะห์ทรัพยากรภายในองค์กร</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ทรัพยากรที่มีตัวตน</w:t>
      </w:r>
      <w:r>
        <w:rPr>
          <w:rFonts w:ascii="TH Sarabun New" w:cs="TH Sarabun New" w:eastAsia="TH Sarabun New" w:hAnsi="TH Sarabun New"/>
          <w:b w:val="false"/>
          <w:bCs w:val="false"/>
          <w:i w:val="false"/>
          <w:iCs w:val="false"/>
          <w:sz w:val="32"/>
          <w:szCs w:val="32"/>
        </w:rPr>
        <w:t xml:space="preserve"> ฐานการผลิตสองแห่งที่ควบคุมกระบวนการได้ตั้งแต่ถักผ้าจนถึงเสื้อผ้าสำเร็จรูป ที่ดิน อาคารและอุปกรณ์สุทธิ 165.18 ล้านบาท (ร้อยละ 10.93 ของสินทรัพย์รวม) ปี 2568 ซื้อเครื่องจักรเพิ่ม 15.96 ล้านบาท กำลังการผลิตรวม 2,712,000 ชิ้นต่อปี (รวมผู้รับจ้างผลิต) สินทรัพย์ทางการเงิน 873.69 ล้านบาทซึ่งสร้างเงินปันผล 28.40 ล้านบาท และระบบผลิตไฟฟ้าจากแสงอาทิตย์ 1,202.75 กิโลวัตต์พีก</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ทรัพยากรที่ไม่มีตัวตน</w:t>
      </w:r>
      <w:r>
        <w:rPr>
          <w:rFonts w:ascii="TH Sarabun New" w:cs="TH Sarabun New" w:eastAsia="TH Sarabun New" w:hAnsi="TH Sarabun New"/>
          <w:b w:val="false"/>
          <w:bCs w:val="false"/>
          <w:i w:val="false"/>
          <w:iCs w:val="false"/>
          <w:sz w:val="32"/>
          <w:szCs w:val="32"/>
        </w:rPr>
        <w:t xml:space="preserve"> มาตรฐานและใบรับรอง ได้แก่ ISO 9001, ISO 14001, Global Recycled Standard (GRS), ฉลาก COOL MODE, ฉลากประหยัดไฟเบอร์ 5 และการควบคุมสารเคมีตามแนวทาง REACH ผ่านคู่ค้า นวัตกรรมวัสดุเชิงฟังก์ชัน ได้แก่ เส้นใย SORONA by DuPont ที่ลดการใช้พลังงานฟอสซิลได้ถึงร้อยละ 37 ผ้า DRY TECH เสื้อ COOL MODE ผลิตภัณฑ์รีไซเคิลและอัพไซเคิล และชุดสครับทางการแพทย์ที่ยับยั้งแบคทีเรีย รวมถึงชื่อเสียงด้านธรรมาภิบาลและความสัมพันธ์ในเครือสหพัฒน์</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ทรัพยากรบุคคลและองค์กร</w:t>
      </w:r>
      <w:r>
        <w:rPr>
          <w:rFonts w:ascii="TH Sarabun New" w:cs="TH Sarabun New" w:eastAsia="TH Sarabun New" w:hAnsi="TH Sarabun New"/>
          <w:b w:val="false"/>
          <w:bCs w:val="false"/>
          <w:i w:val="false"/>
          <w:iCs w:val="false"/>
          <w:sz w:val="32"/>
          <w:szCs w:val="32"/>
        </w:rPr>
        <w:t xml:space="preserve"> พนักงาน 715 คน ฐานคู่ค้า 222 ราย (ในประเทศร้อยละ 77) พร้อมระบบประเมินคู่ค้าประจำปีแบ่งเกรด A–C</w:t>
      </w:r>
    </w:p>
    <w:p>
      <w:pPr>
        <w:keepNext w:val="false"/>
        <w:spacing w:after="50" w:line="240"/>
        <w:ind w:firstLine="480"/>
        <w:jc w:val="both"/>
      </w:pPr>
      <w:r>
        <w:rPr>
          <w:rFonts w:ascii="TH Sarabun New" w:hAnsi="TH Sarabun New" w:eastAsia="TH Sarabun New"/>
          <w:sz w:val="32"/>
        </w:rPr>
        <w:t>ความสามารถที่มีหลักฐานสาธารณะสนับสนุนมีสี่กลุ่ม คือ (1) การบูรณาการตั้งแต่ผ้าถักถึงเสื้อผ้าสำเร็จรูป (2) การพัฒนาผลิตภัณฑ์เชิงฟังก์ชัน (3) ประสบการณ์รับงานเครื่องแบบองค์กรและชุดทางการแพทย์ และ (4) การบริหารคู่ค้า/การจัดหา ส่วนการวิเคราะห์กำไรรายลูกค้าและ SKU, account-based B2B, บริการเติมสินค้าตามสัญญา และ traceability ระดับล็อต เป็นด้านที่ไม่พบข้อมูลสาธารณะเพียงพอให้ยืนยันความพร้อม จึงแปลงเป็นสมมติฐานความสามารถที่ต้องพิสูจน์ผ่าน P1–P7 ในบทที่ 5</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ข้อจำกัดของข้อมูล</w:t>
      </w:r>
      <w:r>
        <w:rPr>
          <w:rFonts w:ascii="TH Sarabun New" w:cs="TH Sarabun New" w:eastAsia="TH Sarabun New" w:hAnsi="TH Sarabun New"/>
          <w:b w:val="false"/>
          <w:bCs w:val="false"/>
          <w:i w:val="false"/>
          <w:iCs w:val="false"/>
          <w:sz w:val="32"/>
          <w:szCs w:val="32"/>
        </w:rPr>
        <w:t xml:space="preserve"> บริษัทไม่เปิดเผยตัวชี้วัดผลิตภาพระดับปฏิบัติการ เช่น อัตราส่งมอบตรงเวลา อัตราของเสีย หรือผลิตภาพแรงงาน รายงานจึงเทียบความสามารถด้านการผลิตเชิงปริมาณกับคู่แข่งไม่ได้ (ดูหัวข้อ 6.1)</w:t>
      </w:r>
    </w:p>
    <w:p>
      <w:pPr>
        <w:pStyle w:val="Heading3"/>
        <w:keepNext/>
        <w:spacing w:after="70" w:before="150"/>
      </w:pPr>
      <w:r>
        <w:rPr>
          <w:rFonts w:ascii="TH Sarabun New" w:cs="TH Sarabun New" w:eastAsia="TH Sarabun New" w:hAnsi="TH Sarabun New"/>
          <w:b/>
          <w:bCs/>
          <w:i w:val="false"/>
          <w:iCs w:val="false"/>
          <w:sz w:val="32"/>
          <w:szCs w:val="32"/>
        </w:rPr>
        <w:t xml:space="preserve">3.2.2 ความสามารถหลักขององค์กร</w:t>
      </w:r>
    </w:p>
    <w:p>
      <w:pPr>
        <w:keepNext/>
        <w:spacing w:after="50" w:before="130"/>
        <w:jc w:val="left"/>
      </w:pPr>
      <w:r>
        <w:rPr>
          <w:rFonts w:ascii="TH Sarabun New" w:cs="TH Sarabun New" w:eastAsia="TH Sarabun New" w:hAnsi="TH Sarabun New"/>
          <w:b/>
          <w:bCs/>
          <w:i w:val="false"/>
          <w:iCs w:val="false"/>
          <w:sz w:val="28"/>
          <w:szCs w:val="28"/>
        </w:rPr>
        <w:t xml:space="preserve">ตารางที่ 9  การวิเคราะห์ทรัพยากรและความสามารถของ PG ด้วยกรอบ VRIO</w:t>
      </w:r>
    </w:p>
    <w:tbl>
      <w:tblPr>
        <w:tblW w:type="dxa" w:w="9468"/>
        <w:jc w:val="center"/>
        <w:tblBorders>
          <w:top w:val="single" w:color="B7B7B7" w:sz="4"/>
          <w:left w:val="single" w:color="B7B7B7" w:sz="4"/>
          <w:bottom w:val="single" w:color="B7B7B7" w:sz="4"/>
          <w:right w:val="single" w:color="B7B7B7" w:sz="4"/>
          <w:insideH w:val="single" w:color="B7B7B7" w:sz="4"/>
          <w:insideV w:val="single" w:color="B7B7B7" w:sz="4"/>
        </w:tblBorders>
        <w:tblLayout w:type="fixed"/>
      </w:tblPr>
      <w:tblGrid>
        <w:gridCol w:w="3500"/>
        <w:gridCol w:w="480"/>
        <w:gridCol w:w="480"/>
        <w:gridCol w:w="480"/>
        <w:gridCol w:w="480"/>
        <w:gridCol w:w="3680"/>
      </w:tblGrid>
      <w:tr>
        <w:trPr>
          <w:tblHeader w:val="true"/>
        </w:trPr>
        <w:tc>
          <w:tcPr>
            <w:tcW w:type="dxa" w:w="35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ทรัพยากร / ความสามารถ</w:t>
            </w:r>
          </w:p>
        </w:tc>
        <w:tc>
          <w:tcPr>
            <w:tcW w:type="dxa" w:w="48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V</w:t>
            </w:r>
          </w:p>
        </w:tc>
        <w:tc>
          <w:tcPr>
            <w:tcW w:type="dxa" w:w="48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R</w:t>
            </w:r>
          </w:p>
        </w:tc>
        <w:tc>
          <w:tcPr>
            <w:tcW w:type="dxa" w:w="48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I</w:t>
            </w:r>
          </w:p>
        </w:tc>
        <w:tc>
          <w:tcPr>
            <w:tcW w:type="dxa" w:w="48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O</w:t>
            </w:r>
          </w:p>
        </w:tc>
        <w:tc>
          <w:tcPr>
            <w:tcW w:type="dxa" w:w="368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ผลเชิงกลยุทธ์</w:t>
            </w:r>
          </w:p>
        </w:tc>
      </w:tr>
      <w:tr>
        <w:trPr/>
        <w:tc>
          <w:tcPr>
            <w:tcW w:type="dxa" w:w="35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ฐานะการเงินแข็งแรงและสินทรัพย์ทางการเงินสูง (D/E 0.11 เท่า)</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ใช่</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บางส่วน</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ไม่ใช่</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บางส่วน</w:t>
            </w:r>
          </w:p>
        </w:tc>
        <w:tc>
          <w:tcPr>
            <w:tcW w:type="dxa" w:w="36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ความได้เปรียบชั่วคราว เงินทุนลอกเลียนได้ คุณค่าเกิดเมื่อจัดสรรทุนไปสู่ธุรกิจหลัก</w:t>
            </w:r>
          </w:p>
        </w:tc>
      </w:tr>
      <w:tr>
        <w:trPr/>
        <w:tc>
          <w:tcPr>
            <w:tcW w:type="dxa" w:w="35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ความสามารถบูรณาการผ้าถัก–ออกแบบ–แพตเทิร์น–ตัดเย็บในองค์กรเดียว</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ใช่</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บางส่วน</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บางส่วน</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บางส่วน</w:t>
            </w:r>
          </w:p>
        </w:tc>
        <w:tc>
          <w:tcPr>
            <w:tcW w:type="dxa" w:w="36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ความได้เปรียบที่อาจยั่งยืน แต่ยังไม่ถูกจัดองค์กรให้แปลงเป็นอัตรากำไร</w:t>
            </w:r>
          </w:p>
        </w:tc>
      </w:tr>
      <w:tr>
        <w:trPr/>
        <w:tc>
          <w:tcPr>
            <w:tcW w:type="dxa" w:w="35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ระบบมาตรฐานและใบรับรอง (ISO 9001, ISO 14001, GRS, COOL MODE, เบอร์ 5)</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ใช่</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ไม่ใช่</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ไม่ใช่</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ใช่</w:t>
            </w:r>
          </w:p>
        </w:tc>
        <w:tc>
          <w:tcPr>
            <w:tcW w:type="dxa" w:w="36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ความเท่าเทียมในการแข่งขัน เป็นบัตรผ่านเข้าตลาด เพราะคู่แข่งอ้างอิงมีเทียบเท่าหรือมากกว่า</w:t>
            </w:r>
          </w:p>
        </w:tc>
      </w:tr>
      <w:tr>
        <w:trPr/>
        <w:tc>
          <w:tcPr>
            <w:tcW w:type="dxa" w:w="35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วัสดุและผลิตภัณฑ์เชิงฟังก์ชัน (SORONA, DRY TECH, COOL MODE, ชุดสครับ)</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ใช่</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บางส่วน</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บางส่วน</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บางส่วน</w:t>
            </w:r>
          </w:p>
        </w:tc>
        <w:tc>
          <w:tcPr>
            <w:tcW w:type="dxa" w:w="36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ความได้เปรียบชั่วคราว วัสดุบางรายการซื้อได้จากผู้ผลิตเดียวกัน สิ่งที่ลอกเลียนยากคือการผสมวัสดุกับการออกแบบและการผลิต</w:t>
            </w:r>
          </w:p>
        </w:tc>
      </w:tr>
      <w:tr>
        <w:trPr/>
        <w:tc>
          <w:tcPr>
            <w:tcW w:type="dxa" w:w="35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ความสัมพันธ์กับ SPI, I.C.C. และเครือสหพัฒน์</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ใช่</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ใช่</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บางส่วน</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บางส่วน</w:t>
            </w:r>
          </w:p>
        </w:tc>
        <w:tc>
          <w:tcPr>
            <w:tcW w:type="dxa" w:w="36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ความได้เปรียบที่อาจยั่งยืน แต่ปัจจุบันสร้างทั้งยอดขายและความเสี่ยงจากการกระจุกตัวไปพร้อมกัน</w:t>
            </w:r>
          </w:p>
        </w:tc>
      </w:tr>
      <w:tr>
        <w:trPr/>
        <w:tc>
          <w:tcPr>
            <w:tcW w:type="dxa" w:w="35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ประสบการณ์และฐานลูกค้าเครื่องแบบองค์กรและชุดทางการแพทย์</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ใช่</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บางส่วน</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บางส่วน</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บางส่วน</w:t>
            </w:r>
          </w:p>
        </w:tc>
        <w:tc>
          <w:tcPr>
            <w:tcW w:type="dxa" w:w="36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ความได้เปรียบชั่วคราว เป็นทรัพยากรที่ควรยกระดับเป็นความสามารถหลักตามกลยุทธ์ที่เสนอ</w:t>
            </w:r>
          </w:p>
        </w:tc>
      </w:tr>
      <w:tr>
        <w:trPr/>
        <w:tc>
          <w:tcPr>
            <w:tcW w:type="dxa" w:w="35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ธรรมาภิบาลและชื่อเสียง (CGR ดีเลิศ 8 ปี, CAC)</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ใช่</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บางส่วน</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บางส่วน</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ใช่</w:t>
            </w:r>
          </w:p>
        </w:tc>
        <w:tc>
          <w:tcPr>
            <w:tcW w:type="dxa" w:w="36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ความได้เปรียบเล็กน้อย ลดต้นทุนความน่าเชื่อถือในการเข้าประมูลงานภาครัฐและองค์กรขนาดใหญ่</w:t>
            </w:r>
          </w:p>
        </w:tc>
      </w:tr>
      <w:tr>
        <w:trPr/>
        <w:tc>
          <w:tcPr>
            <w:tcW w:type="dxa" w:w="35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ขนาดการผลิตและระบบดิจิทัลในโรงงาน</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ไม่ใช่</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ไม่ใช่</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ไม่ใช่</w:t>
            </w:r>
          </w:p>
        </w:tc>
        <w:tc>
          <w:tcPr>
            <w:tcW w:type="dxa" w:w="4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ไม่ใช่</w:t>
            </w:r>
          </w:p>
        </w:tc>
        <w:tc>
          <w:tcPr>
            <w:tcW w:type="dxa" w:w="368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ความเสียเปรียบในการแข่งขัน จึงไม่ควรเลือกสนามที่ตัดสินด้วยปัจจัยนี้</w:t>
            </w:r>
          </w:p>
        </w:tc>
      </w:tr>
    </w:tbl>
    <w:p>
      <w:r>
        <w:rPr>
          <w:rFonts w:ascii="TH Sarabun New" w:hAnsi="TH Sarabun New" w:eastAsia="TH Sarabun New"/>
          <w:i/>
          <w:color w:val="666666"/>
          <w:sz w:val="20"/>
        </w:rPr>
        <w:t>ที่มา: PG [1][6][7][20][23] และข้อมูลคู่แข่ง [13]–[16]; VRIO เป็น analyst assessment ด้วยสเกล ใช่/บางส่วน/ไม่ใช่</w:t>
      </w:r>
    </w:p>
    <w:p>
      <w:pPr>
        <w:keepNext w:val="false"/>
        <w:spacing w:after="50" w:line="240"/>
        <w:ind w:firstLine="480"/>
        <w:jc w:val="both"/>
      </w:pPr>
      <w:r>
        <w:rPr>
          <w:rFonts w:ascii="TH Sarabun New" w:hAnsi="TH Sarabun New" w:eastAsia="TH Sarabun New"/>
          <w:sz w:val="32"/>
        </w:rPr>
        <w:t>ความสามารถที่มีหลักฐานสนับสนุน V/R/I มากที่สุดเมื่อเทียบกับความสามารถอื่นของ PG คือการบูรณาการผ้าถัก คุณสมบัติเชิงฟังก์ชัน การออกแบบ การควบคุมคุณภาพ และการตัดเย็บในองค์กรเดียว แต่ผลประเมินยังเป็น “บางส่วน” ใน R/I/O เพราะข้อมูลสาธารณะไม่ยืนยันความหายากแบบเด็ดขาดและยังไม่เห็นโครงสร้างที่แปลงความสามารถเป็นอัตรากำไร</w:t>
      </w:r>
    </w:p>
    <w:p>
      <w:pPr>
        <w:keepNext w:val="false"/>
        <w:spacing w:after="50" w:line="240"/>
        <w:ind w:firstLine="480"/>
        <w:jc w:val="both"/>
      </w:pPr>
      <w:r>
        <w:rPr>
          <w:rFonts w:ascii="TH Sarabun New" w:hAnsi="TH Sarabun New" w:eastAsia="TH Sarabun New"/>
          <w:sz w:val="32"/>
        </w:rPr>
        <w:t>นัยเชิงกลยุทธ์ต่อ PG: ไม่ควรอ้างว่ามีความได้เปรียบยั่งยืนแล้ว สิ่งที่ควรสร้างคือความสามารถในการออกแบบและส่งมอบ โซลูชันเครื่องแบบตามภารกิจ พร้อมหลักฐานคุณสมบัติ/ความยั่งยืนระดับ SKU และล็อต และบริการเติมสินค้าตามสัญญา จากข้อมูลสาธารณะที่ตรวจสอบ ไม่พบหลักฐานเพียงพอให้ยืนยันว่าคู่แข่งรายใดมีหรือไม่มีระบบดังกล่าวครบถ้วน จึงใช้เป็นสมมติฐานการแข่งขันที่ต้องทดสอบใน Gate 1 ไม่ใช่ข้อเท็จจริงเชิงลบเกี่ยวกับคู่แข่ง</w:t>
      </w:r>
    </w:p>
    <w:p>
      <w:pPr>
        <w:pStyle w:val="Heading3"/>
        <w:keepNext/>
        <w:spacing w:after="70" w:before="150"/>
      </w:pPr>
      <w:r>
        <w:rPr>
          <w:rFonts w:ascii="TH Sarabun New" w:cs="TH Sarabun New" w:eastAsia="TH Sarabun New" w:hAnsi="TH Sarabun New"/>
          <w:b/>
          <w:bCs/>
          <w:i w:val="false"/>
          <w:iCs w:val="false"/>
          <w:sz w:val="32"/>
          <w:szCs w:val="32"/>
        </w:rPr>
        <w:t xml:space="preserve">3.2.3 ความได้เปรียบทางการแข่งขันขององค์กร</w:t>
      </w:r>
    </w:p>
    <w:p>
      <w:pPr>
        <w:keepNext/>
        <w:spacing w:after="50" w:before="130"/>
        <w:jc w:val="left"/>
      </w:pPr>
      <w:r>
        <w:rPr>
          <w:rFonts w:ascii="TH Sarabun New" w:cs="TH Sarabun New" w:eastAsia="TH Sarabun New" w:hAnsi="TH Sarabun New"/>
          <w:b/>
          <w:bCs/>
          <w:i w:val="false"/>
          <w:iCs w:val="false"/>
          <w:sz w:val="28"/>
          <w:szCs w:val="28"/>
        </w:rPr>
        <w:t xml:space="preserve">ตารางที่ 10  การประเมินความได้เปรียบทางการแข่งขันแยกตามหน้าที่</w:t>
      </w:r>
    </w:p>
    <w:tbl>
      <w:tblPr>
        <w:tblW w:type="dxa" w:w="9468"/>
        <w:jc w:val="center"/>
        <w:tblBorders>
          <w:top w:val="single" w:color="B7B7B7" w:sz="4"/>
          <w:left w:val="single" w:color="B7B7B7" w:sz="4"/>
          <w:bottom w:val="single" w:color="B7B7B7" w:sz="4"/>
          <w:right w:val="single" w:color="B7B7B7" w:sz="4"/>
          <w:insideH w:val="single" w:color="B7B7B7" w:sz="4"/>
          <w:insideV w:val="single" w:color="B7B7B7" w:sz="4"/>
        </w:tblBorders>
        <w:tblLayout w:type="fixed"/>
      </w:tblPr>
      <w:tblGrid>
        <w:gridCol w:w="1600"/>
        <w:gridCol w:w="4800"/>
        <w:gridCol w:w="2700"/>
      </w:tblGrid>
      <w:tr>
        <w:trPr>
          <w:tblHeader w:val="true"/>
        </w:trPr>
        <w:tc>
          <w:tcPr>
            <w:tcW w:type="dxa" w:w="16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หน้าที่</w:t>
            </w:r>
          </w:p>
        </w:tc>
        <w:tc>
          <w:tcPr>
            <w:tcW w:type="dxa" w:w="48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หลักฐานและการประเมิน</w:t>
            </w:r>
          </w:p>
        </w:tc>
        <w:tc>
          <w:tcPr>
            <w:tcW w:type="dxa" w:w="27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สรุป</w:t>
            </w:r>
          </w:p>
        </w:tc>
      </w:tr>
      <w:tr>
        <w:trPr/>
        <w:tc>
          <w:tcPr>
            <w:tcW w:type="dxa" w:w="1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การตลาดและการขาย</w:t>
            </w:r>
          </w:p>
        </w:tc>
        <w:tc>
          <w:tcPr>
            <w:tcW w:type="dxa" w:w="48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ในประเทศพึ่งพา I.C.C. เป็นผู้จัดจำหน่ายหลัก เสริมด้วยอีคอมเมิร์ซสำหรับ House Brand เอาต์เล็ต และการขายตรงเครื่องแบบให้องค์กร ส่งออกหลักไปสหรัฐฯ และอาเซียน จุดอ่อนคือไม่มีความสัมพันธ์และข้อมูลตรงกับผู้ใช้ปลายทาง และไม่ปรากฏทีมขายโครงการหรือระบบ CRM</w:t>
            </w:r>
          </w:p>
        </w:tc>
        <w:tc>
          <w:tcPr>
            <w:tcW w:type="dxa" w:w="27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ความเสียเปรียบเชิงเปรียบเทียบเมื่อวัดด้วยเกณฑ์ของสนามที่ 2</w:t>
            </w:r>
          </w:p>
        </w:tc>
      </w:tr>
      <w:tr>
        <w:trPr/>
        <w:tc>
          <w:tcPr>
            <w:tcW w:type="dxa" w:w="1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การผลิต</w:t>
            </w:r>
          </w:p>
        </w:tc>
        <w:tc>
          <w:tcPr>
            <w:tcW w:type="dxa" w:w="48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จุดแข็งคือการผลิตแบบบูรณาการจากผ้าถักถึงเสื้อผ้าสำเร็จรูปและการเริ่มใช้ระบบกึ่งอัตโนมัติ จุดอ่อนคือขนาดเล็กกว่าคู่แข่งหลายเท่า กำลังการผลิตถูกลดลง 31.7% ในสองปี และไม่เปิดเผยตัวชี้วัดประสิทธิภาพ ทำให้ยืนยันผลตอบแทนของการลงทุนเครื่องจักรไม่ได้</w:t>
            </w:r>
          </w:p>
        </w:tc>
        <w:tc>
          <w:tcPr>
            <w:tcW w:type="dxa" w:w="27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ได้เปรียบเฉพาะงานที่ต้องคุมผ้าและการตัดเย็บพร้อมกัน แต่เสียเปรียบในงานที่ตัดสินด้วยต้นทุนต่อชิ้น</w:t>
            </w:r>
          </w:p>
        </w:tc>
      </w:tr>
      <w:tr>
        <w:trPr/>
        <w:tc>
          <w:tcPr>
            <w:tcW w:type="dxa" w:w="1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การวิจัยและพัฒนาผลิตภัณฑ์</w:t>
            </w:r>
          </w:p>
        </w:tc>
        <w:tc>
          <w:tcPr>
            <w:tcW w:type="dxa" w:w="48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มีหลักฐานชัดเจนที่สุด ทั้ง SORONA, DRY TECH, COOL MODE, เบอร์ 5, GRS และชุดสครับเฉพาะทาง แต่ผลยังไม่ปรากฏในอัตรากำไรขั้นต้นที่ 21.40% ชี้ว่านวัตกรรมถูกใช้เป็นจุดขายเชิงภาพลักษณ์มากกว่าเหตุผลในการตั้งราคา</w:t>
            </w:r>
          </w:p>
        </w:tc>
        <w:tc>
          <w:tcPr>
            <w:tcW w:type="dxa" w:w="27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ได้เปรียบด้านความสามารถ แต่ยังไม่ได้เปรียบด้านผลลัพธ์</w:t>
            </w:r>
          </w:p>
        </w:tc>
      </w:tr>
      <w:tr>
        <w:trPr/>
        <w:tc>
          <w:tcPr>
            <w:tcW w:type="dxa" w:w="1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การจัดหาและห่วงโซ่อุปทาน</w:t>
            </w:r>
          </w:p>
        </w:tc>
        <w:tc>
          <w:tcPr>
            <w:tcW w:type="dxa" w:w="48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คู่ค้า 222 รายไม่มีรายใดเกิน 10% ของยอดจัดซื้อ พร้อมระบบประเมินคู่ค้าและการควบคุมสารเคมีตามมาตรฐานสากล อำนาจต่อรองของผู้ขายจึงต่ำถึงปานกลาง ข้อจำกัดคือวัสดุเชิงฟังก์ชันที่มีใบรับรองบางชนิดยังต้องนำเข้า</w:t>
            </w:r>
          </w:p>
        </w:tc>
        <w:tc>
          <w:tcPr>
            <w:tcW w:type="dxa" w:w="27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ความได้เปรียบที่ใช้เป็นฐานรับประกันคุณภาพและกำหนดเวลาส่งมอบให้ลูกค้าองค์กรได้</w:t>
            </w:r>
          </w:p>
        </w:tc>
      </w:tr>
      <w:tr>
        <w:trPr/>
        <w:tc>
          <w:tcPr>
            <w:tcW w:type="dxa" w:w="1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ทรัพยากรมนุษย์</w:t>
            </w:r>
          </w:p>
        </w:tc>
        <w:tc>
          <w:tcPr>
            <w:tcW w:type="dxa" w:w="48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พนักงาน 715 คน มีนโยบายพัฒนาบุคลากร แต่การฟื้นตัวของกำไรครึ่งแรกปี 2569 มาจากการลดค่าใช้จ่ายพนักงานเป็นหลัก ซึ่งทำซ้ำได้จำกัดและเสี่ยงกัดกร่อนความสามารถ โดยเฉพาะเมื่อกลยุทธ์ต้องการทักษะใหม่ คือ วิศวกรการขาย นักเทคโนโลยีสิ่งทอ และผู้เชี่ยวชาญ IE/ข้อมูล</w:t>
            </w:r>
          </w:p>
        </w:tc>
        <w:tc>
          <w:tcPr>
            <w:tcW w:type="dxa" w:w="27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ยังไม่ใช่ความได้เปรียบ และเป็นความเสี่ยงที่ต้องบริหารระหว่างการฟื้นฟู</w:t>
            </w:r>
          </w:p>
        </w:tc>
      </w:tr>
      <w:tr>
        <w:trPr/>
        <w:tc>
          <w:tcPr>
            <w:tcW w:type="dxa" w:w="16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การเงินและการจัดสรรทุน</w:t>
            </w:r>
          </w:p>
        </w:tc>
        <w:tc>
          <w:tcPr>
            <w:tcW w:type="dxa" w:w="48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มิติความมั่นคง PG ได้เปรียบชัดเจนด้วย D/E 0.11 เท่าและสภาพคล่อง 10.71 เท่า แต่มิติการจัดสรรทุนเสียเปรียบ เพราะสินทรัพย์ 57.81% อยู่ในเงินลงทุนทางการเงิน ขณะที่ฐานสินทรัพย์การผลิตมีเพียง 10.93% และยังจ่ายเงินปันผล 48.0 ล้านบาทในปีที่ขาดทุนสุทธิ</w:t>
            </w:r>
          </w:p>
        </w:tc>
        <w:tc>
          <w:tcPr>
            <w:tcW w:type="dxa" w:w="27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มีความสามารถลงทุนสูงมาก แต่ยังไม่มีกลไกจัดสรรทุนที่เชื่อมกับผลตอบแทนจากธุรกิจหลัก เป็นเงื่อนไขที่กลยุทธ์ต้องแก้เป็นอันดับแรก</w:t>
            </w:r>
          </w:p>
        </w:tc>
      </w:tr>
    </w:tbl>
    <w:p>
      <w:r>
        <w:rPr>
          <w:rFonts w:ascii="TH Sarabun New" w:hAnsi="TH Sarabun New" w:eastAsia="TH Sarabun New"/>
          <w:i/>
          <w:color w:val="666666"/>
          <w:sz w:val="20"/>
        </w:rPr>
        <w:t>ที่มา: PG [1][4] และการสังเคราะห์ของผู้จัดทำ; negative-absence claims ใช้ถ้อยคำระมัดระวัง</w:t>
      </w:r>
    </w:p>
    <w:p>
      <w:pPr>
        <w:pStyle w:val="Heading3"/>
        <w:keepNext/>
        <w:spacing w:after="70" w:before="150"/>
      </w:pPr>
      <w:r>
        <w:rPr>
          <w:rFonts w:ascii="TH Sarabun New" w:cs="TH Sarabun New" w:eastAsia="TH Sarabun New" w:hAnsi="TH Sarabun New"/>
          <w:b/>
          <w:bCs/>
          <w:i w:val="false"/>
          <w:iCs w:val="false"/>
          <w:sz w:val="32"/>
          <w:szCs w:val="32"/>
        </w:rPr>
        <w:t xml:space="preserve">3.2.4 การวิเคราะห์จุดแข็งและจุดอ่อน</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จุดแข็งและจุดอ่อนกลั่นมาจากหัวข้อ 3.2.1–3.2.3 โดยผ่านการทดสอบว่า </w:t>
      </w:r>
      <w:r>
        <w:rPr>
          <w:rFonts w:ascii="TH Sarabun New" w:cs="TH Sarabun New" w:eastAsia="TH Sarabun New" w:hAnsi="TH Sarabun New"/>
          <w:b/>
          <w:bCs/>
          <w:i w:val="false"/>
          <w:iCs w:val="false"/>
          <w:sz w:val="32"/>
          <w:szCs w:val="32"/>
        </w:rPr>
        <w:t xml:space="preserve">สิ่งที่บริษัทมีสร้างคุณค่าเชิงกลยุทธ์หรือสนับสนุนผลการแข่งขันจริงหรือไม่</w:t>
      </w:r>
      <w:r>
        <w:rPr>
          <w:rFonts w:ascii="TH Sarabun New" w:cs="TH Sarabun New" w:eastAsia="TH Sarabun New" w:hAnsi="TH Sarabun New"/>
          <w:b w:val="false"/>
          <w:bCs w:val="false"/>
          <w:i w:val="false"/>
          <w:iCs w:val="false"/>
          <w:sz w:val="32"/>
          <w:szCs w:val="32"/>
        </w:rPr>
        <w:t xml:space="preserve"> สิ่งที่เป็นเจ้าของแต่ไม่สร้างความแตกต่างจะไม่ถูกจัดเป็นจุดแข็ง</w:t>
      </w:r>
    </w:p>
    <w:p>
      <w:pPr>
        <w:keepNext w:val="false"/>
        <w:spacing w:after="50" w:line="240"/>
        <w:ind w:firstLine="480"/>
        <w:jc w:val="both"/>
      </w:pPr>
      <w:r>
        <w:rPr>
          <w:rFonts w:ascii="TH Sarabun New" w:hAnsi="TH Sarabun New" w:eastAsia="TH Sarabun New"/>
          <w:sz w:val="32"/>
        </w:rPr>
        <w:t>จุดแข็งประกอบด้วย S1 ฐานะการเงินแข็งแรงและแทบไม่มีภาระหนี้ S2 ความสามารถบูรณาการผ้าถัก–ออกแบบ–แพตเทิร์น–ตัดเย็บ S3 ผลิตภัณฑ์เชิงฟังก์ชันและมาตรฐานที่ได้รับการรับรอง S4 ประสบการณ์/ฐานลูกค้าเครื่องแบบและชุดทางการแพทย์ S5 ฐานคู่ค้าที่กระจายตัวและระบบบริหารคู่ค้า และ S6 ความสัมพันธ์กับ SPI/I.C.C./เครือสหพัฒน์ในฐานะ Strategic Enabler ภายใน</w:t>
      </w:r>
    </w:p>
    <w:p>
      <w:pPr>
        <w:keepNext w:val="false"/>
        <w:spacing w:after="50" w:line="240"/>
        <w:ind w:firstLine="480"/>
        <w:jc w:val="both"/>
      </w:pPr>
      <w:r>
        <w:rPr>
          <w:rFonts w:ascii="TH Sarabun New" w:hAnsi="TH Sarabun New" w:eastAsia="TH Sarabun New"/>
          <w:sz w:val="32"/>
        </w:rPr>
        <w:t>จุดอ่อนประกอบด้วย W1 ธุรกิจหลักขาดทุนและ SG&amp;A สูงกว่ากำไรขั้นต้น W2 ลูกค้า/ช่องทางกระจุกตัว W3 สินค้าคงเหลือและเงินทุนหมุนเวียน W4 ช่องว่างด้านเทคโนโลยี ผลิตภาพ ความเร็วตอบสนอง และข้อมูลปฏิบัติการเมื่อเทียบ benchmark อุตสาหกรรม W5 การจัดสรรทุนไม่เชื่อมกับผลตอบแทนธุรกิจหลัก และ W6 ขาดโครงสร้าง/ข้อมูลสำหรับกำไรรายกลุ่มลูกค้า</w:t>
      </w:r>
    </w:p>
    <w:p>
      <w:pPr>
        <w:pStyle w:val="Heading3"/>
        <w:keepNext/>
        <w:spacing w:after="70" w:before="150"/>
      </w:pPr>
      <w:r>
        <w:rPr>
          <w:rFonts w:ascii="TH Sarabun New" w:cs="TH Sarabun New" w:eastAsia="TH Sarabun New" w:hAnsi="TH Sarabun New"/>
          <w:b/>
          <w:bCs/>
          <w:i w:val="false"/>
          <w:iCs w:val="false"/>
          <w:sz w:val="32"/>
          <w:szCs w:val="32"/>
        </w:rPr>
        <w:t xml:space="preserve">3.2.5 บทสรุปการวิเคราะห์ปัจจัยภายใน (IFAS)</w:t>
      </w:r>
    </w:p>
    <w:p>
      <w:pPr>
        <w:keepNext/>
        <w:spacing w:after="50" w:before="130"/>
        <w:jc w:val="left"/>
      </w:pPr>
      <w:r>
        <w:rPr>
          <w:rFonts w:ascii="TH Sarabun New" w:cs="TH Sarabun New" w:eastAsia="TH Sarabun New" w:hAnsi="TH Sarabun New"/>
          <w:b/>
          <w:bCs/>
          <w:i w:val="false"/>
          <w:iCs w:val="false"/>
          <w:sz w:val="28"/>
          <w:szCs w:val="28"/>
        </w:rPr>
        <w:t xml:space="preserve">ตารางที่ 11  สรุปการวิเคราะห์ปัจจัยภายใน (IFAS Matrix) ของ PG</w:t>
      </w:r>
    </w:p>
    <w:tbl>
      <w:tblPr>
        <w:tblW w:type="dxa" w:w="9468"/>
        <w:jc w:val="center"/>
        <w:tblBorders>
          <w:top w:val="single" w:color="B7B7B7" w:sz="4"/>
          <w:left w:val="single" w:color="B7B7B7" w:sz="4"/>
          <w:bottom w:val="single" w:color="B7B7B7" w:sz="4"/>
          <w:right w:val="single" w:color="B7B7B7" w:sz="4"/>
          <w:insideH w:val="single" w:color="B7B7B7" w:sz="4"/>
          <w:insideV w:val="single" w:color="B7B7B7" w:sz="4"/>
        </w:tblBorders>
        <w:tblLayout w:type="fixed"/>
      </w:tblPr>
      <w:tblGrid>
        <w:gridCol w:w="3150"/>
        <w:gridCol w:w="650"/>
        <w:gridCol w:w="650"/>
        <w:gridCol w:w="700"/>
        <w:gridCol w:w="3870"/>
      </w:tblGrid>
      <w:tr>
        <w:trPr>
          <w:tblHeader w:val="true"/>
        </w:trPr>
        <w:tc>
          <w:tcPr>
            <w:tcW w:type="dxa" w:w="315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ปัจจัยภายใน (Internal Factors)</w:t>
            </w:r>
          </w:p>
        </w:tc>
        <w:tc>
          <w:tcPr>
            <w:tcW w:type="dxa" w:w="65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น้ำหนัก</w:t>
            </w:r>
          </w:p>
        </w:tc>
        <w:tc>
          <w:tcPr>
            <w:tcW w:type="dxa" w:w="65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Rating</w:t>
            </w:r>
          </w:p>
        </w:tc>
        <w:tc>
          <w:tcPr>
            <w:tcW w:type="dxa" w:w="7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คะแนน</w:t>
            </w:r>
          </w:p>
        </w:tc>
        <w:tc>
          <w:tcPr>
            <w:tcW w:type="dxa" w:w="387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เหตุผลของน้ำหนักและคะแนน</w:t>
            </w:r>
          </w:p>
        </w:tc>
      </w:tr>
      <w:tr>
        <w:trPr/>
        <w:tc>
          <w:tcPr>
            <w:tcW w:type="dxa" w:w="3870"/>
            <w:gridSpan w:val="5"/>
            <w:vAlign w:val="center"/>
            <w:shd w:fill="F2F2F2"/>
          </w:tcPr>
          <w:p>
            <w:pPr>
              <w:spacing w:before="0" w:after="0" w:line="240" w:lineRule="auto"/>
              <w:jc w:val="center"/>
            </w:pPr>
            <w:r>
              <w:rPr>
                <w:rFonts w:ascii="TH Sarabun New" w:hAnsi="TH Sarabun New" w:eastAsia="TH Sarabun New"/>
                <w:b w:val="0"/>
                <w:sz w:val="19"/>
              </w:rPr>
              <w:t>จุดแข็ง (Strengths)</w:t>
            </w:r>
          </w:p>
        </w:tc>
      </w:tr>
      <w:tr>
        <w:trPr/>
        <w:tc>
          <w:tcPr>
            <w:tcW w:type="dxa" w:w="3150"/>
            <w:vAlign w:val="center"/>
          </w:tcPr>
          <w:p>
            <w:pPr>
              <w:spacing w:before="0" w:after="0" w:line="240" w:lineRule="auto"/>
              <w:jc w:val="left"/>
            </w:pPr>
            <w:r>
              <w:rPr>
                <w:rFonts w:ascii="TH Sarabun New" w:hAnsi="TH Sarabun New" w:eastAsia="TH Sarabun New"/>
                <w:b w:val="0"/>
                <w:sz w:val="19"/>
              </w:rPr>
              <w:t>S1 ฐานะการเงินแข็งแรงและแทบไม่มีภาระหนี้</w:t>
            </w:r>
          </w:p>
        </w:tc>
        <w:tc>
          <w:tcPr>
            <w:tcW w:type="dxa" w:w="650"/>
            <w:vAlign w:val="center"/>
          </w:tcPr>
          <w:p>
            <w:pPr>
              <w:spacing w:before="0" w:after="0" w:line="240" w:lineRule="auto"/>
              <w:jc w:val="center"/>
            </w:pPr>
            <w:r>
              <w:rPr>
                <w:rFonts w:ascii="TH Sarabun New" w:hAnsi="TH Sarabun New" w:eastAsia="TH Sarabun New"/>
                <w:b w:val="0"/>
                <w:sz w:val="19"/>
              </w:rPr>
              <w:t>0.09</w:t>
            </w:r>
          </w:p>
        </w:tc>
        <w:tc>
          <w:tcPr>
            <w:tcW w:type="dxa" w:w="650"/>
            <w:vAlign w:val="center"/>
          </w:tcPr>
          <w:p>
            <w:pPr>
              <w:spacing w:before="0" w:after="0" w:line="240" w:lineRule="auto"/>
              <w:jc w:val="center"/>
            </w:pPr>
            <w:r>
              <w:rPr>
                <w:rFonts w:ascii="TH Sarabun New" w:hAnsi="TH Sarabun New" w:eastAsia="TH Sarabun New"/>
                <w:b w:val="0"/>
                <w:sz w:val="19"/>
              </w:rPr>
              <w:t>4</w:t>
            </w:r>
          </w:p>
        </w:tc>
        <w:tc>
          <w:tcPr>
            <w:tcW w:type="dxa" w:w="700"/>
            <w:vAlign w:val="center"/>
          </w:tcPr>
          <w:p>
            <w:pPr>
              <w:spacing w:before="0" w:after="0" w:line="240" w:lineRule="auto"/>
              <w:jc w:val="center"/>
            </w:pPr>
            <w:r>
              <w:rPr>
                <w:rFonts w:ascii="TH Sarabun New" w:hAnsi="TH Sarabun New" w:eastAsia="TH Sarabun New"/>
                <w:b w:val="0"/>
                <w:sz w:val="19"/>
              </w:rPr>
              <w:t>0.36</w:t>
            </w:r>
          </w:p>
        </w:tc>
        <w:tc>
          <w:tcPr>
            <w:tcW w:type="dxa" w:w="3870"/>
            <w:vAlign w:val="center"/>
          </w:tcPr>
          <w:p>
            <w:pPr>
              <w:spacing w:before="0" w:after="0" w:line="240" w:lineRule="auto"/>
              <w:jc w:val="center"/>
            </w:pPr>
            <w:r>
              <w:rPr>
                <w:rFonts w:ascii="TH Sarabun New" w:hAnsi="TH Sarabun New" w:eastAsia="TH Sarabun New"/>
                <w:b w:val="0"/>
                <w:sz w:val="19"/>
              </w:rPr>
              <w:t>เป็นแหล่งความยืดหยุ่นด้านทุน; Rating 4 เพราะสภาพคล่องและ D/E แข็งแรง แต่การจัดสรรทุนยังต้องปรับ</w:t>
            </w:r>
          </w:p>
        </w:tc>
      </w:tr>
      <w:tr>
        <w:trPr/>
        <w:tc>
          <w:tcPr>
            <w:tcW w:type="dxa" w:w="3150"/>
            <w:vAlign w:val="center"/>
          </w:tcPr>
          <w:p>
            <w:pPr>
              <w:spacing w:before="0" w:after="0" w:line="240" w:lineRule="auto"/>
              <w:jc w:val="left"/>
            </w:pPr>
            <w:r>
              <w:rPr>
                <w:rFonts w:ascii="TH Sarabun New" w:hAnsi="TH Sarabun New" w:eastAsia="TH Sarabun New"/>
                <w:b w:val="0"/>
                <w:sz w:val="19"/>
              </w:rPr>
              <w:t>S2 บูรณาการผ้าถัก–ออกแบบ–แพตเทิร์น–ตัดเย็บ</w:t>
            </w:r>
          </w:p>
        </w:tc>
        <w:tc>
          <w:tcPr>
            <w:tcW w:type="dxa" w:w="650"/>
            <w:vAlign w:val="center"/>
          </w:tcPr>
          <w:p>
            <w:pPr>
              <w:spacing w:before="0" w:after="0" w:line="240" w:lineRule="auto"/>
              <w:jc w:val="center"/>
            </w:pPr>
            <w:r>
              <w:rPr>
                <w:rFonts w:ascii="TH Sarabun New" w:hAnsi="TH Sarabun New" w:eastAsia="TH Sarabun New"/>
                <w:b w:val="0"/>
                <w:sz w:val="19"/>
              </w:rPr>
              <w:t>0.11</w:t>
            </w:r>
          </w:p>
        </w:tc>
        <w:tc>
          <w:tcPr>
            <w:tcW w:type="dxa" w:w="650"/>
            <w:vAlign w:val="center"/>
          </w:tcPr>
          <w:p>
            <w:pPr>
              <w:spacing w:before="0" w:after="0" w:line="240" w:lineRule="auto"/>
              <w:jc w:val="center"/>
            </w:pPr>
            <w:r>
              <w:rPr>
                <w:rFonts w:ascii="TH Sarabun New" w:hAnsi="TH Sarabun New" w:eastAsia="TH Sarabun New"/>
                <w:b w:val="0"/>
                <w:sz w:val="19"/>
              </w:rPr>
              <w:t>4</w:t>
            </w:r>
          </w:p>
        </w:tc>
        <w:tc>
          <w:tcPr>
            <w:tcW w:type="dxa" w:w="700"/>
            <w:vAlign w:val="center"/>
          </w:tcPr>
          <w:p>
            <w:pPr>
              <w:spacing w:before="0" w:after="0" w:line="240" w:lineRule="auto"/>
              <w:jc w:val="center"/>
            </w:pPr>
            <w:r>
              <w:rPr>
                <w:rFonts w:ascii="TH Sarabun New" w:hAnsi="TH Sarabun New" w:eastAsia="TH Sarabun New"/>
                <w:b w:val="0"/>
                <w:sz w:val="19"/>
              </w:rPr>
              <w:t>0.44</w:t>
            </w:r>
          </w:p>
        </w:tc>
        <w:tc>
          <w:tcPr>
            <w:tcW w:type="dxa" w:w="3870"/>
            <w:vAlign w:val="center"/>
          </w:tcPr>
          <w:p>
            <w:pPr>
              <w:spacing w:before="0" w:after="0" w:line="240" w:lineRule="auto"/>
              <w:jc w:val="center"/>
            </w:pPr>
            <w:r>
              <w:rPr>
                <w:rFonts w:ascii="TH Sarabun New" w:hAnsi="TH Sarabun New" w:eastAsia="TH Sarabun New"/>
                <w:b w:val="0"/>
                <w:sz w:val="19"/>
              </w:rPr>
              <w:t>ฐานสำคัญของความแตกต่างในสนามที่เลือกและใช้งานจริง แต่ยังไม่แปลงเป็นอัตรากำไรเต็มที่</w:t>
            </w:r>
          </w:p>
        </w:tc>
      </w:tr>
      <w:tr>
        <w:trPr/>
        <w:tc>
          <w:tcPr>
            <w:tcW w:type="dxa" w:w="3150"/>
            <w:vAlign w:val="center"/>
          </w:tcPr>
          <w:p>
            <w:pPr>
              <w:spacing w:before="0" w:after="0" w:line="240" w:lineRule="auto"/>
              <w:jc w:val="left"/>
            </w:pPr>
            <w:r>
              <w:rPr>
                <w:rFonts w:ascii="TH Sarabun New" w:hAnsi="TH Sarabun New" w:eastAsia="TH Sarabun New"/>
                <w:b w:val="0"/>
                <w:sz w:val="19"/>
              </w:rPr>
              <w:t>S3 ผลิตภัณฑ์เชิงฟังก์ชันและมาตรฐานภายนอก</w:t>
            </w:r>
          </w:p>
        </w:tc>
        <w:tc>
          <w:tcPr>
            <w:tcW w:type="dxa" w:w="650"/>
            <w:vAlign w:val="center"/>
          </w:tcPr>
          <w:p>
            <w:pPr>
              <w:spacing w:before="0" w:after="0" w:line="240" w:lineRule="auto"/>
              <w:jc w:val="center"/>
            </w:pPr>
            <w:r>
              <w:rPr>
                <w:rFonts w:ascii="TH Sarabun New" w:hAnsi="TH Sarabun New" w:eastAsia="TH Sarabun New"/>
                <w:b w:val="0"/>
                <w:sz w:val="19"/>
              </w:rPr>
              <w:t>0.09</w:t>
            </w:r>
          </w:p>
        </w:tc>
        <w:tc>
          <w:tcPr>
            <w:tcW w:type="dxa" w:w="650"/>
            <w:vAlign w:val="center"/>
          </w:tcPr>
          <w:p>
            <w:pPr>
              <w:spacing w:before="0" w:after="0" w:line="240" w:lineRule="auto"/>
              <w:jc w:val="center"/>
            </w:pPr>
            <w:r>
              <w:rPr>
                <w:rFonts w:ascii="TH Sarabun New" w:hAnsi="TH Sarabun New" w:eastAsia="TH Sarabun New"/>
                <w:b w:val="0"/>
                <w:sz w:val="19"/>
              </w:rPr>
              <w:t>4</w:t>
            </w:r>
          </w:p>
        </w:tc>
        <w:tc>
          <w:tcPr>
            <w:tcW w:type="dxa" w:w="700"/>
            <w:vAlign w:val="center"/>
          </w:tcPr>
          <w:p>
            <w:pPr>
              <w:spacing w:before="0" w:after="0" w:line="240" w:lineRule="auto"/>
              <w:jc w:val="center"/>
            </w:pPr>
            <w:r>
              <w:rPr>
                <w:rFonts w:ascii="TH Sarabun New" w:hAnsi="TH Sarabun New" w:eastAsia="TH Sarabun New"/>
                <w:b w:val="0"/>
                <w:sz w:val="19"/>
              </w:rPr>
              <w:t>0.36</w:t>
            </w:r>
          </w:p>
        </w:tc>
        <w:tc>
          <w:tcPr>
            <w:tcW w:type="dxa" w:w="3870"/>
            <w:vAlign w:val="center"/>
          </w:tcPr>
          <w:p>
            <w:pPr>
              <w:spacing w:before="0" w:after="0" w:line="240" w:lineRule="auto"/>
              <w:jc w:val="center"/>
            </w:pPr>
            <w:r>
              <w:rPr>
                <w:rFonts w:ascii="TH Sarabun New" w:hAnsi="TH Sarabun New" w:eastAsia="TH Sarabun New"/>
                <w:b w:val="0"/>
                <w:sz w:val="19"/>
              </w:rPr>
              <w:t>มีผลิตภัณฑ์/ใบรับรองจริงและเป็น entry criterion ของลูกค้าองค์กร/ส่งออก</w:t>
            </w:r>
          </w:p>
        </w:tc>
      </w:tr>
      <w:tr>
        <w:trPr/>
        <w:tc>
          <w:tcPr>
            <w:tcW w:type="dxa" w:w="3150"/>
            <w:vAlign w:val="center"/>
          </w:tcPr>
          <w:p>
            <w:pPr>
              <w:spacing w:before="0" w:after="0" w:line="240" w:lineRule="auto"/>
              <w:jc w:val="left"/>
            </w:pPr>
            <w:r>
              <w:rPr>
                <w:rFonts w:ascii="TH Sarabun New" w:hAnsi="TH Sarabun New" w:eastAsia="TH Sarabun New"/>
                <w:b w:val="0"/>
                <w:sz w:val="19"/>
              </w:rPr>
              <w:t>S4 ประสบการณ์และฐานลูกค้าเครื่องแบบ/ชุดทางการแพทย์</w:t>
            </w:r>
          </w:p>
        </w:tc>
        <w:tc>
          <w:tcPr>
            <w:tcW w:type="dxa" w:w="650"/>
            <w:vAlign w:val="center"/>
          </w:tcPr>
          <w:p>
            <w:pPr>
              <w:spacing w:before="0" w:after="0" w:line="240" w:lineRule="auto"/>
              <w:jc w:val="center"/>
            </w:pPr>
            <w:r>
              <w:rPr>
                <w:rFonts w:ascii="TH Sarabun New" w:hAnsi="TH Sarabun New" w:eastAsia="TH Sarabun New"/>
                <w:b w:val="0"/>
                <w:sz w:val="19"/>
              </w:rPr>
              <w:t>0.07</w:t>
            </w:r>
          </w:p>
        </w:tc>
        <w:tc>
          <w:tcPr>
            <w:tcW w:type="dxa" w:w="650"/>
            <w:vAlign w:val="center"/>
          </w:tcPr>
          <w:p>
            <w:pPr>
              <w:spacing w:before="0" w:after="0" w:line="240" w:lineRule="auto"/>
              <w:jc w:val="center"/>
            </w:pPr>
            <w:r>
              <w:rPr>
                <w:rFonts w:ascii="TH Sarabun New" w:hAnsi="TH Sarabun New" w:eastAsia="TH Sarabun New"/>
                <w:b w:val="0"/>
                <w:sz w:val="19"/>
              </w:rPr>
              <w:t>3</w:t>
            </w:r>
          </w:p>
        </w:tc>
        <w:tc>
          <w:tcPr>
            <w:tcW w:type="dxa" w:w="700"/>
            <w:vAlign w:val="center"/>
          </w:tcPr>
          <w:p>
            <w:pPr>
              <w:spacing w:before="0" w:after="0" w:line="240" w:lineRule="auto"/>
              <w:jc w:val="center"/>
            </w:pPr>
            <w:r>
              <w:rPr>
                <w:rFonts w:ascii="TH Sarabun New" w:hAnsi="TH Sarabun New" w:eastAsia="TH Sarabun New"/>
                <w:b w:val="0"/>
                <w:sz w:val="19"/>
              </w:rPr>
              <w:t>0.21</w:t>
            </w:r>
          </w:p>
        </w:tc>
        <w:tc>
          <w:tcPr>
            <w:tcW w:type="dxa" w:w="3870"/>
            <w:vAlign w:val="center"/>
          </w:tcPr>
          <w:p>
            <w:pPr>
              <w:spacing w:before="0" w:after="0" w:line="240" w:lineRule="auto"/>
              <w:jc w:val="center"/>
            </w:pPr>
            <w:r>
              <w:rPr>
                <w:rFonts w:ascii="TH Sarabun New" w:hAnsi="TH Sarabun New" w:eastAsia="TH Sarabun New"/>
                <w:b w:val="0"/>
                <w:sz w:val="19"/>
              </w:rPr>
              <w:t>ลดเวลาสู่รายได้ แต่ยังไม่มี P&amp;L และทีมขายเฉพาะ</w:t>
            </w:r>
          </w:p>
        </w:tc>
      </w:tr>
      <w:tr>
        <w:trPr/>
        <w:tc>
          <w:tcPr>
            <w:tcW w:type="dxa" w:w="3150"/>
            <w:vAlign w:val="center"/>
          </w:tcPr>
          <w:p>
            <w:pPr>
              <w:spacing w:before="0" w:after="0" w:line="240" w:lineRule="auto"/>
              <w:jc w:val="left"/>
            </w:pPr>
            <w:r>
              <w:rPr>
                <w:rFonts w:ascii="TH Sarabun New" w:hAnsi="TH Sarabun New" w:eastAsia="TH Sarabun New"/>
                <w:b w:val="0"/>
                <w:sz w:val="19"/>
              </w:rPr>
              <w:t>S5 ฐานคู่ค้ากระจายตัวและระบบบริหารคู่ค้า</w:t>
            </w:r>
          </w:p>
        </w:tc>
        <w:tc>
          <w:tcPr>
            <w:tcW w:type="dxa" w:w="650"/>
            <w:vAlign w:val="center"/>
          </w:tcPr>
          <w:p>
            <w:pPr>
              <w:spacing w:before="0" w:after="0" w:line="240" w:lineRule="auto"/>
              <w:jc w:val="center"/>
            </w:pPr>
            <w:r>
              <w:rPr>
                <w:rFonts w:ascii="TH Sarabun New" w:hAnsi="TH Sarabun New" w:eastAsia="TH Sarabun New"/>
                <w:b w:val="0"/>
                <w:sz w:val="19"/>
              </w:rPr>
              <w:t>0.04</w:t>
            </w:r>
          </w:p>
        </w:tc>
        <w:tc>
          <w:tcPr>
            <w:tcW w:type="dxa" w:w="650"/>
            <w:vAlign w:val="center"/>
          </w:tcPr>
          <w:p>
            <w:pPr>
              <w:spacing w:before="0" w:after="0" w:line="240" w:lineRule="auto"/>
              <w:jc w:val="center"/>
            </w:pPr>
            <w:r>
              <w:rPr>
                <w:rFonts w:ascii="TH Sarabun New" w:hAnsi="TH Sarabun New" w:eastAsia="TH Sarabun New"/>
                <w:b w:val="0"/>
                <w:sz w:val="19"/>
              </w:rPr>
              <w:t>4</w:t>
            </w:r>
          </w:p>
        </w:tc>
        <w:tc>
          <w:tcPr>
            <w:tcW w:type="dxa" w:w="700"/>
            <w:vAlign w:val="center"/>
          </w:tcPr>
          <w:p>
            <w:pPr>
              <w:spacing w:before="0" w:after="0" w:line="240" w:lineRule="auto"/>
              <w:jc w:val="center"/>
            </w:pPr>
            <w:r>
              <w:rPr>
                <w:rFonts w:ascii="TH Sarabun New" w:hAnsi="TH Sarabun New" w:eastAsia="TH Sarabun New"/>
                <w:b w:val="0"/>
                <w:sz w:val="19"/>
              </w:rPr>
              <w:t>0.16</w:t>
            </w:r>
          </w:p>
        </w:tc>
        <w:tc>
          <w:tcPr>
            <w:tcW w:type="dxa" w:w="3870"/>
            <w:vAlign w:val="center"/>
          </w:tcPr>
          <w:p>
            <w:pPr>
              <w:spacing w:before="0" w:after="0" w:line="240" w:lineRule="auto"/>
              <w:jc w:val="center"/>
            </w:pPr>
            <w:r>
              <w:rPr>
                <w:rFonts w:ascii="TH Sarabun New" w:hAnsi="TH Sarabun New" w:eastAsia="TH Sarabun New"/>
                <w:b w:val="0"/>
                <w:sz w:val="19"/>
              </w:rPr>
              <w:t>222 ราย ไม่มีรายใดเกิน 10% และมีระบบประเมินคู่ค้า</w:t>
            </w:r>
          </w:p>
        </w:tc>
      </w:tr>
      <w:tr>
        <w:trPr/>
        <w:tc>
          <w:tcPr>
            <w:tcW w:type="dxa" w:w="3150"/>
            <w:vAlign w:val="center"/>
          </w:tcPr>
          <w:p>
            <w:pPr>
              <w:spacing w:before="0" w:after="0" w:line="240" w:lineRule="auto"/>
              <w:jc w:val="left"/>
            </w:pPr>
            <w:r>
              <w:rPr>
                <w:rFonts w:ascii="TH Sarabun New" w:hAnsi="TH Sarabun New" w:eastAsia="TH Sarabun New"/>
                <w:b w:val="0"/>
                <w:sz w:val="19"/>
              </w:rPr>
              <w:t>S6 ความสัมพันธ์กับ SPI, I.C.C. และเครือสหพัฒน์</w:t>
            </w:r>
          </w:p>
        </w:tc>
        <w:tc>
          <w:tcPr>
            <w:tcW w:type="dxa" w:w="650"/>
            <w:vAlign w:val="center"/>
          </w:tcPr>
          <w:p>
            <w:pPr>
              <w:spacing w:before="0" w:after="0" w:line="240" w:lineRule="auto"/>
              <w:jc w:val="center"/>
            </w:pPr>
            <w:r>
              <w:rPr>
                <w:rFonts w:ascii="TH Sarabun New" w:hAnsi="TH Sarabun New" w:eastAsia="TH Sarabun New"/>
                <w:b w:val="0"/>
                <w:sz w:val="19"/>
              </w:rPr>
              <w:t>0.07</w:t>
            </w:r>
          </w:p>
        </w:tc>
        <w:tc>
          <w:tcPr>
            <w:tcW w:type="dxa" w:w="650"/>
            <w:vAlign w:val="center"/>
          </w:tcPr>
          <w:p>
            <w:pPr>
              <w:spacing w:before="0" w:after="0" w:line="240" w:lineRule="auto"/>
              <w:jc w:val="center"/>
            </w:pPr>
            <w:r>
              <w:rPr>
                <w:rFonts w:ascii="TH Sarabun New" w:hAnsi="TH Sarabun New" w:eastAsia="TH Sarabun New"/>
                <w:b w:val="0"/>
                <w:sz w:val="19"/>
              </w:rPr>
              <w:t>3</w:t>
            </w:r>
          </w:p>
        </w:tc>
        <w:tc>
          <w:tcPr>
            <w:tcW w:type="dxa" w:w="700"/>
            <w:vAlign w:val="center"/>
          </w:tcPr>
          <w:p>
            <w:pPr>
              <w:spacing w:before="0" w:after="0" w:line="240" w:lineRule="auto"/>
              <w:jc w:val="center"/>
            </w:pPr>
            <w:r>
              <w:rPr>
                <w:rFonts w:ascii="TH Sarabun New" w:hAnsi="TH Sarabun New" w:eastAsia="TH Sarabun New"/>
                <w:b w:val="0"/>
                <w:sz w:val="19"/>
              </w:rPr>
              <w:t>0.21</w:t>
            </w:r>
          </w:p>
        </w:tc>
        <w:tc>
          <w:tcPr>
            <w:tcW w:type="dxa" w:w="3870"/>
            <w:vAlign w:val="center"/>
          </w:tcPr>
          <w:p>
            <w:pPr>
              <w:spacing w:before="0" w:after="0" w:line="240" w:lineRule="auto"/>
              <w:jc w:val="center"/>
            </w:pPr>
            <w:r>
              <w:rPr>
                <w:rFonts w:ascii="TH Sarabun New" w:hAnsi="TH Sarabun New" w:eastAsia="TH Sarabun New"/>
                <w:b w:val="0"/>
                <w:sz w:val="19"/>
              </w:rPr>
              <w:t>เป็น Strategic Enabler ด้าน governance/resource/network; Rating 3 เพราะยังไม่มีผลเชิงพาณิชย์ใหม่ที่วัดได้และมี concentration risk</w:t>
            </w:r>
          </w:p>
        </w:tc>
      </w:tr>
      <w:tr>
        <w:trPr/>
        <w:tc>
          <w:tcPr>
            <w:tcW w:type="dxa" w:w="3870"/>
            <w:gridSpan w:val="5"/>
            <w:vAlign w:val="center"/>
            <w:shd w:fill="F2F2F2"/>
          </w:tcPr>
          <w:p>
            <w:pPr>
              <w:spacing w:before="0" w:after="0" w:line="240" w:lineRule="auto"/>
              <w:jc w:val="center"/>
            </w:pPr>
            <w:r>
              <w:rPr>
                <w:rFonts w:ascii="TH Sarabun New" w:hAnsi="TH Sarabun New" w:eastAsia="TH Sarabun New"/>
                <w:b w:val="0"/>
                <w:sz w:val="19"/>
              </w:rPr>
              <w:t>จุดอ่อน (Weaknesses)</w:t>
            </w:r>
          </w:p>
        </w:tc>
      </w:tr>
      <w:tr>
        <w:trPr/>
        <w:tc>
          <w:tcPr>
            <w:tcW w:type="dxa" w:w="3150"/>
            <w:vAlign w:val="center"/>
          </w:tcPr>
          <w:p>
            <w:pPr>
              <w:spacing w:before="0" w:after="0" w:line="240" w:lineRule="auto"/>
              <w:jc w:val="left"/>
            </w:pPr>
            <w:r>
              <w:rPr>
                <w:rFonts w:ascii="TH Sarabun New" w:hAnsi="TH Sarabun New" w:eastAsia="TH Sarabun New"/>
                <w:b w:val="0"/>
                <w:sz w:val="19"/>
              </w:rPr>
              <w:t>W1 ธุรกิจหลักขาดทุนต่อเนื่องและ SG&amp;A สูงกว่ากำไรขั้นต้น</w:t>
            </w:r>
          </w:p>
        </w:tc>
        <w:tc>
          <w:tcPr>
            <w:tcW w:type="dxa" w:w="650"/>
            <w:vAlign w:val="center"/>
          </w:tcPr>
          <w:p>
            <w:pPr>
              <w:spacing w:before="0" w:after="0" w:line="240" w:lineRule="auto"/>
              <w:jc w:val="center"/>
            </w:pPr>
            <w:r>
              <w:rPr>
                <w:rFonts w:ascii="TH Sarabun New" w:hAnsi="TH Sarabun New" w:eastAsia="TH Sarabun New"/>
                <w:b w:val="0"/>
                <w:sz w:val="19"/>
              </w:rPr>
              <w:t>0.16</w:t>
            </w:r>
          </w:p>
        </w:tc>
        <w:tc>
          <w:tcPr>
            <w:tcW w:type="dxa" w:w="650"/>
            <w:vAlign w:val="center"/>
          </w:tcPr>
          <w:p>
            <w:pPr>
              <w:spacing w:before="0" w:after="0" w:line="240" w:lineRule="auto"/>
              <w:jc w:val="center"/>
            </w:pPr>
            <w:r>
              <w:rPr>
                <w:rFonts w:ascii="TH Sarabun New" w:hAnsi="TH Sarabun New" w:eastAsia="TH Sarabun New"/>
                <w:b w:val="0"/>
                <w:sz w:val="19"/>
              </w:rPr>
              <w:t>1</w:t>
            </w:r>
          </w:p>
        </w:tc>
        <w:tc>
          <w:tcPr>
            <w:tcW w:type="dxa" w:w="700"/>
            <w:vAlign w:val="center"/>
          </w:tcPr>
          <w:p>
            <w:pPr>
              <w:spacing w:before="0" w:after="0" w:line="240" w:lineRule="auto"/>
              <w:jc w:val="center"/>
            </w:pPr>
            <w:r>
              <w:rPr>
                <w:rFonts w:ascii="TH Sarabun New" w:hAnsi="TH Sarabun New" w:eastAsia="TH Sarabun New"/>
                <w:b w:val="0"/>
                <w:sz w:val="19"/>
              </w:rPr>
              <w:t>0.16</w:t>
            </w:r>
          </w:p>
        </w:tc>
        <w:tc>
          <w:tcPr>
            <w:tcW w:type="dxa" w:w="3870"/>
            <w:vAlign w:val="center"/>
          </w:tcPr>
          <w:p>
            <w:pPr>
              <w:spacing w:before="0" w:after="0" w:line="240" w:lineRule="auto"/>
              <w:jc w:val="center"/>
            </w:pPr>
            <w:r>
              <w:rPr>
                <w:rFonts w:ascii="TH Sarabun New" w:hAnsi="TH Sarabun New" w:eastAsia="TH Sarabun New"/>
                <w:b w:val="0"/>
                <w:sz w:val="19"/>
              </w:rPr>
              <w:t>กำหนดความอยู่รอด; Rating 1 เพราะ H1/2569 ยังมี core proxy -16.86 ล้านบาท</w:t>
            </w:r>
          </w:p>
        </w:tc>
      </w:tr>
      <w:tr>
        <w:trPr/>
        <w:tc>
          <w:tcPr>
            <w:tcW w:type="dxa" w:w="3150"/>
            <w:vAlign w:val="center"/>
          </w:tcPr>
          <w:p>
            <w:pPr>
              <w:spacing w:before="0" w:after="0" w:line="240" w:lineRule="auto"/>
              <w:jc w:val="left"/>
            </w:pPr>
            <w:r>
              <w:rPr>
                <w:rFonts w:ascii="TH Sarabun New" w:hAnsi="TH Sarabun New" w:eastAsia="TH Sarabun New"/>
                <w:b w:val="0"/>
                <w:sz w:val="19"/>
              </w:rPr>
              <w:t>W2 ลูกค้าและช่องทางกระจุกตัว</w:t>
            </w:r>
          </w:p>
        </w:tc>
        <w:tc>
          <w:tcPr>
            <w:tcW w:type="dxa" w:w="650"/>
            <w:vAlign w:val="center"/>
          </w:tcPr>
          <w:p>
            <w:pPr>
              <w:spacing w:before="0" w:after="0" w:line="240" w:lineRule="auto"/>
              <w:jc w:val="center"/>
            </w:pPr>
            <w:r>
              <w:rPr>
                <w:rFonts w:ascii="TH Sarabun New" w:hAnsi="TH Sarabun New" w:eastAsia="TH Sarabun New"/>
                <w:b w:val="0"/>
                <w:sz w:val="19"/>
              </w:rPr>
              <w:t>0.11</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0.22</w:t>
            </w:r>
          </w:p>
        </w:tc>
        <w:tc>
          <w:tcPr>
            <w:tcW w:type="dxa" w:w="3870"/>
            <w:vAlign w:val="center"/>
          </w:tcPr>
          <w:p>
            <w:pPr>
              <w:spacing w:before="0" w:after="0" w:line="240" w:lineRule="auto"/>
              <w:jc w:val="center"/>
            </w:pPr>
            <w:r>
              <w:rPr>
                <w:rFonts w:ascii="TH Sarabun New" w:hAnsi="TH Sarabun New" w:eastAsia="TH Sarabun New"/>
                <w:b w:val="0"/>
                <w:sz w:val="19"/>
              </w:rPr>
              <w:t>I.C.C. 40.12% ของยอดขายรวมและผลกระทบเกิดจริง</w:t>
            </w:r>
          </w:p>
        </w:tc>
      </w:tr>
      <w:tr>
        <w:trPr/>
        <w:tc>
          <w:tcPr>
            <w:tcW w:type="dxa" w:w="3150"/>
            <w:vAlign w:val="center"/>
          </w:tcPr>
          <w:p>
            <w:pPr>
              <w:spacing w:before="0" w:after="0" w:line="240" w:lineRule="auto"/>
              <w:jc w:val="left"/>
            </w:pPr>
            <w:r>
              <w:rPr>
                <w:rFonts w:ascii="TH Sarabun New" w:hAnsi="TH Sarabun New" w:eastAsia="TH Sarabun New"/>
                <w:b w:val="0"/>
                <w:sz w:val="19"/>
              </w:rPr>
              <w:t>W3 สินค้าคงเหลือและเงินทุนหมุนเวียน</w:t>
            </w:r>
          </w:p>
        </w:tc>
        <w:tc>
          <w:tcPr>
            <w:tcW w:type="dxa" w:w="650"/>
            <w:vAlign w:val="center"/>
          </w:tcPr>
          <w:p>
            <w:pPr>
              <w:spacing w:before="0" w:after="0" w:line="240" w:lineRule="auto"/>
              <w:jc w:val="center"/>
            </w:pPr>
            <w:r>
              <w:rPr>
                <w:rFonts w:ascii="TH Sarabun New" w:hAnsi="TH Sarabun New" w:eastAsia="TH Sarabun New"/>
                <w:b w:val="0"/>
                <w:sz w:val="19"/>
              </w:rPr>
              <w:t>0.09</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0.18</w:t>
            </w:r>
          </w:p>
        </w:tc>
        <w:tc>
          <w:tcPr>
            <w:tcW w:type="dxa" w:w="3870"/>
            <w:vAlign w:val="center"/>
          </w:tcPr>
          <w:p>
            <w:pPr>
              <w:spacing w:before="0" w:after="0" w:line="240" w:lineRule="auto"/>
              <w:jc w:val="center"/>
            </w:pPr>
            <w:r>
              <w:rPr>
                <w:rFonts w:ascii="TH Sarabun New" w:hAnsi="TH Sarabun New" w:eastAsia="TH Sarabun New"/>
                <w:b w:val="0"/>
                <w:sz w:val="19"/>
              </w:rPr>
              <w:t>สินค้าคงเหลือ 337.11 ล้านบาท; DIO แบบจำลอง 267.75 วัน</w:t>
            </w:r>
          </w:p>
        </w:tc>
      </w:tr>
      <w:tr>
        <w:trPr/>
        <w:tc>
          <w:tcPr>
            <w:tcW w:type="dxa" w:w="3150"/>
            <w:vAlign w:val="center"/>
          </w:tcPr>
          <w:p>
            <w:pPr>
              <w:spacing w:before="0" w:after="0" w:line="240" w:lineRule="auto"/>
              <w:jc w:val="left"/>
            </w:pPr>
            <w:r>
              <w:rPr>
                <w:rFonts w:ascii="TH Sarabun New" w:hAnsi="TH Sarabun New" w:eastAsia="TH Sarabun New"/>
                <w:b w:val="0"/>
                <w:sz w:val="19"/>
              </w:rPr>
              <w:t>W4 ช่องว่างเทคโนโลยี ผลิตภาพ response time และข้อมูลปฏิบัติการ</w:t>
            </w:r>
          </w:p>
        </w:tc>
        <w:tc>
          <w:tcPr>
            <w:tcW w:type="dxa" w:w="650"/>
            <w:vAlign w:val="center"/>
          </w:tcPr>
          <w:p>
            <w:pPr>
              <w:spacing w:before="0" w:after="0" w:line="240" w:lineRule="auto"/>
              <w:jc w:val="center"/>
            </w:pPr>
            <w:r>
              <w:rPr>
                <w:rFonts w:ascii="TH Sarabun New" w:hAnsi="TH Sarabun New" w:eastAsia="TH Sarabun New"/>
                <w:b w:val="0"/>
                <w:sz w:val="19"/>
              </w:rPr>
              <w:t>0.06</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0.12</w:t>
            </w:r>
          </w:p>
        </w:tc>
        <w:tc>
          <w:tcPr>
            <w:tcW w:type="dxa" w:w="3870"/>
            <w:vAlign w:val="center"/>
          </w:tcPr>
          <w:p>
            <w:pPr>
              <w:spacing w:before="0" w:after="0" w:line="240" w:lineRule="auto"/>
              <w:jc w:val="center"/>
            </w:pPr>
            <w:r>
              <w:rPr>
                <w:rFonts w:ascii="TH Sarabun New" w:hAnsi="TH Sarabun New" w:eastAsia="TH Sarabun New"/>
                <w:b w:val="0"/>
                <w:sz w:val="19"/>
              </w:rPr>
              <w:t>เป็นช่องว่างเฉพาะ PG เมื่อเทียบ benchmark; ยังไม่มี KPI ผลิตภาพ/ส่งมอบสาธารณะ</w:t>
            </w:r>
          </w:p>
        </w:tc>
      </w:tr>
      <w:tr>
        <w:trPr/>
        <w:tc>
          <w:tcPr>
            <w:tcW w:type="dxa" w:w="3150"/>
            <w:vAlign w:val="center"/>
          </w:tcPr>
          <w:p>
            <w:pPr>
              <w:spacing w:before="0" w:after="0" w:line="240" w:lineRule="auto"/>
              <w:jc w:val="left"/>
            </w:pPr>
            <w:r>
              <w:rPr>
                <w:rFonts w:ascii="TH Sarabun New" w:hAnsi="TH Sarabun New" w:eastAsia="TH Sarabun New"/>
                <w:b w:val="0"/>
                <w:sz w:val="19"/>
              </w:rPr>
              <w:t>W5 การจัดสรรทุนไม่เชื่อมผลตอบแทนธุรกิจหลัก</w:t>
            </w:r>
          </w:p>
        </w:tc>
        <w:tc>
          <w:tcPr>
            <w:tcW w:type="dxa" w:w="650"/>
            <w:vAlign w:val="center"/>
          </w:tcPr>
          <w:p>
            <w:pPr>
              <w:spacing w:before="0" w:after="0" w:line="240" w:lineRule="auto"/>
              <w:jc w:val="center"/>
            </w:pPr>
            <w:r>
              <w:rPr>
                <w:rFonts w:ascii="TH Sarabun New" w:hAnsi="TH Sarabun New" w:eastAsia="TH Sarabun New"/>
                <w:b w:val="0"/>
                <w:sz w:val="19"/>
              </w:rPr>
              <w:t>0.06</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0.12</w:t>
            </w:r>
          </w:p>
        </w:tc>
        <w:tc>
          <w:tcPr>
            <w:tcW w:type="dxa" w:w="3870"/>
            <w:vAlign w:val="center"/>
          </w:tcPr>
          <w:p>
            <w:pPr>
              <w:spacing w:before="0" w:after="0" w:line="240" w:lineRule="auto"/>
              <w:jc w:val="center"/>
            </w:pPr>
            <w:r>
              <w:rPr>
                <w:rFonts w:ascii="TH Sarabun New" w:hAnsi="TH Sarabun New" w:eastAsia="TH Sarabun New"/>
                <w:b w:val="0"/>
                <w:sz w:val="19"/>
              </w:rPr>
              <w:t>สินทรัพย์ทางการเงินสูง ขณะที่ธุรกิจหลักขาดทุนและมีการจ่ายปันผล</w:t>
            </w:r>
          </w:p>
        </w:tc>
      </w:tr>
      <w:tr>
        <w:trPr/>
        <w:tc>
          <w:tcPr>
            <w:tcW w:type="dxa" w:w="3150"/>
            <w:vAlign w:val="center"/>
          </w:tcPr>
          <w:p>
            <w:pPr>
              <w:spacing w:before="0" w:after="0" w:line="240" w:lineRule="auto"/>
              <w:jc w:val="left"/>
            </w:pPr>
            <w:r>
              <w:rPr>
                <w:rFonts w:ascii="TH Sarabun New" w:hAnsi="TH Sarabun New" w:eastAsia="TH Sarabun New"/>
                <w:b w:val="0"/>
                <w:sz w:val="19"/>
              </w:rPr>
              <w:t>W6 ขาดโครงสร้างและข้อมูลกำไรรายกลุ่มลูกค้า</w:t>
            </w:r>
          </w:p>
        </w:tc>
        <w:tc>
          <w:tcPr>
            <w:tcW w:type="dxa" w:w="650"/>
            <w:vAlign w:val="center"/>
          </w:tcPr>
          <w:p>
            <w:pPr>
              <w:spacing w:before="0" w:after="0" w:line="240" w:lineRule="auto"/>
              <w:jc w:val="center"/>
            </w:pPr>
            <w:r>
              <w:rPr>
                <w:rFonts w:ascii="TH Sarabun New" w:hAnsi="TH Sarabun New" w:eastAsia="TH Sarabun New"/>
                <w:b w:val="0"/>
                <w:sz w:val="19"/>
              </w:rPr>
              <w:t>0.05</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0.10</w:t>
            </w:r>
          </w:p>
        </w:tc>
        <w:tc>
          <w:tcPr>
            <w:tcW w:type="dxa" w:w="3870"/>
            <w:vAlign w:val="center"/>
          </w:tcPr>
          <w:p>
            <w:pPr>
              <w:spacing w:before="0" w:after="0" w:line="240" w:lineRule="auto"/>
              <w:jc w:val="center"/>
            </w:pPr>
            <w:r>
              <w:rPr>
                <w:rFonts w:ascii="TH Sarabun New" w:hAnsi="TH Sarabun New" w:eastAsia="TH Sarabun New"/>
                <w:b w:val="0"/>
                <w:sz w:val="19"/>
              </w:rPr>
              <w:t>ไม่พบหน่วยธุรกิจ P&amp;L หรือกำไรแยกกลุ่มในข้อมูลสาธารณะ</w:t>
            </w:r>
          </w:p>
        </w:tc>
      </w:tr>
      <w:tr>
        <w:trPr/>
        <w:tc>
          <w:tcPr>
            <w:tcW w:type="dxa" w:w="3150"/>
            <w:vAlign w:val="center"/>
            <w:shd w:fill="FCE4D6"/>
          </w:tcPr>
          <w:p>
            <w:pPr>
              <w:spacing w:before="0" w:after="0" w:line="240" w:lineRule="auto"/>
              <w:jc w:val="left"/>
            </w:pPr>
            <w:r>
              <w:rPr>
                <w:rFonts w:ascii="TH Sarabun New" w:hAnsi="TH Sarabun New" w:eastAsia="TH Sarabun New"/>
                <w:b w:val="0"/>
                <w:sz w:val="19"/>
              </w:rPr>
              <w:t>รวม</w:t>
            </w:r>
          </w:p>
        </w:tc>
        <w:tc>
          <w:tcPr>
            <w:tcW w:type="dxa" w:w="650"/>
            <w:vAlign w:val="center"/>
            <w:shd w:fill="FCE4D6"/>
          </w:tcPr>
          <w:p>
            <w:pPr>
              <w:spacing w:before="0" w:after="0" w:line="240" w:lineRule="auto"/>
              <w:jc w:val="center"/>
            </w:pPr>
            <w:r>
              <w:rPr>
                <w:rFonts w:ascii="TH Sarabun New" w:hAnsi="TH Sarabun New" w:eastAsia="TH Sarabun New"/>
                <w:b w:val="0"/>
                <w:sz w:val="19"/>
              </w:rPr>
              <w:t>1.00</w:t>
            </w:r>
          </w:p>
        </w:tc>
        <w:tc>
          <w:tcPr>
            <w:tcW w:type="dxa" w:w="650"/>
            <w:vAlign w:val="center"/>
            <w:shd w:fill="FCE4D6"/>
          </w:tcPr>
          <w:p>
            <w:pPr>
              <w:spacing w:before="0" w:after="0" w:line="240" w:lineRule="auto"/>
              <w:jc w:val="center"/>
            </w:pPr>
            <w:r>
              <w:rPr>
                <w:rFonts w:ascii="TH Sarabun New" w:hAnsi="TH Sarabun New" w:eastAsia="TH Sarabun New"/>
                <w:b w:val="0"/>
                <w:sz w:val="19"/>
              </w:rPr>
            </w:r>
          </w:p>
        </w:tc>
        <w:tc>
          <w:tcPr>
            <w:tcW w:type="dxa" w:w="700"/>
            <w:vAlign w:val="center"/>
            <w:shd w:fill="FCE4D6"/>
          </w:tcPr>
          <w:p>
            <w:pPr>
              <w:spacing w:before="0" w:after="0" w:line="240" w:lineRule="auto"/>
              <w:jc w:val="center"/>
            </w:pPr>
            <w:r>
              <w:rPr>
                <w:rFonts w:ascii="TH Sarabun New" w:hAnsi="TH Sarabun New" w:eastAsia="TH Sarabun New"/>
                <w:b w:val="0"/>
                <w:sz w:val="19"/>
              </w:rPr>
              <w:t>2.64</w:t>
            </w:r>
          </w:p>
        </w:tc>
        <w:tc>
          <w:tcPr>
            <w:tcW w:type="dxa" w:w="3870"/>
            <w:vAlign w:val="center"/>
            <w:shd w:fill="FCE4D6"/>
          </w:tcPr>
          <w:p>
            <w:pPr>
              <w:spacing w:before="0" w:after="0" w:line="240" w:lineRule="auto"/>
              <w:jc w:val="center"/>
            </w:pPr>
            <w:r>
              <w:rPr>
                <w:rFonts w:ascii="TH Sarabun New" w:hAnsi="TH Sarabun New" w:eastAsia="TH Sarabun New"/>
                <w:b w:val="0"/>
                <w:sz w:val="19"/>
              </w:rPr>
            </w:r>
          </w:p>
        </w:tc>
      </w:tr>
    </w:tbl>
    <w:p>
      <w:r>
        <w:rPr>
          <w:rFonts w:ascii="TH Sarabun New" w:hAnsi="TH Sarabun New" w:eastAsia="TH Sarabun New"/>
          <w:i/>
          <w:color w:val="666666"/>
          <w:sz w:val="20"/>
        </w:rPr>
        <w:t>ที่มา: สังเคราะห์จากตาราง 9–10; weights/ratings เป็นการประเมินของผู้จัดทำ</w:t>
      </w:r>
    </w:p>
    <w:p>
      <w:pPr>
        <w:keepNext w:val="false"/>
        <w:spacing w:after="50" w:line="240"/>
        <w:ind w:firstLine="480"/>
        <w:jc w:val="both"/>
      </w:pPr>
      <w:r>
        <w:rPr>
          <w:rFonts w:ascii="TH Sarabun New" w:hAnsi="TH Sarabun New" w:eastAsia="TH Sarabun New"/>
          <w:sz w:val="32"/>
        </w:rPr>
        <w:t>นัยเชิงกลยุทธ์ต่อ PG: IFAS รวม 2.64 แสดงว่าทรัพยากรที่มีอยู่ยังไม่ถูกจัดองค์กรให้เกิดผลลัพธ์ S2/S3 เป็นฐานความแตกต่าง ส่วน S6 เป็น enabler ไม่ใช่ external opportunity จุดอ่อนเร่งด่วนคือ W1 และต้องแก้ W4 ด้วยการวัดผลก่อนลงทุน ไม่ใช่สรุปว่าต้องซื้อเครื่องจักรเพราะ benchmark ภายนอกสูงขึ้น</w:t>
      </w:r>
    </w:p>
    <w:p>
      <w:pPr>
        <w:pStyle w:val="Heading1"/>
        <w:keepNext/>
        <w:spacing w:after="80" w:before="180"/>
      </w:pPr>
      <w:r>
        <w:rPr>
          <w:rFonts w:ascii="TH Sarabun New" w:cs="TH Sarabun New" w:eastAsia="TH Sarabun New" w:hAnsi="TH Sarabun New"/>
          <w:b/>
          <w:bCs/>
          <w:i w:val="false"/>
          <w:iCs w:val="false"/>
          <w:sz w:val="36"/>
          <w:szCs w:val="36"/>
        </w:rPr>
        <w:t xml:space="preserve">4. การวิเคราะห์ปัจจัยเชิงกลยุทธ์</w:t>
      </w:r>
    </w:p>
    <w:p>
      <w:pPr>
        <w:pStyle w:val="Heading2"/>
        <w:keepNext/>
        <w:spacing w:after="60" w:before="140"/>
      </w:pPr>
      <w:r>
        <w:rPr>
          <w:rFonts w:ascii="TH Sarabun New" w:cs="TH Sarabun New" w:eastAsia="TH Sarabun New" w:hAnsi="TH Sarabun New"/>
          <w:b/>
          <w:bCs/>
          <w:i w:val="false"/>
          <w:iCs w:val="false"/>
          <w:sz w:val="32"/>
          <w:szCs w:val="32"/>
        </w:rPr>
        <w:t xml:space="preserve">4.1 บทสรุปการวิเคราะห์ปัจจัยเชิงกลยุทธ์ (SFAS Matrix)</w:t>
      </w:r>
    </w:p>
    <w:p>
      <w:pPr>
        <w:keepNext w:val="false"/>
        <w:spacing w:after="50" w:line="240"/>
        <w:ind w:firstLine="480"/>
        <w:jc w:val="both"/>
      </w:pPr>
      <w:r>
        <w:rPr>
          <w:rFonts w:ascii="TH Sarabun New" w:hAnsi="TH Sarabun New" w:eastAsia="TH Sarabun New"/>
          <w:sz w:val="32"/>
        </w:rPr>
        <w:t>SFAS คัด 14 ปัจจัยจาก EFAS/IFAS หลังแก้การจำแนก โดยให้น้ำหนักใหม่รวม 1.00 และคงเฉพาะปัจจัยที่กำหนดสนาม ความอยู่รอด การนำไปใช้ หรือความเสี่ยงข้ามเวลา ปัจจัย SPI/เครือสหพัฒน์ปรากฏเป็น S6 ภายใน ไม่ปรากฏซ้ำเป็นโอกาสภายนอก</w:t>
      </w:r>
    </w:p>
    <w:p>
      <w:pPr>
        <w:keepNext/>
        <w:spacing w:after="50" w:before="130"/>
        <w:jc w:val="left"/>
      </w:pPr>
      <w:r>
        <w:rPr>
          <w:rFonts w:ascii="TH Sarabun New" w:cs="TH Sarabun New" w:eastAsia="TH Sarabun New" w:hAnsi="TH Sarabun New"/>
          <w:b/>
          <w:bCs/>
          <w:i w:val="false"/>
          <w:iCs w:val="false"/>
          <w:sz w:val="28"/>
          <w:szCs w:val="28"/>
        </w:rPr>
        <w:t xml:space="preserve">ตารางที่ 12  สรุปการวิเคราะห์ปัจจัยเชิงกลยุทธ์ (SFAS Matrix) ของ PG</w:t>
      </w:r>
    </w:p>
    <w:tbl>
      <w:tblPr>
        <w:tblW w:type="dxa" w:w="9468"/>
        <w:jc w:val="center"/>
        <w:tblBorders>
          <w:top w:val="single" w:color="B7B7B7" w:sz="4"/>
          <w:left w:val="single" w:color="B7B7B7" w:sz="4"/>
          <w:bottom w:val="single" w:color="B7B7B7" w:sz="4"/>
          <w:right w:val="single" w:color="B7B7B7" w:sz="4"/>
          <w:insideH w:val="single" w:color="B7B7B7" w:sz="4"/>
          <w:insideV w:val="single" w:color="B7B7B7" w:sz="4"/>
        </w:tblBorders>
        <w:tblLayout w:type="fixed"/>
      </w:tblPr>
      <w:tblGrid>
        <w:gridCol w:w="2600"/>
        <w:gridCol w:w="570"/>
        <w:gridCol w:w="570"/>
        <w:gridCol w:w="620"/>
        <w:gridCol w:w="430"/>
        <w:gridCol w:w="430"/>
        <w:gridCol w:w="430"/>
        <w:gridCol w:w="3370"/>
      </w:tblGrid>
      <w:tr>
        <w:trPr>
          <w:tblHeader w:val="true"/>
        </w:trPr>
        <w:tc>
          <w:tcPr>
            <w:tcW w:type="dxa" w:w="26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ปัจจัยเชิงกลยุทธ์</w:t>
            </w:r>
          </w:p>
        </w:tc>
        <w:tc>
          <w:tcPr>
            <w:tcW w:type="dxa" w:w="57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น้ำหนัก</w:t>
            </w:r>
          </w:p>
        </w:tc>
        <w:tc>
          <w:tcPr>
            <w:tcW w:type="dxa" w:w="57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Rating</w:t>
            </w:r>
          </w:p>
        </w:tc>
        <w:tc>
          <w:tcPr>
            <w:tcW w:type="dxa" w:w="62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คะแนน</w:t>
            </w:r>
          </w:p>
        </w:tc>
        <w:tc>
          <w:tcPr>
            <w:tcW w:type="dxa" w:w="43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สั้น</w:t>
            </w:r>
          </w:p>
        </w:tc>
        <w:tc>
          <w:tcPr>
            <w:tcW w:type="dxa" w:w="43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กลาง</w:t>
            </w:r>
          </w:p>
        </w:tc>
        <w:tc>
          <w:tcPr>
            <w:tcW w:type="dxa" w:w="43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ยาว</w:t>
            </w:r>
          </w:p>
        </w:tc>
        <w:tc>
          <w:tcPr>
            <w:tcW w:type="dxa" w:w="337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เหตุผลและผลเชิงกลยุทธ์</w:t>
            </w:r>
          </w:p>
        </w:tc>
      </w:tr>
      <w:tr>
        <w:trPr/>
        <w:tc>
          <w:tcPr>
            <w:tcW w:type="dxa" w:w="2600"/>
            <w:vAlign w:val="center"/>
          </w:tcPr>
          <w:p>
            <w:pPr>
              <w:spacing w:before="0" w:after="0" w:line="240" w:lineRule="auto"/>
              <w:jc w:val="left"/>
            </w:pPr>
            <w:r>
              <w:rPr>
                <w:rFonts w:ascii="TH Sarabun New" w:hAnsi="TH Sarabun New" w:eastAsia="TH Sarabun New"/>
                <w:b w:val="0"/>
                <w:sz w:val="18"/>
              </w:rPr>
              <w:t>S1 ฐานะการเงินแข็งแรง</w:t>
            </w:r>
          </w:p>
        </w:tc>
        <w:tc>
          <w:tcPr>
            <w:tcW w:type="dxa" w:w="570"/>
            <w:vAlign w:val="center"/>
          </w:tcPr>
          <w:p>
            <w:pPr>
              <w:spacing w:before="0" w:after="0" w:line="240" w:lineRule="auto"/>
              <w:jc w:val="center"/>
            </w:pPr>
            <w:r>
              <w:rPr>
                <w:rFonts w:ascii="TH Sarabun New" w:hAnsi="TH Sarabun New" w:eastAsia="TH Sarabun New"/>
                <w:b w:val="0"/>
                <w:sz w:val="18"/>
              </w:rPr>
              <w:t>0.04</w:t>
            </w:r>
          </w:p>
        </w:tc>
        <w:tc>
          <w:tcPr>
            <w:tcW w:type="dxa" w:w="570"/>
            <w:vAlign w:val="center"/>
          </w:tcPr>
          <w:p>
            <w:pPr>
              <w:spacing w:before="0" w:after="0" w:line="240" w:lineRule="auto"/>
              <w:jc w:val="center"/>
            </w:pPr>
            <w:r>
              <w:rPr>
                <w:rFonts w:ascii="TH Sarabun New" w:hAnsi="TH Sarabun New" w:eastAsia="TH Sarabun New"/>
                <w:b w:val="0"/>
                <w:sz w:val="18"/>
              </w:rPr>
              <w:t>4</w:t>
            </w:r>
          </w:p>
        </w:tc>
        <w:tc>
          <w:tcPr>
            <w:tcW w:type="dxa" w:w="620"/>
            <w:vAlign w:val="center"/>
          </w:tcPr>
          <w:p>
            <w:pPr>
              <w:spacing w:before="0" w:after="0" w:line="240" w:lineRule="auto"/>
              <w:jc w:val="center"/>
            </w:pPr>
            <w:r>
              <w:rPr>
                <w:rFonts w:ascii="TH Sarabun New" w:hAnsi="TH Sarabun New" w:eastAsia="TH Sarabun New"/>
                <w:b w:val="0"/>
                <w:sz w:val="18"/>
              </w:rPr>
              <w:t>0.16</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r>
          </w:p>
        </w:tc>
        <w:tc>
          <w:tcPr>
            <w:tcW w:type="dxa" w:w="3370"/>
            <w:vAlign w:val="center"/>
          </w:tcPr>
          <w:p>
            <w:pPr>
              <w:spacing w:before="0" w:after="0" w:line="240" w:lineRule="auto"/>
              <w:jc w:val="center"/>
            </w:pPr>
            <w:r>
              <w:rPr>
                <w:rFonts w:ascii="TH Sarabun New" w:hAnsi="TH Sarabun New" w:eastAsia="TH Sarabun New"/>
                <w:b w:val="0"/>
                <w:sz w:val="18"/>
              </w:rPr>
              <w:t>ทำให้ใช้ stage gate และไม่ต้องก่อหนี้ภายใต้ฉากทัศน์</w:t>
            </w:r>
          </w:p>
        </w:tc>
      </w:tr>
      <w:tr>
        <w:trPr/>
        <w:tc>
          <w:tcPr>
            <w:tcW w:type="dxa" w:w="2600"/>
            <w:vAlign w:val="center"/>
          </w:tcPr>
          <w:p>
            <w:pPr>
              <w:spacing w:before="0" w:after="0" w:line="240" w:lineRule="auto"/>
              <w:jc w:val="left"/>
            </w:pPr>
            <w:r>
              <w:rPr>
                <w:rFonts w:ascii="TH Sarabun New" w:hAnsi="TH Sarabun New" w:eastAsia="TH Sarabun New"/>
                <w:b w:val="0"/>
                <w:sz w:val="18"/>
              </w:rPr>
              <w:t>S2 บูรณาการผ้าถัก–ออกแบบ–แพตเทิร์น–ตัดเย็บ</w:t>
            </w:r>
          </w:p>
        </w:tc>
        <w:tc>
          <w:tcPr>
            <w:tcW w:type="dxa" w:w="570"/>
            <w:vAlign w:val="center"/>
          </w:tcPr>
          <w:p>
            <w:pPr>
              <w:spacing w:before="0" w:after="0" w:line="240" w:lineRule="auto"/>
              <w:jc w:val="center"/>
            </w:pPr>
            <w:r>
              <w:rPr>
                <w:rFonts w:ascii="TH Sarabun New" w:hAnsi="TH Sarabun New" w:eastAsia="TH Sarabun New"/>
                <w:b w:val="0"/>
                <w:sz w:val="18"/>
              </w:rPr>
              <w:t>0.09</w:t>
            </w:r>
          </w:p>
        </w:tc>
        <w:tc>
          <w:tcPr>
            <w:tcW w:type="dxa" w:w="570"/>
            <w:vAlign w:val="center"/>
          </w:tcPr>
          <w:p>
            <w:pPr>
              <w:spacing w:before="0" w:after="0" w:line="240" w:lineRule="auto"/>
              <w:jc w:val="center"/>
            </w:pPr>
            <w:r>
              <w:rPr>
                <w:rFonts w:ascii="TH Sarabun New" w:hAnsi="TH Sarabun New" w:eastAsia="TH Sarabun New"/>
                <w:b w:val="0"/>
                <w:sz w:val="18"/>
              </w:rPr>
              <w:t>4</w:t>
            </w:r>
          </w:p>
        </w:tc>
        <w:tc>
          <w:tcPr>
            <w:tcW w:type="dxa" w:w="620"/>
            <w:vAlign w:val="center"/>
          </w:tcPr>
          <w:p>
            <w:pPr>
              <w:spacing w:before="0" w:after="0" w:line="240" w:lineRule="auto"/>
              <w:jc w:val="center"/>
            </w:pPr>
            <w:r>
              <w:rPr>
                <w:rFonts w:ascii="TH Sarabun New" w:hAnsi="TH Sarabun New" w:eastAsia="TH Sarabun New"/>
                <w:b w:val="0"/>
                <w:sz w:val="18"/>
              </w:rPr>
              <w:t>0.36</w:t>
            </w:r>
          </w:p>
        </w:tc>
        <w:tc>
          <w:tcPr>
            <w:tcW w:type="dxa" w:w="430"/>
            <w:vAlign w:val="center"/>
          </w:tcPr>
          <w:p>
            <w:pPr>
              <w:spacing w:before="0" w:after="0" w:line="240" w:lineRule="auto"/>
              <w:jc w:val="center"/>
            </w:pPr>
            <w:r>
              <w:rPr>
                <w:rFonts w:ascii="TH Sarabun New" w:hAnsi="TH Sarabun New" w:eastAsia="TH Sarabun New"/>
                <w:b w:val="0"/>
                <w:sz w:val="18"/>
              </w:rPr>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3370"/>
            <w:vAlign w:val="center"/>
          </w:tcPr>
          <w:p>
            <w:pPr>
              <w:spacing w:before="0" w:after="0" w:line="240" w:lineRule="auto"/>
              <w:jc w:val="center"/>
            </w:pPr>
            <w:r>
              <w:rPr>
                <w:rFonts w:ascii="TH Sarabun New" w:hAnsi="TH Sarabun New" w:eastAsia="TH Sarabun New"/>
                <w:b w:val="0"/>
                <w:sz w:val="18"/>
              </w:rPr>
              <w:t>แกนความแตกต่างของงานเชิงฟังก์ชัน</w:t>
            </w:r>
          </w:p>
        </w:tc>
      </w:tr>
      <w:tr>
        <w:trPr/>
        <w:tc>
          <w:tcPr>
            <w:tcW w:type="dxa" w:w="2600"/>
            <w:vAlign w:val="center"/>
          </w:tcPr>
          <w:p>
            <w:pPr>
              <w:spacing w:before="0" w:after="0" w:line="240" w:lineRule="auto"/>
              <w:jc w:val="left"/>
            </w:pPr>
            <w:r>
              <w:rPr>
                <w:rFonts w:ascii="TH Sarabun New" w:hAnsi="TH Sarabun New" w:eastAsia="TH Sarabun New"/>
                <w:b w:val="0"/>
                <w:sz w:val="18"/>
              </w:rPr>
              <w:t>S3 ผลิตภัณฑ์เชิงฟังก์ชันและมาตรฐาน</w:t>
            </w:r>
          </w:p>
        </w:tc>
        <w:tc>
          <w:tcPr>
            <w:tcW w:type="dxa" w:w="570"/>
            <w:vAlign w:val="center"/>
          </w:tcPr>
          <w:p>
            <w:pPr>
              <w:spacing w:before="0" w:after="0" w:line="240" w:lineRule="auto"/>
              <w:jc w:val="center"/>
            </w:pPr>
            <w:r>
              <w:rPr>
                <w:rFonts w:ascii="TH Sarabun New" w:hAnsi="TH Sarabun New" w:eastAsia="TH Sarabun New"/>
                <w:b w:val="0"/>
                <w:sz w:val="18"/>
              </w:rPr>
              <w:t>0.07</w:t>
            </w:r>
          </w:p>
        </w:tc>
        <w:tc>
          <w:tcPr>
            <w:tcW w:type="dxa" w:w="570"/>
            <w:vAlign w:val="center"/>
          </w:tcPr>
          <w:p>
            <w:pPr>
              <w:spacing w:before="0" w:after="0" w:line="240" w:lineRule="auto"/>
              <w:jc w:val="center"/>
            </w:pPr>
            <w:r>
              <w:rPr>
                <w:rFonts w:ascii="TH Sarabun New" w:hAnsi="TH Sarabun New" w:eastAsia="TH Sarabun New"/>
                <w:b w:val="0"/>
                <w:sz w:val="18"/>
              </w:rPr>
              <w:t>4</w:t>
            </w:r>
          </w:p>
        </w:tc>
        <w:tc>
          <w:tcPr>
            <w:tcW w:type="dxa" w:w="620"/>
            <w:vAlign w:val="center"/>
          </w:tcPr>
          <w:p>
            <w:pPr>
              <w:spacing w:before="0" w:after="0" w:line="240" w:lineRule="auto"/>
              <w:jc w:val="center"/>
            </w:pPr>
            <w:r>
              <w:rPr>
                <w:rFonts w:ascii="TH Sarabun New" w:hAnsi="TH Sarabun New" w:eastAsia="TH Sarabun New"/>
                <w:b w:val="0"/>
                <w:sz w:val="18"/>
              </w:rPr>
              <w:t>0.28</w:t>
            </w:r>
          </w:p>
        </w:tc>
        <w:tc>
          <w:tcPr>
            <w:tcW w:type="dxa" w:w="430"/>
            <w:vAlign w:val="center"/>
          </w:tcPr>
          <w:p>
            <w:pPr>
              <w:spacing w:before="0" w:after="0" w:line="240" w:lineRule="auto"/>
              <w:jc w:val="center"/>
            </w:pPr>
            <w:r>
              <w:rPr>
                <w:rFonts w:ascii="TH Sarabun New" w:hAnsi="TH Sarabun New" w:eastAsia="TH Sarabun New"/>
                <w:b w:val="0"/>
                <w:sz w:val="18"/>
              </w:rPr>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3370"/>
            <w:vAlign w:val="center"/>
          </w:tcPr>
          <w:p>
            <w:pPr>
              <w:spacing w:before="0" w:after="0" w:line="240" w:lineRule="auto"/>
              <w:jc w:val="center"/>
            </w:pPr>
            <w:r>
              <w:rPr>
                <w:rFonts w:ascii="TH Sarabun New" w:hAnsi="TH Sarabun New" w:eastAsia="TH Sarabun New"/>
                <w:b w:val="0"/>
                <w:sz w:val="18"/>
              </w:rPr>
              <w:t>แปลงเป็นข้อกำหนด/ผลทดสอบราย SKU</w:t>
            </w:r>
          </w:p>
        </w:tc>
      </w:tr>
      <w:tr>
        <w:trPr/>
        <w:tc>
          <w:tcPr>
            <w:tcW w:type="dxa" w:w="2600"/>
            <w:vAlign w:val="center"/>
          </w:tcPr>
          <w:p>
            <w:pPr>
              <w:spacing w:before="0" w:after="0" w:line="240" w:lineRule="auto"/>
              <w:jc w:val="left"/>
            </w:pPr>
            <w:r>
              <w:rPr>
                <w:rFonts w:ascii="TH Sarabun New" w:hAnsi="TH Sarabun New" w:eastAsia="TH Sarabun New"/>
                <w:b w:val="0"/>
                <w:sz w:val="18"/>
              </w:rPr>
              <w:t>S4 ฐานลูกค้าเครื่องแบบและชุดทางการแพทย์</w:t>
            </w:r>
          </w:p>
        </w:tc>
        <w:tc>
          <w:tcPr>
            <w:tcW w:type="dxa" w:w="570"/>
            <w:vAlign w:val="center"/>
          </w:tcPr>
          <w:p>
            <w:pPr>
              <w:spacing w:before="0" w:after="0" w:line="240" w:lineRule="auto"/>
              <w:jc w:val="center"/>
            </w:pPr>
            <w:r>
              <w:rPr>
                <w:rFonts w:ascii="TH Sarabun New" w:hAnsi="TH Sarabun New" w:eastAsia="TH Sarabun New"/>
                <w:b w:val="0"/>
                <w:sz w:val="18"/>
              </w:rPr>
              <w:t>0.04</w:t>
            </w:r>
          </w:p>
        </w:tc>
        <w:tc>
          <w:tcPr>
            <w:tcW w:type="dxa" w:w="570"/>
            <w:vAlign w:val="center"/>
          </w:tcPr>
          <w:p>
            <w:pPr>
              <w:spacing w:before="0" w:after="0" w:line="240" w:lineRule="auto"/>
              <w:jc w:val="center"/>
            </w:pPr>
            <w:r>
              <w:rPr>
                <w:rFonts w:ascii="TH Sarabun New" w:hAnsi="TH Sarabun New" w:eastAsia="TH Sarabun New"/>
                <w:b w:val="0"/>
                <w:sz w:val="18"/>
              </w:rPr>
              <w:t>3</w:t>
            </w:r>
          </w:p>
        </w:tc>
        <w:tc>
          <w:tcPr>
            <w:tcW w:type="dxa" w:w="620"/>
            <w:vAlign w:val="center"/>
          </w:tcPr>
          <w:p>
            <w:pPr>
              <w:spacing w:before="0" w:after="0" w:line="240" w:lineRule="auto"/>
              <w:jc w:val="center"/>
            </w:pPr>
            <w:r>
              <w:rPr>
                <w:rFonts w:ascii="TH Sarabun New" w:hAnsi="TH Sarabun New" w:eastAsia="TH Sarabun New"/>
                <w:b w:val="0"/>
                <w:sz w:val="18"/>
              </w:rPr>
              <w:t>0.12</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r>
          </w:p>
        </w:tc>
        <w:tc>
          <w:tcPr>
            <w:tcW w:type="dxa" w:w="3370"/>
            <w:vAlign w:val="center"/>
          </w:tcPr>
          <w:p>
            <w:pPr>
              <w:spacing w:before="0" w:after="0" w:line="240" w:lineRule="auto"/>
              <w:jc w:val="center"/>
            </w:pPr>
            <w:r>
              <w:rPr>
                <w:rFonts w:ascii="TH Sarabun New" w:hAnsi="TH Sarabun New" w:eastAsia="TH Sarabun New"/>
                <w:b w:val="0"/>
                <w:sz w:val="18"/>
              </w:rPr>
              <w:t>ฐาน pilot/reference customer</w:t>
            </w:r>
          </w:p>
        </w:tc>
      </w:tr>
      <w:tr>
        <w:trPr/>
        <w:tc>
          <w:tcPr>
            <w:tcW w:type="dxa" w:w="2600"/>
            <w:vAlign w:val="center"/>
          </w:tcPr>
          <w:p>
            <w:pPr>
              <w:spacing w:before="0" w:after="0" w:line="240" w:lineRule="auto"/>
              <w:jc w:val="left"/>
            </w:pPr>
            <w:r>
              <w:rPr>
                <w:rFonts w:ascii="TH Sarabun New" w:hAnsi="TH Sarabun New" w:eastAsia="TH Sarabun New"/>
                <w:b w:val="0"/>
                <w:sz w:val="18"/>
              </w:rPr>
              <w:t>S6 เครือข่าย SPI/I.C.C./เครือสหพัฒน์</w:t>
            </w:r>
          </w:p>
        </w:tc>
        <w:tc>
          <w:tcPr>
            <w:tcW w:type="dxa" w:w="570"/>
            <w:vAlign w:val="center"/>
          </w:tcPr>
          <w:p>
            <w:pPr>
              <w:spacing w:before="0" w:after="0" w:line="240" w:lineRule="auto"/>
              <w:jc w:val="center"/>
            </w:pPr>
            <w:r>
              <w:rPr>
                <w:rFonts w:ascii="TH Sarabun New" w:hAnsi="TH Sarabun New" w:eastAsia="TH Sarabun New"/>
                <w:b w:val="0"/>
                <w:sz w:val="18"/>
              </w:rPr>
              <w:t>0.05</w:t>
            </w:r>
          </w:p>
        </w:tc>
        <w:tc>
          <w:tcPr>
            <w:tcW w:type="dxa" w:w="570"/>
            <w:vAlign w:val="center"/>
          </w:tcPr>
          <w:p>
            <w:pPr>
              <w:spacing w:before="0" w:after="0" w:line="240" w:lineRule="auto"/>
              <w:jc w:val="center"/>
            </w:pPr>
            <w:r>
              <w:rPr>
                <w:rFonts w:ascii="TH Sarabun New" w:hAnsi="TH Sarabun New" w:eastAsia="TH Sarabun New"/>
                <w:b w:val="0"/>
                <w:sz w:val="18"/>
              </w:rPr>
              <w:t>3</w:t>
            </w:r>
          </w:p>
        </w:tc>
        <w:tc>
          <w:tcPr>
            <w:tcW w:type="dxa" w:w="620"/>
            <w:vAlign w:val="center"/>
          </w:tcPr>
          <w:p>
            <w:pPr>
              <w:spacing w:before="0" w:after="0" w:line="240" w:lineRule="auto"/>
              <w:jc w:val="center"/>
            </w:pPr>
            <w:r>
              <w:rPr>
                <w:rFonts w:ascii="TH Sarabun New" w:hAnsi="TH Sarabun New" w:eastAsia="TH Sarabun New"/>
                <w:b w:val="0"/>
                <w:sz w:val="18"/>
              </w:rPr>
              <w:t>0.15</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3370"/>
            <w:vAlign w:val="center"/>
          </w:tcPr>
          <w:p>
            <w:pPr>
              <w:spacing w:before="0" w:after="0" w:line="240" w:lineRule="auto"/>
              <w:jc w:val="center"/>
            </w:pPr>
            <w:r>
              <w:rPr>
                <w:rFonts w:ascii="TH Sarabun New" w:hAnsi="TH Sarabun New" w:eastAsia="TH Sarabun New"/>
                <w:b w:val="0"/>
                <w:sz w:val="18"/>
              </w:rPr>
              <w:t>Strategic Enabler ภายในและต้องมีกติกาช่องทาง</w:t>
            </w:r>
          </w:p>
        </w:tc>
      </w:tr>
      <w:tr>
        <w:trPr/>
        <w:tc>
          <w:tcPr>
            <w:tcW w:type="dxa" w:w="2600"/>
            <w:vAlign w:val="center"/>
          </w:tcPr>
          <w:p>
            <w:pPr>
              <w:spacing w:before="0" w:after="0" w:line="240" w:lineRule="auto"/>
              <w:jc w:val="left"/>
            </w:pPr>
            <w:r>
              <w:rPr>
                <w:rFonts w:ascii="TH Sarabun New" w:hAnsi="TH Sarabun New" w:eastAsia="TH Sarabun New"/>
                <w:b w:val="0"/>
                <w:sz w:val="18"/>
              </w:rPr>
              <w:t>W1 ธุรกิจหลักขาดทุน</w:t>
            </w:r>
          </w:p>
        </w:tc>
        <w:tc>
          <w:tcPr>
            <w:tcW w:type="dxa" w:w="570"/>
            <w:vAlign w:val="center"/>
          </w:tcPr>
          <w:p>
            <w:pPr>
              <w:spacing w:before="0" w:after="0" w:line="240" w:lineRule="auto"/>
              <w:jc w:val="center"/>
            </w:pPr>
            <w:r>
              <w:rPr>
                <w:rFonts w:ascii="TH Sarabun New" w:hAnsi="TH Sarabun New" w:eastAsia="TH Sarabun New"/>
                <w:b w:val="0"/>
                <w:sz w:val="18"/>
              </w:rPr>
              <w:t>0.17</w:t>
            </w:r>
          </w:p>
        </w:tc>
        <w:tc>
          <w:tcPr>
            <w:tcW w:type="dxa" w:w="570"/>
            <w:vAlign w:val="center"/>
          </w:tcPr>
          <w:p>
            <w:pPr>
              <w:spacing w:before="0" w:after="0" w:line="240" w:lineRule="auto"/>
              <w:jc w:val="center"/>
            </w:pPr>
            <w:r>
              <w:rPr>
                <w:rFonts w:ascii="TH Sarabun New" w:hAnsi="TH Sarabun New" w:eastAsia="TH Sarabun New"/>
                <w:b w:val="0"/>
                <w:sz w:val="18"/>
              </w:rPr>
              <w:t>1</w:t>
            </w:r>
          </w:p>
        </w:tc>
        <w:tc>
          <w:tcPr>
            <w:tcW w:type="dxa" w:w="620"/>
            <w:vAlign w:val="center"/>
          </w:tcPr>
          <w:p>
            <w:pPr>
              <w:spacing w:before="0" w:after="0" w:line="240" w:lineRule="auto"/>
              <w:jc w:val="center"/>
            </w:pPr>
            <w:r>
              <w:rPr>
                <w:rFonts w:ascii="TH Sarabun New" w:hAnsi="TH Sarabun New" w:eastAsia="TH Sarabun New"/>
                <w:b w:val="0"/>
                <w:sz w:val="18"/>
              </w:rPr>
              <w:t>0.17</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r>
          </w:p>
        </w:tc>
        <w:tc>
          <w:tcPr>
            <w:tcW w:type="dxa" w:w="430"/>
            <w:vAlign w:val="center"/>
          </w:tcPr>
          <w:p>
            <w:pPr>
              <w:spacing w:before="0" w:after="0" w:line="240" w:lineRule="auto"/>
              <w:jc w:val="center"/>
            </w:pPr>
            <w:r>
              <w:rPr>
                <w:rFonts w:ascii="TH Sarabun New" w:hAnsi="TH Sarabun New" w:eastAsia="TH Sarabun New"/>
                <w:b w:val="0"/>
                <w:sz w:val="18"/>
              </w:rPr>
            </w:r>
          </w:p>
        </w:tc>
        <w:tc>
          <w:tcPr>
            <w:tcW w:type="dxa" w:w="3370"/>
            <w:vAlign w:val="center"/>
          </w:tcPr>
          <w:p>
            <w:pPr>
              <w:spacing w:before="0" w:after="0" w:line="240" w:lineRule="auto"/>
              <w:jc w:val="center"/>
            </w:pPr>
            <w:r>
              <w:rPr>
                <w:rFonts w:ascii="TH Sarabun New" w:hAnsi="TH Sarabun New" w:eastAsia="TH Sarabun New"/>
                <w:b w:val="0"/>
                <w:sz w:val="18"/>
              </w:rPr>
              <w:t>Gate 0 ต้องมาก่อนการเติบโตและ capex</w:t>
            </w:r>
          </w:p>
        </w:tc>
      </w:tr>
      <w:tr>
        <w:trPr/>
        <w:tc>
          <w:tcPr>
            <w:tcW w:type="dxa" w:w="2600"/>
            <w:vAlign w:val="center"/>
          </w:tcPr>
          <w:p>
            <w:pPr>
              <w:spacing w:before="0" w:after="0" w:line="240" w:lineRule="auto"/>
              <w:jc w:val="left"/>
            </w:pPr>
            <w:r>
              <w:rPr>
                <w:rFonts w:ascii="TH Sarabun New" w:hAnsi="TH Sarabun New" w:eastAsia="TH Sarabun New"/>
                <w:b w:val="0"/>
                <w:sz w:val="18"/>
              </w:rPr>
              <w:t>W2 ลูกค้า/ช่องทางกระจุกตัว</w:t>
            </w:r>
          </w:p>
        </w:tc>
        <w:tc>
          <w:tcPr>
            <w:tcW w:type="dxa" w:w="570"/>
            <w:vAlign w:val="center"/>
          </w:tcPr>
          <w:p>
            <w:pPr>
              <w:spacing w:before="0" w:after="0" w:line="240" w:lineRule="auto"/>
              <w:jc w:val="center"/>
            </w:pPr>
            <w:r>
              <w:rPr>
                <w:rFonts w:ascii="TH Sarabun New" w:hAnsi="TH Sarabun New" w:eastAsia="TH Sarabun New"/>
                <w:b w:val="0"/>
                <w:sz w:val="18"/>
              </w:rPr>
              <w:t>0.08</w:t>
            </w:r>
          </w:p>
        </w:tc>
        <w:tc>
          <w:tcPr>
            <w:tcW w:type="dxa" w:w="570"/>
            <w:vAlign w:val="center"/>
          </w:tcPr>
          <w:p>
            <w:pPr>
              <w:spacing w:before="0" w:after="0" w:line="240" w:lineRule="auto"/>
              <w:jc w:val="center"/>
            </w:pPr>
            <w:r>
              <w:rPr>
                <w:rFonts w:ascii="TH Sarabun New" w:hAnsi="TH Sarabun New" w:eastAsia="TH Sarabun New"/>
                <w:b w:val="0"/>
                <w:sz w:val="18"/>
              </w:rPr>
              <w:t>2</w:t>
            </w:r>
          </w:p>
        </w:tc>
        <w:tc>
          <w:tcPr>
            <w:tcW w:type="dxa" w:w="620"/>
            <w:vAlign w:val="center"/>
          </w:tcPr>
          <w:p>
            <w:pPr>
              <w:spacing w:before="0" w:after="0" w:line="240" w:lineRule="auto"/>
              <w:jc w:val="center"/>
            </w:pPr>
            <w:r>
              <w:rPr>
                <w:rFonts w:ascii="TH Sarabun New" w:hAnsi="TH Sarabun New" w:eastAsia="TH Sarabun New"/>
                <w:b w:val="0"/>
                <w:sz w:val="18"/>
              </w:rPr>
              <w:t>0.16</w:t>
            </w:r>
          </w:p>
        </w:tc>
        <w:tc>
          <w:tcPr>
            <w:tcW w:type="dxa" w:w="430"/>
            <w:vAlign w:val="center"/>
          </w:tcPr>
          <w:p>
            <w:pPr>
              <w:spacing w:before="0" w:after="0" w:line="240" w:lineRule="auto"/>
              <w:jc w:val="center"/>
            </w:pPr>
            <w:r>
              <w:rPr>
                <w:rFonts w:ascii="TH Sarabun New" w:hAnsi="TH Sarabun New" w:eastAsia="TH Sarabun New"/>
                <w:b w:val="0"/>
                <w:sz w:val="18"/>
              </w:rPr>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r>
          </w:p>
        </w:tc>
        <w:tc>
          <w:tcPr>
            <w:tcW w:type="dxa" w:w="3370"/>
            <w:vAlign w:val="center"/>
          </w:tcPr>
          <w:p>
            <w:pPr>
              <w:spacing w:before="0" w:after="0" w:line="240" w:lineRule="auto"/>
              <w:jc w:val="center"/>
            </w:pPr>
            <w:r>
              <w:rPr>
                <w:rFonts w:ascii="TH Sarabun New" w:hAnsi="TH Sarabun New" w:eastAsia="TH Sarabun New"/>
                <w:b w:val="0"/>
                <w:sz w:val="18"/>
              </w:rPr>
              <w:t>ต้องเพิ่ม direct B2B และสัญญาระยะกลาง</w:t>
            </w:r>
          </w:p>
        </w:tc>
      </w:tr>
      <w:tr>
        <w:trPr/>
        <w:tc>
          <w:tcPr>
            <w:tcW w:type="dxa" w:w="2600"/>
            <w:vAlign w:val="center"/>
          </w:tcPr>
          <w:p>
            <w:pPr>
              <w:spacing w:before="0" w:after="0" w:line="240" w:lineRule="auto"/>
              <w:jc w:val="left"/>
            </w:pPr>
            <w:r>
              <w:rPr>
                <w:rFonts w:ascii="TH Sarabun New" w:hAnsi="TH Sarabun New" w:eastAsia="TH Sarabun New"/>
                <w:b w:val="0"/>
                <w:sz w:val="18"/>
              </w:rPr>
              <w:t>W3 สินค้าคงเหลือและเงินทุนหมุนเวียน</w:t>
            </w:r>
          </w:p>
        </w:tc>
        <w:tc>
          <w:tcPr>
            <w:tcW w:type="dxa" w:w="570"/>
            <w:vAlign w:val="center"/>
          </w:tcPr>
          <w:p>
            <w:pPr>
              <w:spacing w:before="0" w:after="0" w:line="240" w:lineRule="auto"/>
              <w:jc w:val="center"/>
            </w:pPr>
            <w:r>
              <w:rPr>
                <w:rFonts w:ascii="TH Sarabun New" w:hAnsi="TH Sarabun New" w:eastAsia="TH Sarabun New"/>
                <w:b w:val="0"/>
                <w:sz w:val="18"/>
              </w:rPr>
              <w:t>0.07</w:t>
            </w:r>
          </w:p>
        </w:tc>
        <w:tc>
          <w:tcPr>
            <w:tcW w:type="dxa" w:w="570"/>
            <w:vAlign w:val="center"/>
          </w:tcPr>
          <w:p>
            <w:pPr>
              <w:spacing w:before="0" w:after="0" w:line="240" w:lineRule="auto"/>
              <w:jc w:val="center"/>
            </w:pPr>
            <w:r>
              <w:rPr>
                <w:rFonts w:ascii="TH Sarabun New" w:hAnsi="TH Sarabun New" w:eastAsia="TH Sarabun New"/>
                <w:b w:val="0"/>
                <w:sz w:val="18"/>
              </w:rPr>
              <w:t>2</w:t>
            </w:r>
          </w:p>
        </w:tc>
        <w:tc>
          <w:tcPr>
            <w:tcW w:type="dxa" w:w="620"/>
            <w:vAlign w:val="center"/>
          </w:tcPr>
          <w:p>
            <w:pPr>
              <w:spacing w:before="0" w:after="0" w:line="240" w:lineRule="auto"/>
              <w:jc w:val="center"/>
            </w:pPr>
            <w:r>
              <w:rPr>
                <w:rFonts w:ascii="TH Sarabun New" w:hAnsi="TH Sarabun New" w:eastAsia="TH Sarabun New"/>
                <w:b w:val="0"/>
                <w:sz w:val="18"/>
              </w:rPr>
              <w:t>0.14</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r>
          </w:p>
        </w:tc>
        <w:tc>
          <w:tcPr>
            <w:tcW w:type="dxa" w:w="3370"/>
            <w:vAlign w:val="center"/>
          </w:tcPr>
          <w:p>
            <w:pPr>
              <w:spacing w:before="0" w:after="0" w:line="240" w:lineRule="auto"/>
              <w:jc w:val="center"/>
            </w:pPr>
            <w:r>
              <w:rPr>
                <w:rFonts w:ascii="TH Sarabun New" w:hAnsi="TH Sarabun New" w:eastAsia="TH Sarabun New"/>
                <w:b w:val="0"/>
                <w:sz w:val="18"/>
              </w:rPr>
              <w:t>ใช้ S&amp;OP/MTO/contract replenishment</w:t>
            </w:r>
          </w:p>
        </w:tc>
      </w:tr>
      <w:tr>
        <w:trPr/>
        <w:tc>
          <w:tcPr>
            <w:tcW w:type="dxa" w:w="2600"/>
            <w:vAlign w:val="center"/>
          </w:tcPr>
          <w:p>
            <w:pPr>
              <w:spacing w:before="0" w:after="0" w:line="240" w:lineRule="auto"/>
              <w:jc w:val="left"/>
            </w:pPr>
            <w:r>
              <w:rPr>
                <w:rFonts w:ascii="TH Sarabun New" w:hAnsi="TH Sarabun New" w:eastAsia="TH Sarabun New"/>
                <w:b w:val="0"/>
                <w:sz w:val="18"/>
              </w:rPr>
              <w:t>W4 ช่องว่างเทคโนโลยี ผลิตภาพ และข้อมูล</w:t>
            </w:r>
          </w:p>
        </w:tc>
        <w:tc>
          <w:tcPr>
            <w:tcW w:type="dxa" w:w="570"/>
            <w:vAlign w:val="center"/>
          </w:tcPr>
          <w:p>
            <w:pPr>
              <w:spacing w:before="0" w:after="0" w:line="240" w:lineRule="auto"/>
              <w:jc w:val="center"/>
            </w:pPr>
            <w:r>
              <w:rPr>
                <w:rFonts w:ascii="TH Sarabun New" w:hAnsi="TH Sarabun New" w:eastAsia="TH Sarabun New"/>
                <w:b w:val="0"/>
                <w:sz w:val="18"/>
              </w:rPr>
              <w:t>0.07</w:t>
            </w:r>
          </w:p>
        </w:tc>
        <w:tc>
          <w:tcPr>
            <w:tcW w:type="dxa" w:w="570"/>
            <w:vAlign w:val="center"/>
          </w:tcPr>
          <w:p>
            <w:pPr>
              <w:spacing w:before="0" w:after="0" w:line="240" w:lineRule="auto"/>
              <w:jc w:val="center"/>
            </w:pPr>
            <w:r>
              <w:rPr>
                <w:rFonts w:ascii="TH Sarabun New" w:hAnsi="TH Sarabun New" w:eastAsia="TH Sarabun New"/>
                <w:b w:val="0"/>
                <w:sz w:val="18"/>
              </w:rPr>
              <w:t>2</w:t>
            </w:r>
          </w:p>
        </w:tc>
        <w:tc>
          <w:tcPr>
            <w:tcW w:type="dxa" w:w="620"/>
            <w:vAlign w:val="center"/>
          </w:tcPr>
          <w:p>
            <w:pPr>
              <w:spacing w:before="0" w:after="0" w:line="240" w:lineRule="auto"/>
              <w:jc w:val="center"/>
            </w:pPr>
            <w:r>
              <w:rPr>
                <w:rFonts w:ascii="TH Sarabun New" w:hAnsi="TH Sarabun New" w:eastAsia="TH Sarabun New"/>
                <w:b w:val="0"/>
                <w:sz w:val="18"/>
              </w:rPr>
              <w:t>0.14</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3370"/>
            <w:vAlign w:val="center"/>
          </w:tcPr>
          <w:p>
            <w:pPr>
              <w:spacing w:before="0" w:after="0" w:line="240" w:lineRule="auto"/>
              <w:jc w:val="center"/>
            </w:pPr>
            <w:r>
              <w:rPr>
                <w:rFonts w:ascii="TH Sarabun New" w:hAnsi="TH Sarabun New" w:eastAsia="TH Sarabun New"/>
                <w:b w:val="0"/>
                <w:sz w:val="18"/>
              </w:rPr>
              <w:t>ต้องวัด baseline/pilot ก่อน P8</w:t>
            </w:r>
          </w:p>
        </w:tc>
      </w:tr>
      <w:tr>
        <w:trPr/>
        <w:tc>
          <w:tcPr>
            <w:tcW w:type="dxa" w:w="2600"/>
            <w:vAlign w:val="center"/>
          </w:tcPr>
          <w:p>
            <w:pPr>
              <w:spacing w:before="0" w:after="0" w:line="240" w:lineRule="auto"/>
              <w:jc w:val="left"/>
            </w:pPr>
            <w:r>
              <w:rPr>
                <w:rFonts w:ascii="TH Sarabun New" w:hAnsi="TH Sarabun New" w:eastAsia="TH Sarabun New"/>
                <w:b w:val="0"/>
                <w:sz w:val="18"/>
              </w:rPr>
              <w:t>O1 อุปสงค์ functional uniform/workwear</w:t>
            </w:r>
          </w:p>
        </w:tc>
        <w:tc>
          <w:tcPr>
            <w:tcW w:type="dxa" w:w="570"/>
            <w:vAlign w:val="center"/>
          </w:tcPr>
          <w:p>
            <w:pPr>
              <w:spacing w:before="0" w:after="0" w:line="240" w:lineRule="auto"/>
              <w:jc w:val="center"/>
            </w:pPr>
            <w:r>
              <w:rPr>
                <w:rFonts w:ascii="TH Sarabun New" w:hAnsi="TH Sarabun New" w:eastAsia="TH Sarabun New"/>
                <w:b w:val="0"/>
                <w:sz w:val="18"/>
              </w:rPr>
              <w:t>0.11</w:t>
            </w:r>
          </w:p>
        </w:tc>
        <w:tc>
          <w:tcPr>
            <w:tcW w:type="dxa" w:w="570"/>
            <w:vAlign w:val="center"/>
          </w:tcPr>
          <w:p>
            <w:pPr>
              <w:spacing w:before="0" w:after="0" w:line="240" w:lineRule="auto"/>
              <w:jc w:val="center"/>
            </w:pPr>
            <w:r>
              <w:rPr>
                <w:rFonts w:ascii="TH Sarabun New" w:hAnsi="TH Sarabun New" w:eastAsia="TH Sarabun New"/>
                <w:b w:val="0"/>
                <w:sz w:val="18"/>
              </w:rPr>
              <w:t>3</w:t>
            </w:r>
          </w:p>
        </w:tc>
        <w:tc>
          <w:tcPr>
            <w:tcW w:type="dxa" w:w="620"/>
            <w:vAlign w:val="center"/>
          </w:tcPr>
          <w:p>
            <w:pPr>
              <w:spacing w:before="0" w:after="0" w:line="240" w:lineRule="auto"/>
              <w:jc w:val="center"/>
            </w:pPr>
            <w:r>
              <w:rPr>
                <w:rFonts w:ascii="TH Sarabun New" w:hAnsi="TH Sarabun New" w:eastAsia="TH Sarabun New"/>
                <w:b w:val="0"/>
                <w:sz w:val="18"/>
              </w:rPr>
              <w:t>0.33</w:t>
            </w:r>
          </w:p>
        </w:tc>
        <w:tc>
          <w:tcPr>
            <w:tcW w:type="dxa" w:w="430"/>
            <w:vAlign w:val="center"/>
          </w:tcPr>
          <w:p>
            <w:pPr>
              <w:spacing w:before="0" w:after="0" w:line="240" w:lineRule="auto"/>
              <w:jc w:val="center"/>
            </w:pPr>
            <w:r>
              <w:rPr>
                <w:rFonts w:ascii="TH Sarabun New" w:hAnsi="TH Sarabun New" w:eastAsia="TH Sarabun New"/>
                <w:b w:val="0"/>
                <w:sz w:val="18"/>
              </w:rPr>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3370"/>
            <w:vAlign w:val="center"/>
          </w:tcPr>
          <w:p>
            <w:pPr>
              <w:spacing w:before="0" w:after="0" w:line="240" w:lineRule="auto"/>
              <w:jc w:val="center"/>
            </w:pPr>
            <w:r>
              <w:rPr>
                <w:rFonts w:ascii="TH Sarabun New" w:hAnsi="TH Sarabun New" w:eastAsia="TH Sarabun New"/>
                <w:b w:val="0"/>
                <w:sz w:val="18"/>
              </w:rPr>
              <w:t>ตลาดที่ตรงกับ S2/S3/S4</w:t>
            </w:r>
          </w:p>
        </w:tc>
      </w:tr>
      <w:tr>
        <w:trPr/>
        <w:tc>
          <w:tcPr>
            <w:tcW w:type="dxa" w:w="2600"/>
            <w:vAlign w:val="center"/>
          </w:tcPr>
          <w:p>
            <w:pPr>
              <w:spacing w:before="0" w:after="0" w:line="240" w:lineRule="auto"/>
              <w:jc w:val="left"/>
            </w:pPr>
            <w:r>
              <w:rPr>
                <w:rFonts w:ascii="TH Sarabun New" w:hAnsi="TH Sarabun New" w:eastAsia="TH Sarabun New"/>
                <w:b w:val="0"/>
                <w:sz w:val="18"/>
              </w:rPr>
              <w:t>O2 เกณฑ์ traceability/circularity</w:t>
            </w:r>
          </w:p>
        </w:tc>
        <w:tc>
          <w:tcPr>
            <w:tcW w:type="dxa" w:w="570"/>
            <w:vAlign w:val="center"/>
          </w:tcPr>
          <w:p>
            <w:pPr>
              <w:spacing w:before="0" w:after="0" w:line="240" w:lineRule="auto"/>
              <w:jc w:val="center"/>
            </w:pPr>
            <w:r>
              <w:rPr>
                <w:rFonts w:ascii="TH Sarabun New" w:hAnsi="TH Sarabun New" w:eastAsia="TH Sarabun New"/>
                <w:b w:val="0"/>
                <w:sz w:val="18"/>
              </w:rPr>
              <w:t>0.05</w:t>
            </w:r>
          </w:p>
        </w:tc>
        <w:tc>
          <w:tcPr>
            <w:tcW w:type="dxa" w:w="570"/>
            <w:vAlign w:val="center"/>
          </w:tcPr>
          <w:p>
            <w:pPr>
              <w:spacing w:before="0" w:after="0" w:line="240" w:lineRule="auto"/>
              <w:jc w:val="center"/>
            </w:pPr>
            <w:r>
              <w:rPr>
                <w:rFonts w:ascii="TH Sarabun New" w:hAnsi="TH Sarabun New" w:eastAsia="TH Sarabun New"/>
                <w:b w:val="0"/>
                <w:sz w:val="18"/>
              </w:rPr>
              <w:t>3</w:t>
            </w:r>
          </w:p>
        </w:tc>
        <w:tc>
          <w:tcPr>
            <w:tcW w:type="dxa" w:w="620"/>
            <w:vAlign w:val="center"/>
          </w:tcPr>
          <w:p>
            <w:pPr>
              <w:spacing w:before="0" w:after="0" w:line="240" w:lineRule="auto"/>
              <w:jc w:val="center"/>
            </w:pPr>
            <w:r>
              <w:rPr>
                <w:rFonts w:ascii="TH Sarabun New" w:hAnsi="TH Sarabun New" w:eastAsia="TH Sarabun New"/>
                <w:b w:val="0"/>
                <w:sz w:val="18"/>
              </w:rPr>
              <w:t>0.15</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3370"/>
            <w:vAlign w:val="center"/>
          </w:tcPr>
          <w:p>
            <w:pPr>
              <w:spacing w:before="0" w:after="0" w:line="240" w:lineRule="auto"/>
              <w:jc w:val="center"/>
            </w:pPr>
            <w:r>
              <w:rPr>
                <w:rFonts w:ascii="TH Sarabun New" w:hAnsi="TH Sarabun New" w:eastAsia="TH Sarabun New"/>
                <w:b w:val="0"/>
                <w:sz w:val="18"/>
              </w:rPr>
              <w:t>เร่ง minimum viable compliance ก่อน 14 ธ.ค. 2570</w:t>
            </w:r>
          </w:p>
        </w:tc>
      </w:tr>
      <w:tr>
        <w:trPr/>
        <w:tc>
          <w:tcPr>
            <w:tcW w:type="dxa" w:w="2600"/>
            <w:vAlign w:val="center"/>
          </w:tcPr>
          <w:p>
            <w:pPr>
              <w:spacing w:before="0" w:after="0" w:line="240" w:lineRule="auto"/>
              <w:jc w:val="left"/>
            </w:pPr>
            <w:r>
              <w:rPr>
                <w:rFonts w:ascii="TH Sarabun New" w:hAnsi="TH Sarabun New" w:eastAsia="TH Sarabun New"/>
                <w:b w:val="0"/>
                <w:sz w:val="18"/>
              </w:rPr>
              <w:t>T1 การแข่งขันด้านต้นทุน</w:t>
            </w:r>
          </w:p>
        </w:tc>
        <w:tc>
          <w:tcPr>
            <w:tcW w:type="dxa" w:w="570"/>
            <w:vAlign w:val="center"/>
          </w:tcPr>
          <w:p>
            <w:pPr>
              <w:spacing w:before="0" w:after="0" w:line="240" w:lineRule="auto"/>
              <w:jc w:val="center"/>
            </w:pPr>
            <w:r>
              <w:rPr>
                <w:rFonts w:ascii="TH Sarabun New" w:hAnsi="TH Sarabun New" w:eastAsia="TH Sarabun New"/>
                <w:b w:val="0"/>
                <w:sz w:val="18"/>
              </w:rPr>
              <w:t>0.07</w:t>
            </w:r>
          </w:p>
        </w:tc>
        <w:tc>
          <w:tcPr>
            <w:tcW w:type="dxa" w:w="570"/>
            <w:vAlign w:val="center"/>
          </w:tcPr>
          <w:p>
            <w:pPr>
              <w:spacing w:before="0" w:after="0" w:line="240" w:lineRule="auto"/>
              <w:jc w:val="center"/>
            </w:pPr>
            <w:r>
              <w:rPr>
                <w:rFonts w:ascii="TH Sarabun New" w:hAnsi="TH Sarabun New" w:eastAsia="TH Sarabun New"/>
                <w:b w:val="0"/>
                <w:sz w:val="18"/>
              </w:rPr>
              <w:t>2</w:t>
            </w:r>
          </w:p>
        </w:tc>
        <w:tc>
          <w:tcPr>
            <w:tcW w:type="dxa" w:w="620"/>
            <w:vAlign w:val="center"/>
          </w:tcPr>
          <w:p>
            <w:pPr>
              <w:spacing w:before="0" w:after="0" w:line="240" w:lineRule="auto"/>
              <w:jc w:val="center"/>
            </w:pPr>
            <w:r>
              <w:rPr>
                <w:rFonts w:ascii="TH Sarabun New" w:hAnsi="TH Sarabun New" w:eastAsia="TH Sarabun New"/>
                <w:b w:val="0"/>
                <w:sz w:val="18"/>
              </w:rPr>
              <w:t>0.14</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3370"/>
            <w:vAlign w:val="center"/>
          </w:tcPr>
          <w:p>
            <w:pPr>
              <w:spacing w:before="0" w:after="0" w:line="240" w:lineRule="auto"/>
              <w:jc w:val="center"/>
            </w:pPr>
            <w:r>
              <w:rPr>
                <w:rFonts w:ascii="TH Sarabun New" w:hAnsi="TH Sarabun New" w:eastAsia="TH Sarabun New"/>
                <w:b w:val="0"/>
                <w:sz w:val="18"/>
              </w:rPr>
              <w:t>ห้ามแข่ง commodity OEM ด้วยปริมาณ</w:t>
            </w:r>
          </w:p>
        </w:tc>
      </w:tr>
      <w:tr>
        <w:trPr/>
        <w:tc>
          <w:tcPr>
            <w:tcW w:type="dxa" w:w="2600"/>
            <w:vAlign w:val="center"/>
          </w:tcPr>
          <w:p>
            <w:pPr>
              <w:spacing w:before="0" w:after="0" w:line="240" w:lineRule="auto"/>
              <w:jc w:val="left"/>
            </w:pPr>
            <w:r>
              <w:rPr>
                <w:rFonts w:ascii="TH Sarabun New" w:hAnsi="TH Sarabun New" w:eastAsia="TH Sarabun New"/>
                <w:b w:val="0"/>
                <w:sz w:val="18"/>
              </w:rPr>
              <w:t>T2 อำนาจต่อรองของผู้ซื้อ</w:t>
            </w:r>
          </w:p>
        </w:tc>
        <w:tc>
          <w:tcPr>
            <w:tcW w:type="dxa" w:w="570"/>
            <w:vAlign w:val="center"/>
          </w:tcPr>
          <w:p>
            <w:pPr>
              <w:spacing w:before="0" w:after="0" w:line="240" w:lineRule="auto"/>
              <w:jc w:val="center"/>
            </w:pPr>
            <w:r>
              <w:rPr>
                <w:rFonts w:ascii="TH Sarabun New" w:hAnsi="TH Sarabun New" w:eastAsia="TH Sarabun New"/>
                <w:b w:val="0"/>
                <w:sz w:val="18"/>
              </w:rPr>
              <w:t>0.04</w:t>
            </w:r>
          </w:p>
        </w:tc>
        <w:tc>
          <w:tcPr>
            <w:tcW w:type="dxa" w:w="570"/>
            <w:vAlign w:val="center"/>
          </w:tcPr>
          <w:p>
            <w:pPr>
              <w:spacing w:before="0" w:after="0" w:line="240" w:lineRule="auto"/>
              <w:jc w:val="center"/>
            </w:pPr>
            <w:r>
              <w:rPr>
                <w:rFonts w:ascii="TH Sarabun New" w:hAnsi="TH Sarabun New" w:eastAsia="TH Sarabun New"/>
                <w:b w:val="0"/>
                <w:sz w:val="18"/>
              </w:rPr>
              <w:t>2</w:t>
            </w:r>
          </w:p>
        </w:tc>
        <w:tc>
          <w:tcPr>
            <w:tcW w:type="dxa" w:w="620"/>
            <w:vAlign w:val="center"/>
          </w:tcPr>
          <w:p>
            <w:pPr>
              <w:spacing w:before="0" w:after="0" w:line="240" w:lineRule="auto"/>
              <w:jc w:val="center"/>
            </w:pPr>
            <w:r>
              <w:rPr>
                <w:rFonts w:ascii="TH Sarabun New" w:hAnsi="TH Sarabun New" w:eastAsia="TH Sarabun New"/>
                <w:b w:val="0"/>
                <w:sz w:val="18"/>
              </w:rPr>
              <w:t>0.08</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r>
          </w:p>
        </w:tc>
        <w:tc>
          <w:tcPr>
            <w:tcW w:type="dxa" w:w="3370"/>
            <w:vAlign w:val="center"/>
          </w:tcPr>
          <w:p>
            <w:pPr>
              <w:spacing w:before="0" w:after="0" w:line="240" w:lineRule="auto"/>
              <w:jc w:val="center"/>
            </w:pPr>
            <w:r>
              <w:rPr>
                <w:rFonts w:ascii="TH Sarabun New" w:hAnsi="TH Sarabun New" w:eastAsia="TH Sarabun New"/>
                <w:b w:val="0"/>
                <w:sz w:val="18"/>
              </w:rPr>
              <w:t>ใช้ profitability hurdle และ contract terms</w:t>
            </w:r>
          </w:p>
        </w:tc>
      </w:tr>
      <w:tr>
        <w:trPr/>
        <w:tc>
          <w:tcPr>
            <w:tcW w:type="dxa" w:w="2600"/>
            <w:vAlign w:val="center"/>
          </w:tcPr>
          <w:p>
            <w:pPr>
              <w:spacing w:before="0" w:after="0" w:line="240" w:lineRule="auto"/>
              <w:jc w:val="left"/>
            </w:pPr>
            <w:r>
              <w:rPr>
                <w:rFonts w:ascii="TH Sarabun New" w:hAnsi="TH Sarabun New" w:eastAsia="TH Sarabun New"/>
                <w:b w:val="0"/>
                <w:sz w:val="18"/>
              </w:rPr>
              <w:t>T5 benchmark automation/response time/digital manufacturing สูงขึ้น</w:t>
            </w:r>
          </w:p>
        </w:tc>
        <w:tc>
          <w:tcPr>
            <w:tcW w:type="dxa" w:w="570"/>
            <w:vAlign w:val="center"/>
          </w:tcPr>
          <w:p>
            <w:pPr>
              <w:spacing w:before="0" w:after="0" w:line="240" w:lineRule="auto"/>
              <w:jc w:val="center"/>
            </w:pPr>
            <w:r>
              <w:rPr>
                <w:rFonts w:ascii="TH Sarabun New" w:hAnsi="TH Sarabun New" w:eastAsia="TH Sarabun New"/>
                <w:b w:val="0"/>
                <w:sz w:val="18"/>
              </w:rPr>
              <w:t>0.05</w:t>
            </w:r>
          </w:p>
        </w:tc>
        <w:tc>
          <w:tcPr>
            <w:tcW w:type="dxa" w:w="570"/>
            <w:vAlign w:val="center"/>
          </w:tcPr>
          <w:p>
            <w:pPr>
              <w:spacing w:before="0" w:after="0" w:line="240" w:lineRule="auto"/>
              <w:jc w:val="center"/>
            </w:pPr>
            <w:r>
              <w:rPr>
                <w:rFonts w:ascii="TH Sarabun New" w:hAnsi="TH Sarabun New" w:eastAsia="TH Sarabun New"/>
                <w:b w:val="0"/>
                <w:sz w:val="18"/>
              </w:rPr>
              <w:t>2</w:t>
            </w:r>
          </w:p>
        </w:tc>
        <w:tc>
          <w:tcPr>
            <w:tcW w:type="dxa" w:w="620"/>
            <w:vAlign w:val="center"/>
          </w:tcPr>
          <w:p>
            <w:pPr>
              <w:spacing w:before="0" w:after="0" w:line="240" w:lineRule="auto"/>
              <w:jc w:val="center"/>
            </w:pPr>
            <w:r>
              <w:rPr>
                <w:rFonts w:ascii="TH Sarabun New" w:hAnsi="TH Sarabun New" w:eastAsia="TH Sarabun New"/>
                <w:b w:val="0"/>
                <w:sz w:val="18"/>
              </w:rPr>
              <w:t>0.10</w:t>
            </w:r>
          </w:p>
        </w:tc>
        <w:tc>
          <w:tcPr>
            <w:tcW w:type="dxa" w:w="430"/>
            <w:vAlign w:val="center"/>
          </w:tcPr>
          <w:p>
            <w:pPr>
              <w:spacing w:before="0" w:after="0" w:line="240" w:lineRule="auto"/>
              <w:jc w:val="center"/>
            </w:pPr>
            <w:r>
              <w:rPr>
                <w:rFonts w:ascii="TH Sarabun New" w:hAnsi="TH Sarabun New" w:eastAsia="TH Sarabun New"/>
                <w:b w:val="0"/>
                <w:sz w:val="18"/>
              </w:rPr>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430"/>
            <w:vAlign w:val="center"/>
          </w:tcPr>
          <w:p>
            <w:pPr>
              <w:spacing w:before="0" w:after="0" w:line="240" w:lineRule="auto"/>
              <w:jc w:val="center"/>
            </w:pPr>
            <w:r>
              <w:rPr>
                <w:rFonts w:ascii="TH Sarabun New" w:hAnsi="TH Sarabun New" w:eastAsia="TH Sarabun New"/>
                <w:b w:val="0"/>
                <w:sz w:val="18"/>
              </w:rPr>
              <w:t>●</w:t>
            </w:r>
          </w:p>
        </w:tc>
        <w:tc>
          <w:tcPr>
            <w:tcW w:type="dxa" w:w="3370"/>
            <w:vAlign w:val="center"/>
          </w:tcPr>
          <w:p>
            <w:pPr>
              <w:spacing w:before="0" w:after="0" w:line="240" w:lineRule="auto"/>
              <w:jc w:val="center"/>
            </w:pPr>
            <w:r>
              <w:rPr>
                <w:rFonts w:ascii="TH Sarabun New" w:hAnsi="TH Sarabun New" w:eastAsia="TH Sarabun New"/>
                <w:b w:val="0"/>
                <w:sz w:val="18"/>
              </w:rPr>
              <w:t>ตอบด้วย selective automation หลัง Gate 2</w:t>
            </w:r>
          </w:p>
        </w:tc>
      </w:tr>
      <w:tr>
        <w:trPr/>
        <w:tc>
          <w:tcPr>
            <w:tcW w:type="dxa" w:w="2600"/>
            <w:vAlign w:val="center"/>
            <w:shd w:fill="FCE4D6"/>
          </w:tcPr>
          <w:p>
            <w:pPr>
              <w:spacing w:before="0" w:after="0" w:line="240" w:lineRule="auto"/>
              <w:jc w:val="left"/>
            </w:pPr>
            <w:r>
              <w:rPr>
                <w:rFonts w:ascii="TH Sarabun New" w:hAnsi="TH Sarabun New" w:eastAsia="TH Sarabun New"/>
                <w:b w:val="0"/>
                <w:sz w:val="18"/>
              </w:rPr>
              <w:t>รวม</w:t>
            </w:r>
          </w:p>
        </w:tc>
        <w:tc>
          <w:tcPr>
            <w:tcW w:type="dxa" w:w="570"/>
            <w:vAlign w:val="center"/>
            <w:shd w:fill="FCE4D6"/>
          </w:tcPr>
          <w:p>
            <w:pPr>
              <w:spacing w:before="0" w:after="0" w:line="240" w:lineRule="auto"/>
              <w:jc w:val="center"/>
            </w:pPr>
            <w:r>
              <w:rPr>
                <w:rFonts w:ascii="TH Sarabun New" w:hAnsi="TH Sarabun New" w:eastAsia="TH Sarabun New"/>
                <w:b w:val="0"/>
                <w:sz w:val="18"/>
              </w:rPr>
              <w:t>1.00</w:t>
            </w:r>
          </w:p>
        </w:tc>
        <w:tc>
          <w:tcPr>
            <w:tcW w:type="dxa" w:w="570"/>
            <w:vAlign w:val="center"/>
            <w:shd w:fill="FCE4D6"/>
          </w:tcPr>
          <w:p>
            <w:pPr>
              <w:spacing w:before="0" w:after="0" w:line="240" w:lineRule="auto"/>
              <w:jc w:val="center"/>
            </w:pPr>
            <w:r>
              <w:rPr>
                <w:rFonts w:ascii="TH Sarabun New" w:hAnsi="TH Sarabun New" w:eastAsia="TH Sarabun New"/>
                <w:b w:val="0"/>
                <w:sz w:val="18"/>
              </w:rPr>
            </w:r>
          </w:p>
        </w:tc>
        <w:tc>
          <w:tcPr>
            <w:tcW w:type="dxa" w:w="620"/>
            <w:vAlign w:val="center"/>
            <w:shd w:fill="FCE4D6"/>
          </w:tcPr>
          <w:p>
            <w:pPr>
              <w:spacing w:before="0" w:after="0" w:line="240" w:lineRule="auto"/>
              <w:jc w:val="center"/>
            </w:pPr>
            <w:r>
              <w:rPr>
                <w:rFonts w:ascii="TH Sarabun New" w:hAnsi="TH Sarabun New" w:eastAsia="TH Sarabun New"/>
                <w:b w:val="0"/>
                <w:sz w:val="18"/>
              </w:rPr>
              <w:t>2.48</w:t>
            </w:r>
          </w:p>
        </w:tc>
        <w:tc>
          <w:tcPr>
            <w:tcW w:type="dxa" w:w="430"/>
            <w:vAlign w:val="center"/>
            <w:shd w:fill="FCE4D6"/>
          </w:tcPr>
          <w:p>
            <w:pPr>
              <w:spacing w:before="0" w:after="0" w:line="240" w:lineRule="auto"/>
              <w:jc w:val="center"/>
            </w:pPr>
            <w:r>
              <w:rPr>
                <w:rFonts w:ascii="TH Sarabun New" w:hAnsi="TH Sarabun New" w:eastAsia="TH Sarabun New"/>
                <w:b w:val="0"/>
                <w:sz w:val="18"/>
              </w:rPr>
            </w:r>
          </w:p>
        </w:tc>
        <w:tc>
          <w:tcPr>
            <w:tcW w:type="dxa" w:w="430"/>
            <w:vAlign w:val="center"/>
            <w:shd w:fill="FCE4D6"/>
          </w:tcPr>
          <w:p>
            <w:pPr>
              <w:spacing w:before="0" w:after="0" w:line="240" w:lineRule="auto"/>
              <w:jc w:val="center"/>
            </w:pPr>
            <w:r>
              <w:rPr>
                <w:rFonts w:ascii="TH Sarabun New" w:hAnsi="TH Sarabun New" w:eastAsia="TH Sarabun New"/>
                <w:b w:val="0"/>
                <w:sz w:val="18"/>
              </w:rPr>
            </w:r>
          </w:p>
        </w:tc>
        <w:tc>
          <w:tcPr>
            <w:tcW w:type="dxa" w:w="430"/>
            <w:vAlign w:val="center"/>
            <w:shd w:fill="FCE4D6"/>
          </w:tcPr>
          <w:p>
            <w:pPr>
              <w:spacing w:before="0" w:after="0" w:line="240" w:lineRule="auto"/>
              <w:jc w:val="center"/>
            </w:pPr>
            <w:r>
              <w:rPr>
                <w:rFonts w:ascii="TH Sarabun New" w:hAnsi="TH Sarabun New" w:eastAsia="TH Sarabun New"/>
                <w:b w:val="0"/>
                <w:sz w:val="18"/>
              </w:rPr>
            </w:r>
          </w:p>
        </w:tc>
        <w:tc>
          <w:tcPr>
            <w:tcW w:type="dxa" w:w="3370"/>
            <w:vAlign w:val="center"/>
            <w:shd w:fill="FCE4D6"/>
          </w:tcPr>
          <w:p>
            <w:pPr>
              <w:spacing w:before="0" w:after="0" w:line="240" w:lineRule="auto"/>
              <w:jc w:val="center"/>
            </w:pPr>
            <w:r>
              <w:rPr>
                <w:rFonts w:ascii="TH Sarabun New" w:hAnsi="TH Sarabun New" w:eastAsia="TH Sarabun New"/>
                <w:b w:val="0"/>
                <w:sz w:val="18"/>
              </w:rPr>
            </w:r>
          </w:p>
        </w:tc>
      </w:tr>
    </w:tbl>
    <w:p>
      <w:r>
        <w:rPr>
          <w:rFonts w:ascii="TH Sarabun New" w:hAnsi="TH Sarabun New" w:eastAsia="TH Sarabun New"/>
          <w:i/>
          <w:color w:val="666666"/>
          <w:sz w:val="20"/>
        </w:rPr>
        <w:t>ที่มา: คัดและให้น้ำหนักใหม่จาก EFAS/IFAS; weights/ratings/timing เป็น analyst assessment</w:t>
      </w:r>
    </w:p>
    <w:p>
      <w:pPr>
        <w:spacing w:after="110" w:line="228"/>
        <w:jc w:val="left"/>
      </w:pPr>
      <w:r>
        <w:rPr>
          <w:rFonts w:ascii="TH Sarabun New" w:cs="TH Sarabun New" w:eastAsia="TH Sarabun New" w:hAnsi="TH Sarabun New"/>
          <w:b w:val="false"/>
          <w:bCs w:val="false"/>
          <w:i w:val="false"/>
          <w:iCs w:val="false"/>
          <w:sz w:val="26"/>
          <w:szCs w:val="26"/>
        </w:rPr>
        <w:t xml:space="preserve">หมายเหตุ: สั้น = ภายใน 1 ปี, กลาง = 1–3 ปี, ยาว = มากกว่า 3 ปี  น้ำหนักถูกกำหนดใหม่ให้ผลรวมเท่ากับ 1.00 ตามหลักเกณฑ์ SFAS</w:t>
      </w:r>
    </w:p>
    <w:p>
      <w:pPr>
        <w:keepNext w:val="false"/>
        <w:spacing w:after="50" w:line="240"/>
        <w:ind w:firstLine="480"/>
        <w:jc w:val="both"/>
      </w:pPr>
      <w:r>
        <w:rPr>
          <w:rFonts w:ascii="TH Sarabun New" w:hAnsi="TH Sarabun New" w:eastAsia="TH Sarabun New"/>
          <w:sz w:val="32"/>
        </w:rPr>
        <w:t>นัยเชิงกลยุทธ์ต่อ PG: SFAS 2.48 ไม่ใช่เกณฑ์กลไกที่บังคับให้เลือก turnaround แต่เป็นหลักฐานหนึ่ง เมื่อรวมกับ core proxy ติดลบ Five Forces และช่องว่างสนาม OEM จึงสนับสนุนการฟื้นฟูพร้อมย้ายทรัพยากรไป O1/O2 โดยใช้ S2/S3/S4/S6 และแก้ W1/W3/W4 ตามลำดับ gate</w:t>
      </w:r>
    </w:p>
    <w:p>
      <w:pPr>
        <w:pStyle w:val="Heading2"/>
        <w:keepNext/>
        <w:spacing w:after="60" w:before="140"/>
      </w:pPr>
      <w:r>
        <w:rPr>
          <w:rFonts w:ascii="TH Sarabun New" w:cs="TH Sarabun New" w:eastAsia="TH Sarabun New" w:hAnsi="TH Sarabun New"/>
          <w:b/>
          <w:bCs/>
          <w:i w:val="false"/>
          <w:iCs w:val="false"/>
          <w:sz w:val="32"/>
          <w:szCs w:val="32"/>
        </w:rPr>
        <w:t xml:space="preserve">4.2 TOWS Matrix</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TOWS สร้างจากปัจจัยที่ผ่านการคัดเลือกใน SFAS เท่านั้น กลยุทธ์แต่ละข้อระบุว่าเกิดจากการจับคู่ปัจจัยใด และเขียนเป็นการกระทำที่มีเป้าหมายวัดได้</w:t>
      </w:r>
    </w:p>
    <w:p>
      <w:pPr>
        <w:keepNext/>
        <w:spacing w:after="50" w:before="130"/>
        <w:jc w:val="left"/>
      </w:pPr>
      <w:r>
        <w:rPr>
          <w:rFonts w:ascii="TH Sarabun New" w:cs="TH Sarabun New" w:eastAsia="TH Sarabun New" w:hAnsi="TH Sarabun New"/>
          <w:b/>
          <w:bCs/>
          <w:i w:val="false"/>
          <w:iCs w:val="false"/>
          <w:sz w:val="28"/>
          <w:szCs w:val="28"/>
        </w:rPr>
        <w:t xml:space="preserve">ตารางที่ 13  TOWS Matrix ของ PG</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1923"/>
        <w:gridCol w:w="3772"/>
        <w:gridCol w:w="3773"/>
      </w:tblGrid>
      <w:tr>
        <w:trPr>
          <w:tblHeader/>
        </w:trPr>
        <w:tc>
          <w:tcPr>
            <w:tcW w:type="dxa" w:w="1923"/>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ปัจจัยภายนอก / ปัจจัยภายใน</w:t>
            </w:r>
          </w:p>
        </w:tc>
        <w:tc>
          <w:tcPr>
            <w:tcW w:type="dxa" w:w="3772"/>
            <w:shd w:fill="D9E2F3" w:color="auto" w:val="clear"/>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sz w:val="19"/>
              </w:rPr>
              <w:t>จุดแข็ง (S)</w:t>
              <w:br/>
              <w:t>S1 ฐานะการเงิน</w:t>
              <w:br/>
              <w:t>S2 บูรณาการการผลิต</w:t>
              <w:br/>
              <w:t>S3 ผลิตภัณฑ์/มาตรฐาน</w:t>
              <w:br/>
              <w:t>S4 ฐานลูกค้าเครื่องแบบ</w:t>
              <w:br/>
              <w:t>S6 เครือข่ายภายใน</w:t>
            </w:r>
          </w:p>
        </w:tc>
        <w:tc>
          <w:tcPr>
            <w:tcW w:type="dxa" w:w="3773"/>
            <w:shd w:fill="D9E2F3" w:color="auto" w:val="clear"/>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sz w:val="19"/>
              </w:rPr>
              <w:t>จุดอ่อน (W)</w:t>
              <w:br/>
              <w:t>W1 ธุรกิจหลักขาดทุน</w:t>
              <w:br/>
              <w:t>W2 ลูกค้า/ช่องทางกระจุกตัว</w:t>
              <w:br/>
              <w:t>W3 สินค้าคงเหลือ</w:t>
              <w:br/>
              <w:t>W4 เทคโนโลยี/ผลิตภาพ/ข้อมูล</w:t>
            </w:r>
          </w:p>
        </w:tc>
      </w:tr>
      <w:tr>
        <w:trPr/>
        <w:tc>
          <w:tcPr>
            <w:tcW w:type="dxa" w:w="1923"/>
            <w:tcMar>
              <w:top w:type="dxa" w:w="10"/>
              <w:left w:type="dxa" w:w="60"/>
              <w:bottom w:type="dxa" w:w="10"/>
              <w:right w:type="dxa" w:w="60"/>
            </w:tcMar>
            <w:vAlign w:val="center"/>
            <w:shd w:fill="D9E2F3"/>
          </w:tcPr>
          <w:p>
            <w:pPr>
              <w:spacing w:before="0" w:after="0" w:line="240" w:lineRule="auto"/>
              <w:jc w:val="left"/>
            </w:pPr>
            <w:r>
              <w:rPr>
                <w:rFonts w:ascii="TH Sarabun New" w:hAnsi="TH Sarabun New" w:eastAsia="TH Sarabun New"/>
                <w:b/>
                <w:sz w:val="19"/>
              </w:rPr>
              <w:t>โอกาส (O)</w:t>
              <w:br/>
              <w:t>O1 อุปสงค์ functional uniform/workwear</w:t>
              <w:br/>
              <w:t>O2 traceability/circularity</w:t>
            </w:r>
          </w:p>
        </w:tc>
        <w:tc>
          <w:tcPr>
            <w:tcW w:type="dxa" w:w="3772"/>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SO1 (S2+S3+O1) พัฒนาแนวคิด 4 แพลตฟอร์ม แต่ให้ Gate 1 เลือกเพียง 2 ที่มี margin/pilot signal สูงสุดเข้าสู่ commercial validation ก่อน</w:t>
              <w:br/>
              <w:t>SO2 (S3+O2) สร้างข้อมูลวัสดุ/traceability ระดับ SKU และล็อต พร้อมเอกสารผลทดสอบ</w:t>
              <w:br/>
              <w:t>SO3 (S4+S6+O1) ใช้ฐานลูกค้าเดิมและเครือข่ายภายในสร้าง pilot/reference customer โดยไม่ถือว่าเครือข่ายเป็น external opportunity</w:t>
            </w:r>
          </w:p>
        </w:tc>
        <w:tc>
          <w:tcPr>
            <w:tcW w:type="dxa" w:w="3773"/>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WO1 (W1+O1) วิเคราะห์กำไรรายลูกค้า/SKU ครอบคลุม ≥95% ภายใน 90 วันก่อนขยาย</w:t>
              <w:br/>
              <w:t>WO2 (W2+O1) ตั้งทีมขาย Account-based และลดลูกค้ารายใหญ่ที่สุดเหลือ ≤30%</w:t>
              <w:br/>
              <w:t>WO3 (W3+W4+O2) เชื่อมข้อมูล SKU/ล็อตกับ costing และ S&amp;OP เพื่อลด DIO ตามสูตรแบบจำลอง</w:t>
            </w:r>
          </w:p>
        </w:tc>
      </w:tr>
      <w:tr>
        <w:trPr/>
        <w:tc>
          <w:tcPr>
            <w:tcW w:type="dxa" w:w="1923"/>
            <w:tcMar>
              <w:top w:type="dxa" w:w="10"/>
              <w:left w:type="dxa" w:w="60"/>
              <w:bottom w:type="dxa" w:w="10"/>
              <w:right w:type="dxa" w:w="60"/>
            </w:tcMar>
            <w:vAlign w:val="center"/>
            <w:shd w:fill="D9E2F3"/>
          </w:tcPr>
          <w:p>
            <w:pPr>
              <w:spacing w:before="0" w:after="0" w:line="240" w:lineRule="auto"/>
              <w:jc w:val="left"/>
            </w:pPr>
            <w:r>
              <w:rPr>
                <w:rFonts w:ascii="TH Sarabun New" w:hAnsi="TH Sarabun New" w:eastAsia="TH Sarabun New"/>
                <w:b/>
                <w:sz w:val="19"/>
              </w:rPr>
              <w:t>อุปสรรค (T)</w:t>
              <w:br/>
              <w:t>T1 แข่งขันด้านต้นทุน</w:t>
              <w:br/>
              <w:t>T2 อำนาจผู้ซื้อ</w:t>
              <w:br/>
              <w:t>T5 benchmark เทคโนโลยี/ความเร็วสูงขึ้น</w:t>
            </w:r>
          </w:p>
        </w:tc>
        <w:tc>
          <w:tcPr>
            <w:tcW w:type="dxa" w:w="3772"/>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ST1 (S2+S3+T1+T5) ถอนจาก commodity OEM และใช้ selective automation เฉพาะงานซับซ้อนที่พิสูจน์อุปสงค์/ผลตอบแทน</w:t>
              <w:br/>
              <w:t>ST2 (S4+S6+T2) เปลี่ยนคำสั่งซื้อครั้งเดียวเป็นสัญญาปริมาณขั้นต่ำ กลไกปรับราคา และบริการเติมสินค้า</w:t>
            </w:r>
          </w:p>
        </w:tc>
        <w:tc>
          <w:tcPr>
            <w:tcW w:type="dxa" w:w="3773"/>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WT1 (W1+W3+W4+T1) ใช้ profitability hurdle, MOQ, make-to-order และ outsource งานมาตรฐาน โดย P8 ต้องผ่าน Gate 0–2</w:t>
              <w:br/>
              <w:t>WT2 (W2+T2) ทำ Segment and Channel Charter กับ I.C.C./บริษัทในเครือเพื่อป้องกันช่องทางทับซ้อน</w:t>
            </w:r>
          </w:p>
        </w:tc>
      </w:tr>
    </w:tbl>
    <w:p>
      <w:r>
        <w:rPr>
          <w:rFonts w:ascii="TH Sarabun New" w:hAnsi="TH Sarabun New" w:eastAsia="TH Sarabun New"/>
          <w:i/>
          <w:color w:val="666666"/>
          <w:sz w:val="20"/>
        </w:rPr>
        <w:t>ที่มา: สังเคราะห์จาก SFAS; กลยุทธ์เป็นข้อเสนอของผู้จัดทำ</w:t>
      </w:r>
    </w:p>
    <w:p>
      <w:pPr>
        <w:spacing w:after="110" w:line="228"/>
        <w:jc w:val="left"/>
      </w:pPr>
      <w:r>
        <w:rPr>
          <w:rFonts w:ascii="TH Sarabun New" w:cs="TH Sarabun New" w:eastAsia="TH Sarabun New" w:hAnsi="TH Sarabun New"/>
          <w:b w:val="false"/>
          <w:bCs w:val="false"/>
          <w:i w:val="false"/>
          <w:iCs w:val="false"/>
          <w:sz w:val="26"/>
          <w:szCs w:val="26"/>
        </w:rPr>
        <w:t xml:space="preserve">หมายเหตุ: รหัสปัจจัยอ้างอิงตารางที่ 12 (SFAS) ทุกกลยุทธ์ถูกนำไปใช้ต่อในหัวข้อ 4.4 และแผนปฏิบัติการในบทที่ 5</w:t>
      </w:r>
    </w:p>
    <w:p>
      <w:pPr>
        <w:keepNext w:val="false"/>
        <w:spacing w:after="50" w:line="240"/>
        <w:ind w:firstLine="480"/>
        <w:jc w:val="both"/>
      </w:pPr>
      <w:r>
        <w:rPr>
          <w:rFonts w:ascii="TH Sarabun New" w:hAnsi="TH Sarabun New" w:eastAsia="TH Sarabun New"/>
          <w:sz w:val="32"/>
        </w:rPr>
        <w:t>นัยเชิงกลยุทธ์ต่อ PG: TOWS ทั้งสิบข้อชี้ให้หยุดการแข่งขันที่ราคาเป็นตัวตัดสิน สร้างวินัยกำไรก่อนรับงาน ใช้ข้อมูลและสัญญาลดความผันผวน และลงทุนเทคโนโลยีแบบเลือกเฉพาะหลังพิสูจน์ ไม่ได้ใช้ S6 ซ้ำเป็น O ภายนอก</w:t>
      </w:r>
    </w:p>
    <w:p>
      <w:pPr>
        <w:pStyle w:val="Heading2"/>
        <w:keepNext/>
        <w:spacing w:after="60" w:before="140"/>
      </w:pPr>
      <w:r>
        <w:rPr>
          <w:rFonts w:ascii="TH Sarabun New" w:cs="TH Sarabun New" w:eastAsia="TH Sarabun New" w:hAnsi="TH Sarabun New"/>
          <w:b/>
          <w:bCs/>
          <w:i w:val="false"/>
          <w:iCs w:val="false"/>
          <w:sz w:val="32"/>
          <w:szCs w:val="32"/>
        </w:rPr>
        <w:t xml:space="preserve">4.3 การทบทวนวิสัยทัศน์ พันธกิจ และวัตถุประสงค์</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การทบทวนนี้ทดสอบว่าข้อความปัจจุบันยังชี้นำการตัดสินใจได้หรือไม่ ตามผลการวิเคราะห์ในบทที่ 3 โดยใช้เกณฑ์ในบทเรียนบทที่ 6 คือสั้น เรียบง่าย ให้ทิศทาง ทำให้พนักงานรู้ว่าองค์กร </w:t>
      </w:r>
      <w:r>
        <w:rPr>
          <w:rFonts w:ascii="TH Sarabun New" w:cs="TH Sarabun New" w:eastAsia="TH Sarabun New" w:hAnsi="TH Sarabun New"/>
          <w:b/>
          <w:bCs/>
          <w:i w:val="false"/>
          <w:iCs w:val="false"/>
          <w:sz w:val="32"/>
          <w:szCs w:val="32"/>
        </w:rPr>
        <w:t xml:space="preserve">ทำอะไรและไม่ทำอะไร</w:t>
      </w:r>
      <w:r>
        <w:rPr>
          <w:rFonts w:ascii="TH Sarabun New" w:cs="TH Sarabun New" w:eastAsia="TH Sarabun New" w:hAnsi="TH Sarabun New"/>
          <w:b w:val="false"/>
          <w:bCs w:val="false"/>
          <w:i w:val="false"/>
          <w:iCs w:val="false"/>
          <w:sz w:val="32"/>
          <w:szCs w:val="32"/>
        </w:rPr>
        <w:t xml:space="preserve"> และวัดผลได้ พันธกิจข้อที่ไม่มีปัญหาคงไว้ตามเดิม</w:t>
      </w:r>
    </w:p>
    <w:p>
      <w:pPr>
        <w:keepNext/>
        <w:spacing w:after="50" w:before="130"/>
        <w:jc w:val="left"/>
      </w:pPr>
      <w:r>
        <w:rPr>
          <w:rFonts w:ascii="TH Sarabun New" w:cs="TH Sarabun New" w:eastAsia="TH Sarabun New" w:hAnsi="TH Sarabun New"/>
          <w:b/>
          <w:bCs/>
          <w:i w:val="false"/>
          <w:iCs w:val="false"/>
          <w:sz w:val="28"/>
          <w:szCs w:val="28"/>
        </w:rPr>
        <w:t xml:space="preserve">ตารางที่ 14  การทบทวนวิสัยทัศน์และพันธกิจของ PG</w:t>
      </w:r>
    </w:p>
    <w:tbl>
      <w:tblPr>
        <w:tblW w:type="dxa" w:w="9468"/>
        <w:jc w:val="center"/>
        <w:tblBorders>
          <w:top w:val="single" w:color="B7B7B7" w:sz="4"/>
          <w:left w:val="single" w:color="B7B7B7" w:sz="4"/>
          <w:bottom w:val="single" w:color="B7B7B7" w:sz="4"/>
          <w:right w:val="single" w:color="B7B7B7" w:sz="4"/>
          <w:insideH w:val="single" w:color="B7B7B7" w:sz="4"/>
          <w:insideV w:val="single" w:color="B7B7B7" w:sz="4"/>
        </w:tblBorders>
        <w:tblLayout w:type="fixed"/>
      </w:tblPr>
      <w:tblGrid>
        <w:gridCol w:w="4100"/>
        <w:gridCol w:w="5000"/>
      </w:tblGrid>
      <w:tr>
        <w:trPr>
          <w:tblHeader w:val="true"/>
        </w:trPr>
        <w:tc>
          <w:tcPr>
            <w:tcW w:type="dxa" w:w="41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ข้อความเดิม</w:t>
            </w:r>
          </w:p>
        </w:tc>
        <w:tc>
          <w:tcPr>
            <w:tcW w:type="dxa" w:w="50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ผลการประเมินและข้อความที่เสนอ</w:t>
            </w:r>
          </w:p>
        </w:tc>
        <w:tc>
          <w:tcPr>
            <w:tcW w:type="dxa" w:w="2686"/>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เหตุผล</w:t>
            </w:r>
          </w:p>
        </w:tc>
      </w:tr>
      <w:tr>
        <w:trPr/>
        <w:tc>
          <w:tcPr>
            <w:tcW w:type="dxa" w:w="41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วิสัยทัศน์ “มุ่งมั่นเป็นผู้นำในการสร้างสรรค์ผลิตภัณฑ์และบริการที่มีคุณภาพด้วยนวัตกรรมเครื่องนุ่งห่มของไทย”</w:t>
            </w:r>
          </w:p>
        </w:tc>
        <w:tc>
          <w:tcPr>
            <w:tcW w:type="dxa" w:w="50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ควรปรับ สั้นและเรียบง่าย แต่ไม่ให้ทิศทาง เพราะไม่ระบุกลุ่มลูกค้า คุณค่าที่แตกต่าง และไม่บอกว่าองค์กรจะไม่ทำอะไร  ที่เสนอ: “เป็นพันธมิตรชั้นนำของไทยด้านเครื่องแบบและเครื่องนุ่งห่มเชิงฟังก์ชัน ที่พิสูจน์คุณสมบัติได้ ตรวจสอบย้อนกลับได้ และยั่งยืน สำหรับองค์กรที่งานของบุคลากรต้องการมากกว่าเสื้อผ้าทั่วไป”</w:t>
            </w:r>
          </w:p>
        </w:tc>
        <w:tc>
          <w:tcPr>
            <w:tcW w:type="dxa" w:w="2686"/>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เมื่อทุกอย่างเป็นเป้าหมาย บริษัทจึงขยายหลายทิศทางพร้อมกัน ข้อความที่เสนอระบุสนามแข่งขัน กลุ่มลูกค้า และคุณค่าที่แตกต่าง สอดคล้องกับ S2 S3 และ O1 และบอกว่าองค์กรจะไม่แข่งในตลาดแฟชั่นราคาถูก</w:t>
            </w:r>
          </w:p>
        </w:tc>
      </w:tr>
      <w:tr>
        <w:trPr/>
        <w:tc>
          <w:tcPr>
            <w:tcW w:type="dxa" w:w="41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พันธกิจข้อ 1 “ออกแบบและผลิตเสื้อผ้าบุรุษ ชุดกีฬา และชุดว่ายน้ำที่มีคุณภาพ”</w:t>
            </w:r>
          </w:p>
        </w:tc>
        <w:tc>
          <w:tcPr>
            <w:tcW w:type="dxa" w:w="50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ควรปรับ นิยามด้วยประเภทสินค้าเดิม ไม่สอดคล้องกับกลุ่มเครื่องแบบและชุดทางการแพทย์ที่บริษัทระบุเองว่ากำลังเติบโต  ที่เสนอ: “ออกแบบและผลิตเครื่องนุ่งห่มที่แก้โจทย์การทำงานจริงของบุคลากรในองค์กรลูกค้า โดยมีหลักฐานคุณสมบัติรองรับ”</w:t>
            </w:r>
          </w:p>
        </w:tc>
        <w:tc>
          <w:tcPr>
            <w:tcW w:type="dxa" w:w="2686"/>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เปลี่ยนการนิยามจาก “ประเภทสินค้า” เป็น “ปัญหาของลูกค้า” ซึ่งเป็นเงื่อนไขของการสร้างความแตกต่างแบบมุ่งเน้น</w:t>
            </w:r>
          </w:p>
        </w:tc>
      </w:tr>
      <w:tr>
        <w:trPr/>
        <w:tc>
          <w:tcPr>
            <w:tcW w:type="dxa" w:w="41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พันธกิจข้อ 3 “มุ่งเป็น One Stop Service สำหรับผลิตภัณฑ์บุรุษ”</w:t>
            </w:r>
          </w:p>
        </w:tc>
        <w:tc>
          <w:tcPr>
            <w:tcW w:type="dxa" w:w="50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ควรปรับ ขัดแย้งกับทิศทางของบริษัทเองมากที่สุด เพราะชุดทางการแพทย์และเครื่องแบบองค์กรไม่จำกัดเพศผู้ใช้  ที่เสนอ: “เป็นผู้ให้บริการครบวงจรตั้งแต่การออกแบบ การเลือกวัสดุ การผลิต การควบคุมคุณภาพ จนถึงการเติมสินค้าตามสัญญา”</w:t>
            </w:r>
          </w:p>
        </w:tc>
        <w:tc>
          <w:tcPr>
            <w:tcW w:type="dxa" w:w="2686"/>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ขยาย One Stop Service จากมิติ “กลุ่มผู้ใช้” ไปสู่ “ขอบเขตบริการ” ซึ่งตารางที่ 7 ระบุว่ายังไม่มีผู้เล่นรายใดทำได้ดี</w:t>
            </w:r>
          </w:p>
        </w:tc>
      </w:tr>
      <w:tr>
        <w:trPr/>
        <w:tc>
          <w:tcPr>
            <w:tcW w:type="dxa" w:w="41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พันธกิจข้อ 4 “สร้างอัตราการเติบโตทั้งรายได้และผลกำไรอย่างต่อเนื่อง”</w:t>
            </w:r>
          </w:p>
        </w:tc>
        <w:tc>
          <w:tcPr>
            <w:tcW w:type="dxa" w:w="50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ควรปรับ ในทางปฏิบัติวัดเฉพาะการเติบโตของรายได้ ขณะที่กำไรที่รายงานมาจากรายได้อื่นมากกว่าธุรกิจหลัก  ที่เสนอ: “สร้างผลกำไรจากธุรกิจหลักให้เพียงพอต่อการเติบโต โดยวัดผลจากธุรกิจหลักแยกจากรายได้อื่นและผลตอบแทนจากเงินลงทุน”</w:t>
            </w:r>
          </w:p>
        </w:tc>
        <w:tc>
          <w:tcPr>
            <w:tcW w:type="dxa" w:w="2686"/>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แก้ที่ต้นเหตุของ W1 การแยกวัดผลธุรกิจหลักเป็นเงื่อนไขที่ทำให้เกิดวินัยในการรับงานและจัดสรรทุน</w:t>
            </w:r>
          </w:p>
        </w:tc>
      </w:tr>
      <w:tr>
        <w:trPr/>
        <w:tc>
          <w:tcPr>
            <w:tcW w:type="dxa" w:w="41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พันธกิจข้อ 2, 5, 6, 7 (นวัตกรรม พัฒนาพนักงาน ผลตอบแทนผู้ถือหุ้น ความรับผิดชอบต่อสังคมและสิ่งแวดล้อม)</w:t>
            </w:r>
          </w:p>
        </w:tc>
        <w:tc>
          <w:tcPr>
            <w:tcW w:type="dxa" w:w="50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คงเดิมทั้งหมด</w:t>
            </w:r>
          </w:p>
        </w:tc>
        <w:tc>
          <w:tcPr>
            <w:tcW w:type="dxa" w:w="2686"/>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นวัตกรรมวัสดุเป็นจุดแข็งจริง (S3) การพัฒนาพนักงานสำคัญขึ้นเพราะแผนต้องการทักษะใหม่ และความรับผิดชอบต่อสิ่งแวดล้อมเป็นเงื่อนไขเข้าถึงลูกค้าที่ใช้เกณฑ์ ESG (O2) จึงไม่ควรเปลี่ยนด้วยเหตุผลด้านถ้อยคำ</w:t>
            </w:r>
          </w:p>
        </w:tc>
      </w:tr>
    </w:tbl>
    <w:p>
      <w:r>
        <w:rPr>
          <w:rFonts w:ascii="TH Sarabun New" w:hAnsi="TH Sarabun New" w:eastAsia="TH Sarabun New"/>
          <w:i/>
          <w:color w:val="666666"/>
          <w:sz w:val="20"/>
        </w:rPr>
        <w:t>ที่มา: วิสัยทัศน์/พันธกิจบริษัท [1] และผลวิเคราะห์บทที่ 3; ข้อความเสนอเป็นของผู้จัดทำ</w:t>
      </w:r>
    </w:p>
    <w:p>
      <w:pPr>
        <w:keepNext/>
        <w:spacing w:after="50" w:before="130"/>
        <w:jc w:val="left"/>
      </w:pPr>
      <w:r>
        <w:rPr>
          <w:rFonts w:ascii="TH Sarabun New" w:cs="TH Sarabun New" w:eastAsia="TH Sarabun New" w:hAnsi="TH Sarabun New"/>
          <w:b/>
          <w:bCs/>
          <w:i w:val="false"/>
          <w:iCs w:val="false"/>
          <w:sz w:val="28"/>
          <w:szCs w:val="28"/>
        </w:rPr>
        <w:t xml:space="preserve">ตารางที่ 15  วัตถุประสงค์เชิงกลยุทธ์ 5 ปีของ PG (2570–2574)</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2530"/>
        <w:gridCol w:w="1670"/>
        <w:gridCol w:w="2227"/>
        <w:gridCol w:w="1771"/>
        <w:gridCol w:w="1270"/>
      </w:tblGrid>
      <w:tr>
        <w:trPr>
          <w:tblHeader/>
        </w:trPr>
        <w:tc>
          <w:tcPr>
            <w:tcW w:type="dxa" w:w="253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วัตถุประสงค์เชิงกลยุทธ์</w:t>
            </w:r>
          </w:p>
        </w:tc>
        <w:tc>
          <w:tcPr>
            <w:tcW w:type="dxa" w:w="167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ปีฐาน 2568</w:t>
            </w:r>
          </w:p>
        </w:tc>
        <w:tc>
          <w:tcPr>
            <w:tcW w:type="dxa" w:w="2227"/>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เป้าหมายระหว่างทาง</w:t>
            </w:r>
          </w:p>
        </w:tc>
        <w:tc>
          <w:tcPr>
            <w:tcW w:type="dxa" w:w="177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เป้าหมายปี 2574</w:t>
            </w:r>
          </w:p>
        </w:tc>
        <w:tc>
          <w:tcPr>
            <w:tcW w:type="dxa" w:w="127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เชื่อมโยง</w:t>
            </w:r>
          </w:p>
        </w:tc>
      </w:tr>
      <w:tr>
        <w:trPr/>
        <w:tc>
          <w:tcPr>
            <w:tcW w:type="dxa" w:w="253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OBJ1 พลิกผลจากธุรกิจหลักให้เป็นบวกอย่างยั่งยืน</w:t>
            </w:r>
          </w:p>
        </w:tc>
        <w:tc>
          <w:tcPr>
            <w:tcW w:type="dxa" w:w="167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-8.02%</w:t>
            </w:r>
          </w:p>
        </w:tc>
        <w:tc>
          <w:tcPr>
            <w:tcW w:type="dxa" w:w="2227"/>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คุ้มทุนปี 2571 และ ≥3% ปี 2572</w:t>
            </w:r>
          </w:p>
        </w:tc>
        <w:tc>
          <w:tcPr>
            <w:tcW w:type="dxa" w:w="1771"/>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≥7%</w:t>
            </w:r>
          </w:p>
        </w:tc>
        <w:tc>
          <w:tcPr>
            <w:tcW w:type="dxa" w:w="127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W1, WO1, WT1</w:t>
            </w:r>
          </w:p>
        </w:tc>
      </w:tr>
      <w:tr>
        <w:trPr/>
        <w:tc>
          <w:tcPr>
            <w:tcW w:type="dxa" w:w="253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OBJ2 ยกระดับอัตรากำไรขั้นต้นด้วยส่วนผสมผลิตภัณฑ์ใหม่</w:t>
            </w:r>
          </w:p>
        </w:tc>
        <w:tc>
          <w:tcPr>
            <w:tcW w:type="dxa" w:w="167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21.40%</w:t>
            </w:r>
          </w:p>
        </w:tc>
        <w:tc>
          <w:tcPr>
            <w:tcW w:type="dxa" w:w="2227"/>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≥24.0% ปี 2571</w:t>
            </w:r>
          </w:p>
        </w:tc>
        <w:tc>
          <w:tcPr>
            <w:tcW w:type="dxa" w:w="1771"/>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≥27.5%</w:t>
            </w:r>
          </w:p>
        </w:tc>
        <w:tc>
          <w:tcPr>
            <w:tcW w:type="dxa" w:w="127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SO1, ST1, ST2</w:t>
            </w:r>
          </w:p>
        </w:tc>
      </w:tr>
      <w:tr>
        <w:trPr/>
        <w:tc>
          <w:tcPr>
            <w:tcW w:type="dxa" w:w="253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OBJ3 ลดค่าใช้จ่ายขายและบริหารเชิงโครงสร้าง</w:t>
            </w:r>
          </w:p>
        </w:tc>
        <w:tc>
          <w:tcPr>
            <w:tcW w:type="dxa" w:w="167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29.42%</w:t>
            </w:r>
          </w:p>
        </w:tc>
        <w:tc>
          <w:tcPr>
            <w:tcW w:type="dxa" w:w="2227"/>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≤23.0% ปี 2571</w:t>
            </w:r>
          </w:p>
        </w:tc>
        <w:tc>
          <w:tcPr>
            <w:tcW w:type="dxa" w:w="1771"/>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≤20.0%</w:t>
            </w:r>
          </w:p>
        </w:tc>
        <w:tc>
          <w:tcPr>
            <w:tcW w:type="dxa" w:w="127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W1, WT1</w:t>
            </w:r>
          </w:p>
        </w:tc>
      </w:tr>
      <w:tr>
        <w:trPr/>
        <w:tc>
          <w:tcPr>
            <w:tcW w:type="dxa" w:w="253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OBJ4 ลดการพึ่งพาลูกค้ารายใหญ่ที่สุด</w:t>
            </w:r>
          </w:p>
        </w:tc>
        <w:tc>
          <w:tcPr>
            <w:tcW w:type="dxa" w:w="167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40.12%</w:t>
            </w:r>
          </w:p>
        </w:tc>
        <w:tc>
          <w:tcPr>
            <w:tcW w:type="dxa" w:w="2227"/>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≤35% ปี 2572</w:t>
            </w:r>
          </w:p>
        </w:tc>
        <w:tc>
          <w:tcPr>
            <w:tcW w:type="dxa" w:w="1771"/>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≤30%</w:t>
            </w:r>
          </w:p>
        </w:tc>
        <w:tc>
          <w:tcPr>
            <w:tcW w:type="dxa" w:w="127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W2, WO2, WT2</w:t>
            </w:r>
          </w:p>
        </w:tc>
      </w:tr>
      <w:tr>
        <w:trPr/>
        <w:tc>
          <w:tcPr>
            <w:tcW w:type="dxa" w:w="253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OBJ5 ลดเงินทุนที่ตรึงในสินค้าคงเหลือ</w:t>
            </w:r>
          </w:p>
        </w:tc>
        <w:tc>
          <w:tcPr>
            <w:tcW w:type="dxa" w:w="167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DIO แบบจำลอง 267.75 วัน</w:t>
            </w:r>
          </w:p>
        </w:tc>
        <w:tc>
          <w:tcPr>
            <w:tcW w:type="dxa" w:w="2227"/>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≤210 วันปี 2571 และ ≤170 วันปี 2572</w:t>
            </w:r>
          </w:p>
        </w:tc>
        <w:tc>
          <w:tcPr>
            <w:tcW w:type="dxa" w:w="1771"/>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ประมาณ 110 วัน; CCC ≤125 วัน</w:t>
            </w:r>
          </w:p>
        </w:tc>
        <w:tc>
          <w:tcPr>
            <w:tcW w:type="dxa" w:w="127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W3, W4, WO3</w:t>
            </w:r>
          </w:p>
        </w:tc>
      </w:tr>
      <w:tr>
        <w:trPr/>
        <w:tc>
          <w:tcPr>
            <w:tcW w:type="dxa" w:w="253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OBJ6 เพิ่มสัดส่วนรายได้ functional uniform/workwear</w:t>
            </w:r>
          </w:p>
        </w:tc>
        <w:tc>
          <w:tcPr>
            <w:tcW w:type="dxa" w:w="167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กำหนดฐานใน 90 วัน</w:t>
            </w:r>
          </w:p>
        </w:tc>
        <w:tc>
          <w:tcPr>
            <w:tcW w:type="dxa" w:w="2227"/>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≥30% ปี 2572</w:t>
            </w:r>
          </w:p>
        </w:tc>
        <w:tc>
          <w:tcPr>
            <w:tcW w:type="dxa" w:w="1771"/>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≥38%</w:t>
            </w:r>
          </w:p>
        </w:tc>
        <w:tc>
          <w:tcPr>
            <w:tcW w:type="dxa" w:w="127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O1, SO1, WO1</w:t>
            </w:r>
          </w:p>
        </w:tc>
      </w:tr>
      <w:tr>
        <w:trPr/>
        <w:tc>
          <w:tcPr>
            <w:tcW w:type="dxa" w:w="253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OBJ7 ยกระดับผลตอบแทนต่อส่วนของผู้ถือหุ้น</w:t>
            </w:r>
          </w:p>
        </w:tc>
        <w:tc>
          <w:tcPr>
            <w:tcW w:type="dxa" w:w="167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-0.40%</w:t>
            </w:r>
          </w:p>
        </w:tc>
        <w:tc>
          <w:tcPr>
            <w:tcW w:type="dxa" w:w="2227"/>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≥4% ปี 2572</w:t>
            </w:r>
          </w:p>
        </w:tc>
        <w:tc>
          <w:tcPr>
            <w:tcW w:type="dxa" w:w="1771"/>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≥6%</w:t>
            </w:r>
          </w:p>
        </w:tc>
        <w:tc>
          <w:tcPr>
            <w:tcW w:type="dxa" w:w="127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W5, S1</w:t>
            </w:r>
          </w:p>
        </w:tc>
      </w:tr>
      <w:tr>
        <w:trPr/>
        <w:tc>
          <w:tcPr>
            <w:tcW w:type="dxa" w:w="253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OBJ8 สร้างข้อมูลตรวจสอบย้อนกลับสำหรับสินค้าเชิงกลยุทธ์</w:t>
            </w:r>
          </w:p>
        </w:tc>
        <w:tc>
          <w:tcPr>
            <w:tcW w:type="dxa" w:w="167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ต้องกำหนดฐาน</w:t>
            </w:r>
          </w:p>
        </w:tc>
        <w:tc>
          <w:tcPr>
            <w:tcW w:type="dxa" w:w="2227"/>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minimum viable compliance ก่อน 14 ธ.ค. 2570; ครบ 100% ปี 2572</w:t>
            </w:r>
          </w:p>
        </w:tc>
        <w:tc>
          <w:tcPr>
            <w:tcW w:type="dxa" w:w="1771"/>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รักษา 100%</w:t>
            </w:r>
          </w:p>
        </w:tc>
        <w:tc>
          <w:tcPr>
            <w:tcW w:type="dxa" w:w="127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O2, SO2</w:t>
            </w:r>
          </w:p>
        </w:tc>
      </w:tr>
      <w:tr>
        <w:trPr/>
        <w:tc>
          <w:tcPr>
            <w:tcW w:type="dxa" w:w="253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OBJ9 เติบโตของยอดขายอย่างมีคุณภาพ</w:t>
            </w:r>
          </w:p>
        </w:tc>
        <w:tc>
          <w:tcPr>
            <w:tcW w:type="dxa" w:w="167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605.20 ล้านบาท</w:t>
            </w:r>
          </w:p>
        </w:tc>
        <w:tc>
          <w:tcPr>
            <w:tcW w:type="dxa" w:w="2227"/>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≥700 ล้านบาท ปี 2572</w:t>
            </w:r>
          </w:p>
        </w:tc>
        <w:tc>
          <w:tcPr>
            <w:tcW w:type="dxa" w:w="1771"/>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9"/>
              </w:rPr>
              <w:t>ประมาณ 810 ล้านบาท</w:t>
            </w:r>
          </w:p>
        </w:tc>
        <w:tc>
          <w:tcPr>
            <w:tcW w:type="dxa" w:w="127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CAGR โดยนัย 4.98%; ไม่ใช่ company guidance</w:t>
            </w:r>
          </w:p>
        </w:tc>
      </w:tr>
    </w:tbl>
    <w:p>
      <w:r>
        <w:rPr>
          <w:rFonts w:ascii="TH Sarabun New" w:hAnsi="TH Sarabun New" w:eastAsia="TH Sarabun New"/>
          <w:i/>
          <w:color w:val="666666"/>
          <w:sz w:val="20"/>
        </w:rPr>
        <w:t>ที่มา: สมมติฐานเชิงวางแผนของผู้จัดทำ; เป้าหมายเชื่อมกับตาราง 22–24 ไม่ใช่ company guidance</w:t>
      </w:r>
    </w:p>
    <w:p>
      <w:pPr>
        <w:spacing w:after="110" w:line="228"/>
        <w:jc w:val="left"/>
      </w:pPr>
      <w:r>
        <w:rPr>
          <w:rFonts w:ascii="TH Sarabun New" w:cs="TH Sarabun New" w:eastAsia="TH Sarabun New" w:hAnsi="TH Sarabun New"/>
          <w:b w:val="false"/>
          <w:bCs w:val="false"/>
          <w:i w:val="false"/>
          <w:iCs w:val="false"/>
          <w:sz w:val="26"/>
          <w:szCs w:val="26"/>
        </w:rPr>
        <w:t xml:space="preserve">หมายเหตุ: วัตถุประสงค์เป็นข้อเสนอของผู้จัดทำ ตัวเลขเป้าหมายคำนวณจากประมาณการในบทที่ 6 ไม่ใช่เป้าหมายที่บริษัทประกาศ</w:t>
      </w:r>
    </w:p>
    <w:p>
      <w:pPr>
        <w:keepNext w:val="false"/>
        <w:spacing w:after="50" w:line="240"/>
        <w:ind w:firstLine="480"/>
        <w:jc w:val="both"/>
      </w:pPr>
      <w:r>
        <w:rPr>
          <w:rFonts w:ascii="TH Sarabun New" w:hAnsi="TH Sarabun New" w:eastAsia="TH Sarabun New"/>
          <w:sz w:val="32"/>
        </w:rPr>
        <w:t>นัยเชิงกลยุทธ์ต่อ PG: OBJ9 ใช้ยอดขายปี 2574 ประมาณ 810 ล้านบาท ซึ่งให้ CAGR โดยนัยจากปี 2568 ร้อยละ 4.98 อัตรานี้อยู่ในช่วงเดียวกับกรอบการเติบโตร้อยละ 4–5 ต่อปีที่บริษัทเคยประกาศในคนละ horizon จึงไม่ตีความว่า 810 ล้านบาทเป็นเป้าหมายที่บริษัทประกาศ</w:t>
      </w:r>
    </w:p>
    <w:p>
      <w:pPr>
        <w:pStyle w:val="Heading2"/>
        <w:keepNext/>
        <w:spacing w:after="60" w:before="140"/>
      </w:pPr>
      <w:r>
        <w:rPr>
          <w:rFonts w:ascii="TH Sarabun New" w:hAnsi="TH Sarabun New" w:eastAsia="TH Sarabun New"/>
          <w:b/>
          <w:color w:val="2F5597"/>
          <w:sz w:val="32"/>
        </w:rPr>
        <w:t>4.4 ทางเลือกเชิงกลยุทธ์ (Strategic Alternatives)</w:t>
      </w:r>
    </w:p>
    <w:p>
      <w:pPr>
        <w:pStyle w:val="Heading3"/>
        <w:keepNext/>
        <w:spacing w:after="70" w:before="150"/>
      </w:pPr>
      <w:r>
        <w:rPr>
          <w:rFonts w:ascii="TH Sarabun New" w:hAnsi="TH Sarabun New" w:eastAsia="TH Sarabun New"/>
          <w:b/>
          <w:color w:val="2F5597"/>
          <w:sz w:val="30"/>
        </w:rPr>
        <w:t>4.4.1 ทางเลือก A/B/C และเกณฑ์พิจารณา</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ทางเลือกทั้งสามพัฒนาจากกลยุทธ์ใน TOWS โดยจัดกลุ่มตามทิศทางหลักที่ต่างกันจริง มิใช่ตั้งขึ้นเพื่อให้ทางเลือกที่ต้องการดูดีกว่า และทั้งสามมีผู้ประกอบการจริงในอุตสาหกรรมเดียวกันที่สำเร็จด้วยเส้นทางนั้น</w:t>
      </w:r>
    </w:p>
    <w:p>
      <w:pPr>
        <w:keepNext w:val="false"/>
        <w:spacing w:after="50" w:line="240"/>
        <w:ind w:firstLine="480"/>
        <w:jc w:val="both"/>
      </w:pPr>
      <w:r>
        <w:rPr>
          <w:rFonts w:ascii="TH Sarabun New" w:hAnsi="TH Sarabun New" w:eastAsia="TH Sarabun New"/>
          <w:sz w:val="32"/>
        </w:rPr>
        <w:t>ทางเลือก A: Volume-led Export OEM เร่งปริมาณงานรับจ้างผลิตเพื่อส่งออกและลงทุน automation เพื่อไล่ตามขนาดตลาด OIE รายงานการส่งออกปี 2568 ประมาณ 2,018.77 ล้านดอลลาร์สหรัฐ +5.61% จึงให้น้ำหนักความน่าดึงดูดตลาดสูงขึ้น แต่ PG ยังเสียเปรียบขนาด ต้นทุนแรงงาน และฐานผลิตหลายประเทศ และยอดส่งออกของ PG ลด 34.36% ทางเลือกนี้จึงเสี่ยงต่อการกลับไปแข่ง commodity OEM</w:t>
      </w:r>
    </w:p>
    <w:p>
      <w:pPr>
        <w:keepNext w:val="false"/>
        <w:spacing w:after="50" w:line="240"/>
        <w:ind w:firstLine="480"/>
        <w:jc w:val="both"/>
      </w:pPr>
      <w:r>
        <w:rPr>
          <w:rFonts w:ascii="TH Sarabun New" w:hAnsi="TH Sarabun New" w:eastAsia="TH Sarabun New"/>
          <w:sz w:val="32"/>
        </w:rPr>
        <w:t>ทางเลือก B: Own-brand D2C Omnichannel สร้างแบรนด์ ช่องทางตรง และข้อมูลลูกค้า Sabina/MC Group ใช้เป็น comparables ด้าน brand/channel economics เท่านั้น ไม่ใช่ฐานสมมติว่า PG จะได้อัตรากำไรขั้นต้นเท่ากัน ทางเลือกนี้ช่วยลดการพึ่งผู้จัดจำหน่าย แต่ต้องสร้างความสามารถแบรนด์ การตลาดตรง และการบริหารสินค้าคงเหลือ ซึ่งจากข้อมูลสาธารณะที่ตรวจสอบยังไม่พบหลักฐานว่ามีขนาดพร้อมรองรับการเปลี่ยนโมเดลทั้งบริษัท</w:t>
      </w:r>
    </w:p>
    <w:p>
      <w:pPr>
        <w:keepNext w:val="false"/>
        <w:spacing w:after="50" w:line="240"/>
        <w:ind w:firstLine="480"/>
        <w:jc w:val="both"/>
      </w:pPr>
      <w:r>
        <w:rPr>
          <w:rFonts w:ascii="TH Sarabun New" w:hAnsi="TH Sarabun New" w:eastAsia="TH Sarabun New"/>
          <w:sz w:val="32"/>
        </w:rPr>
        <w:t>ทางเลือก C: Focused Functional Uniform &amp; Workwear Solutions ฟื้นกำไรธุรกิจหลักและมุ่งลูกค้าองค์กรที่ซื้อด้วยคุณสมบัติ/มาตรฐาน ใช้ฐาน S2/S3/S4/S6 และสัญญาเติมสินค้า แต่มีวงจรขาย B2B ยาว ความเสี่ยง channel conflict และภาระ compliance ก่อน 14 ธันวาคม 2570 จึงลดคะแนนความเสี่ยงในการนำไปปฏิบัติจาก 3 เป็น 2 และบังคับ Gate 0–2 ก่อน scale/capex</w:t>
      </w:r>
    </w:p>
    <w:p>
      <w:pPr>
        <w:keepNext w:val="false"/>
        <w:spacing w:after="50" w:line="240"/>
        <w:ind w:firstLine="480"/>
        <w:jc w:val="both"/>
      </w:pPr>
      <w:r>
        <w:rPr>
          <w:rFonts w:ascii="TH Sarabun New" w:hAnsi="TH Sarabun New" w:eastAsia="TH Sarabun New"/>
          <w:sz w:val="32"/>
        </w:rPr>
        <w:t>เกณฑ์ทั้งเจ็ดและน้ำหนักกำหนดก่อนให้คะแนน โดยให้น้ำหนักสูงสุดแก่ความสอดคล้องกับทรัพยากรและศักยภาพอัตรากำไร (ข้อละ 0.20) เพราะปัญหาหลักคือ core proxy ติดลบ ส่วนเงินลงทุน ความเสี่ยงการปฏิบัติ และความเร็วสู่ผลลัพธ์มีน้ำหนักข้อละ 0.10 ฐานะการเงินช่วยลดข้อจำกัดด้านเงินทุน แต่ไม่ทดแทนความสามารถที่ต้องสร้างใหม่หรือหลักฐาน product-market fit</w:t>
      </w:r>
    </w:p>
    <w:p>
      <w:pPr>
        <w:pStyle w:val="Heading2"/>
      </w:pPr>
      <w:r>
        <w:rPr>
          <w:rFonts w:ascii="TH Sarabun New" w:hAnsi="TH Sarabun New" w:eastAsia="TH Sarabun New"/>
          <w:b/>
          <w:color w:val="2F5597"/>
          <w:sz w:val="32"/>
        </w:rPr>
        <w:t>4.5 เมทริกซ์การตัดสินใจและการทดสอบความไว</w:t>
      </w:r>
    </w:p>
    <w:p>
      <w:pPr>
        <w:keepNext/>
        <w:spacing w:after="50" w:before="130"/>
        <w:jc w:val="left"/>
      </w:pPr>
      <w:r>
        <w:rPr>
          <w:rFonts w:ascii="TH Sarabun New" w:cs="TH Sarabun New" w:eastAsia="TH Sarabun New" w:hAnsi="TH Sarabun New"/>
          <w:b/>
          <w:bCs/>
          <w:i w:val="false"/>
          <w:iCs w:val="false"/>
          <w:sz w:val="28"/>
          <w:szCs w:val="28"/>
        </w:rPr>
        <w:t xml:space="preserve">ตารางที่ 16  เมทริกซ์การตัดสินใจเลือกทางเลือกเชิงกลยุทธ์ และการทดสอบความไว</w:t>
      </w:r>
    </w:p>
    <w:tbl>
      <w:tblPr>
        <w:tblW w:type="dxa" w:w="9468"/>
        <w:jc w:val="center"/>
        <w:tblBorders>
          <w:top w:val="single" w:color="B7B7B7" w:sz="4"/>
          <w:left w:val="single" w:color="B7B7B7" w:sz="4"/>
          <w:bottom w:val="single" w:color="B7B7B7" w:sz="4"/>
          <w:right w:val="single" w:color="B7B7B7" w:sz="4"/>
          <w:insideH w:val="single" w:color="B7B7B7" w:sz="4"/>
          <w:insideV w:val="single" w:color="B7B7B7" w:sz="4"/>
        </w:tblBorders>
        <w:tblLayout w:type="fixed"/>
      </w:tblPr>
      <w:tblGrid>
        <w:gridCol w:w="3000"/>
        <w:gridCol w:w="700"/>
        <w:gridCol w:w="650"/>
        <w:gridCol w:w="700"/>
        <w:gridCol w:w="650"/>
        <w:gridCol w:w="700"/>
        <w:gridCol w:w="650"/>
        <w:gridCol w:w="700"/>
      </w:tblGrid>
      <w:tr>
        <w:trPr>
          <w:tblHeader w:val="true"/>
        </w:trPr>
        <w:tc>
          <w:tcPr>
            <w:tcW w:type="dxa" w:w="30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เกณฑ์การตัดสินใจ</w:t>
            </w:r>
          </w:p>
        </w:tc>
        <w:tc>
          <w:tcPr>
            <w:tcW w:type="dxa" w:w="7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น้ำหนัก</w:t>
            </w:r>
          </w:p>
        </w:tc>
        <w:tc>
          <w:tcPr>
            <w:tcW w:type="dxa" w:w="65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A คะแนน</w:t>
            </w:r>
          </w:p>
        </w:tc>
        <w:tc>
          <w:tcPr>
            <w:tcW w:type="dxa" w:w="7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A ถ่วง</w:t>
            </w:r>
          </w:p>
        </w:tc>
        <w:tc>
          <w:tcPr>
            <w:tcW w:type="dxa" w:w="65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B คะแนน</w:t>
            </w:r>
          </w:p>
        </w:tc>
        <w:tc>
          <w:tcPr>
            <w:tcW w:type="dxa" w:w="7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B ถ่วง</w:t>
            </w:r>
          </w:p>
        </w:tc>
        <w:tc>
          <w:tcPr>
            <w:tcW w:type="dxa" w:w="65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C คะแนน</w:t>
            </w:r>
          </w:p>
        </w:tc>
        <w:tc>
          <w:tcPr>
            <w:tcW w:type="dxa" w:w="7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C ถ่วง</w:t>
            </w:r>
          </w:p>
        </w:tc>
      </w:tr>
      <w:tr>
        <w:trPr/>
        <w:tc>
          <w:tcPr>
            <w:tcW w:type="dxa" w:w="3000"/>
            <w:vAlign w:val="center"/>
          </w:tcPr>
          <w:p>
            <w:pPr>
              <w:spacing w:before="0" w:after="0" w:line="240" w:lineRule="auto"/>
              <w:jc w:val="left"/>
            </w:pPr>
            <w:r>
              <w:rPr>
                <w:rFonts w:ascii="TH Sarabun New" w:hAnsi="TH Sarabun New" w:eastAsia="TH Sarabun New"/>
                <w:b w:val="0"/>
                <w:sz w:val="19"/>
              </w:rPr>
              <w:t>1. สอดคล้องทรัพยากร/ความสามารถ</w:t>
            </w:r>
          </w:p>
        </w:tc>
        <w:tc>
          <w:tcPr>
            <w:tcW w:type="dxa" w:w="700"/>
            <w:vAlign w:val="center"/>
          </w:tcPr>
          <w:p>
            <w:pPr>
              <w:spacing w:before="0" w:after="0" w:line="240" w:lineRule="auto"/>
              <w:jc w:val="center"/>
            </w:pPr>
            <w:r>
              <w:rPr>
                <w:rFonts w:ascii="TH Sarabun New" w:hAnsi="TH Sarabun New" w:eastAsia="TH Sarabun New"/>
                <w:b w:val="0"/>
                <w:sz w:val="19"/>
              </w:rPr>
              <w:t>0.20</w:t>
            </w:r>
          </w:p>
        </w:tc>
        <w:tc>
          <w:tcPr>
            <w:tcW w:type="dxa" w:w="650"/>
            <w:vAlign w:val="center"/>
          </w:tcPr>
          <w:p>
            <w:pPr>
              <w:spacing w:before="0" w:after="0" w:line="240" w:lineRule="auto"/>
              <w:jc w:val="center"/>
            </w:pPr>
            <w:r>
              <w:rPr>
                <w:rFonts w:ascii="TH Sarabun New" w:hAnsi="TH Sarabun New" w:eastAsia="TH Sarabun New"/>
                <w:b w:val="0"/>
                <w:sz w:val="19"/>
              </w:rPr>
              <w:t>3</w:t>
            </w:r>
          </w:p>
        </w:tc>
        <w:tc>
          <w:tcPr>
            <w:tcW w:type="dxa" w:w="700"/>
            <w:vAlign w:val="center"/>
          </w:tcPr>
          <w:p>
            <w:pPr>
              <w:spacing w:before="0" w:after="0" w:line="240" w:lineRule="auto"/>
              <w:jc w:val="center"/>
            </w:pPr>
            <w:r>
              <w:rPr>
                <w:rFonts w:ascii="TH Sarabun New" w:hAnsi="TH Sarabun New" w:eastAsia="TH Sarabun New"/>
                <w:b w:val="0"/>
                <w:sz w:val="19"/>
              </w:rPr>
              <w:t>0.60</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0.40</w:t>
            </w:r>
          </w:p>
        </w:tc>
        <w:tc>
          <w:tcPr>
            <w:tcW w:type="dxa" w:w="650"/>
            <w:vAlign w:val="center"/>
          </w:tcPr>
          <w:p>
            <w:pPr>
              <w:spacing w:before="0" w:after="0" w:line="240" w:lineRule="auto"/>
              <w:jc w:val="center"/>
            </w:pPr>
            <w:r>
              <w:rPr>
                <w:rFonts w:ascii="TH Sarabun New" w:hAnsi="TH Sarabun New" w:eastAsia="TH Sarabun New"/>
                <w:b w:val="0"/>
                <w:sz w:val="19"/>
              </w:rPr>
              <w:t>5</w:t>
            </w:r>
          </w:p>
        </w:tc>
        <w:tc>
          <w:tcPr>
            <w:tcW w:type="dxa" w:w="700"/>
            <w:vAlign w:val="center"/>
          </w:tcPr>
          <w:p>
            <w:pPr>
              <w:spacing w:before="0" w:after="0" w:line="240" w:lineRule="auto"/>
              <w:jc w:val="center"/>
            </w:pPr>
            <w:r>
              <w:rPr>
                <w:rFonts w:ascii="TH Sarabun New" w:hAnsi="TH Sarabun New" w:eastAsia="TH Sarabun New"/>
                <w:b w:val="0"/>
                <w:sz w:val="19"/>
              </w:rPr>
              <w:t>1.00</w:t>
            </w:r>
          </w:p>
        </w:tc>
      </w:tr>
      <w:tr>
        <w:trPr/>
        <w:tc>
          <w:tcPr>
            <w:tcW w:type="dxa" w:w="3000"/>
            <w:vAlign w:val="center"/>
          </w:tcPr>
          <w:p>
            <w:pPr>
              <w:spacing w:before="0" w:after="0" w:line="240" w:lineRule="auto"/>
              <w:jc w:val="left"/>
            </w:pPr>
            <w:r>
              <w:rPr>
                <w:rFonts w:ascii="TH Sarabun New" w:hAnsi="TH Sarabun New" w:eastAsia="TH Sarabun New"/>
                <w:b w:val="0"/>
                <w:sz w:val="19"/>
              </w:rPr>
              <w:t>2. ความน่าดึงดูดของตลาด</w:t>
            </w:r>
          </w:p>
        </w:tc>
        <w:tc>
          <w:tcPr>
            <w:tcW w:type="dxa" w:w="700"/>
            <w:vAlign w:val="center"/>
          </w:tcPr>
          <w:p>
            <w:pPr>
              <w:spacing w:before="0" w:after="0" w:line="240" w:lineRule="auto"/>
              <w:jc w:val="center"/>
            </w:pPr>
            <w:r>
              <w:rPr>
                <w:rFonts w:ascii="TH Sarabun New" w:hAnsi="TH Sarabun New" w:eastAsia="TH Sarabun New"/>
                <w:b w:val="0"/>
                <w:sz w:val="19"/>
              </w:rPr>
              <w:t>0.15</w:t>
            </w:r>
          </w:p>
        </w:tc>
        <w:tc>
          <w:tcPr>
            <w:tcW w:type="dxa" w:w="650"/>
            <w:vAlign w:val="center"/>
          </w:tcPr>
          <w:p>
            <w:pPr>
              <w:spacing w:before="0" w:after="0" w:line="240" w:lineRule="auto"/>
              <w:jc w:val="center"/>
            </w:pPr>
            <w:r>
              <w:rPr>
                <w:rFonts w:ascii="TH Sarabun New" w:hAnsi="TH Sarabun New" w:eastAsia="TH Sarabun New"/>
                <w:b w:val="0"/>
                <w:sz w:val="19"/>
              </w:rPr>
              <w:t>4</w:t>
            </w:r>
          </w:p>
        </w:tc>
        <w:tc>
          <w:tcPr>
            <w:tcW w:type="dxa" w:w="700"/>
            <w:vAlign w:val="center"/>
          </w:tcPr>
          <w:p>
            <w:pPr>
              <w:spacing w:before="0" w:after="0" w:line="240" w:lineRule="auto"/>
              <w:jc w:val="center"/>
            </w:pPr>
            <w:r>
              <w:rPr>
                <w:rFonts w:ascii="TH Sarabun New" w:hAnsi="TH Sarabun New" w:eastAsia="TH Sarabun New"/>
                <w:b w:val="0"/>
                <w:sz w:val="19"/>
              </w:rPr>
              <w:t>0.60</w:t>
            </w:r>
          </w:p>
        </w:tc>
        <w:tc>
          <w:tcPr>
            <w:tcW w:type="dxa" w:w="650"/>
            <w:vAlign w:val="center"/>
          </w:tcPr>
          <w:p>
            <w:pPr>
              <w:spacing w:before="0" w:after="0" w:line="240" w:lineRule="auto"/>
              <w:jc w:val="center"/>
            </w:pPr>
            <w:r>
              <w:rPr>
                <w:rFonts w:ascii="TH Sarabun New" w:hAnsi="TH Sarabun New" w:eastAsia="TH Sarabun New"/>
                <w:b w:val="0"/>
                <w:sz w:val="19"/>
              </w:rPr>
              <w:t>4</w:t>
            </w:r>
          </w:p>
        </w:tc>
        <w:tc>
          <w:tcPr>
            <w:tcW w:type="dxa" w:w="700"/>
            <w:vAlign w:val="center"/>
          </w:tcPr>
          <w:p>
            <w:pPr>
              <w:spacing w:before="0" w:after="0" w:line="240" w:lineRule="auto"/>
              <w:jc w:val="center"/>
            </w:pPr>
            <w:r>
              <w:rPr>
                <w:rFonts w:ascii="TH Sarabun New" w:hAnsi="TH Sarabun New" w:eastAsia="TH Sarabun New"/>
                <w:b w:val="0"/>
                <w:sz w:val="19"/>
              </w:rPr>
              <w:t>0.60</w:t>
            </w:r>
          </w:p>
        </w:tc>
        <w:tc>
          <w:tcPr>
            <w:tcW w:type="dxa" w:w="650"/>
            <w:vAlign w:val="center"/>
          </w:tcPr>
          <w:p>
            <w:pPr>
              <w:spacing w:before="0" w:after="0" w:line="240" w:lineRule="auto"/>
              <w:jc w:val="center"/>
            </w:pPr>
            <w:r>
              <w:rPr>
                <w:rFonts w:ascii="TH Sarabun New" w:hAnsi="TH Sarabun New" w:eastAsia="TH Sarabun New"/>
                <w:b w:val="0"/>
                <w:sz w:val="19"/>
              </w:rPr>
              <w:t>4</w:t>
            </w:r>
          </w:p>
        </w:tc>
        <w:tc>
          <w:tcPr>
            <w:tcW w:type="dxa" w:w="700"/>
            <w:vAlign w:val="center"/>
          </w:tcPr>
          <w:p>
            <w:pPr>
              <w:spacing w:before="0" w:after="0" w:line="240" w:lineRule="auto"/>
              <w:jc w:val="center"/>
            </w:pPr>
            <w:r>
              <w:rPr>
                <w:rFonts w:ascii="TH Sarabun New" w:hAnsi="TH Sarabun New" w:eastAsia="TH Sarabun New"/>
                <w:b w:val="0"/>
                <w:sz w:val="19"/>
              </w:rPr>
              <w:t>0.60</w:t>
            </w:r>
          </w:p>
        </w:tc>
      </w:tr>
      <w:tr>
        <w:trPr/>
        <w:tc>
          <w:tcPr>
            <w:tcW w:type="dxa" w:w="3000"/>
            <w:vAlign w:val="center"/>
          </w:tcPr>
          <w:p>
            <w:pPr>
              <w:spacing w:before="0" w:after="0" w:line="240" w:lineRule="auto"/>
              <w:jc w:val="left"/>
            </w:pPr>
            <w:r>
              <w:rPr>
                <w:rFonts w:ascii="TH Sarabun New" w:hAnsi="TH Sarabun New" w:eastAsia="TH Sarabun New"/>
                <w:b w:val="0"/>
                <w:sz w:val="19"/>
              </w:rPr>
              <w:t>3. ศักยภาพอัตรากำไร</w:t>
            </w:r>
          </w:p>
        </w:tc>
        <w:tc>
          <w:tcPr>
            <w:tcW w:type="dxa" w:w="700"/>
            <w:vAlign w:val="center"/>
          </w:tcPr>
          <w:p>
            <w:pPr>
              <w:spacing w:before="0" w:after="0" w:line="240" w:lineRule="auto"/>
              <w:jc w:val="center"/>
            </w:pPr>
            <w:r>
              <w:rPr>
                <w:rFonts w:ascii="TH Sarabun New" w:hAnsi="TH Sarabun New" w:eastAsia="TH Sarabun New"/>
                <w:b w:val="0"/>
                <w:sz w:val="19"/>
              </w:rPr>
              <w:t>0.20</w:t>
            </w:r>
          </w:p>
        </w:tc>
        <w:tc>
          <w:tcPr>
            <w:tcW w:type="dxa" w:w="650"/>
            <w:vAlign w:val="center"/>
          </w:tcPr>
          <w:p>
            <w:pPr>
              <w:spacing w:before="0" w:after="0" w:line="240" w:lineRule="auto"/>
              <w:jc w:val="center"/>
            </w:pPr>
            <w:r>
              <w:rPr>
                <w:rFonts w:ascii="TH Sarabun New" w:hAnsi="TH Sarabun New" w:eastAsia="TH Sarabun New"/>
                <w:b w:val="0"/>
                <w:sz w:val="19"/>
              </w:rPr>
              <w:t>1</w:t>
            </w:r>
          </w:p>
        </w:tc>
        <w:tc>
          <w:tcPr>
            <w:tcW w:type="dxa" w:w="700"/>
            <w:vAlign w:val="center"/>
          </w:tcPr>
          <w:p>
            <w:pPr>
              <w:spacing w:before="0" w:after="0" w:line="240" w:lineRule="auto"/>
              <w:jc w:val="center"/>
            </w:pPr>
            <w:r>
              <w:rPr>
                <w:rFonts w:ascii="TH Sarabun New" w:hAnsi="TH Sarabun New" w:eastAsia="TH Sarabun New"/>
                <w:b w:val="0"/>
                <w:sz w:val="19"/>
              </w:rPr>
              <w:t>0.20</w:t>
            </w:r>
          </w:p>
        </w:tc>
        <w:tc>
          <w:tcPr>
            <w:tcW w:type="dxa" w:w="650"/>
            <w:vAlign w:val="center"/>
          </w:tcPr>
          <w:p>
            <w:pPr>
              <w:spacing w:before="0" w:after="0" w:line="240" w:lineRule="auto"/>
              <w:jc w:val="center"/>
            </w:pPr>
            <w:r>
              <w:rPr>
                <w:rFonts w:ascii="TH Sarabun New" w:hAnsi="TH Sarabun New" w:eastAsia="TH Sarabun New"/>
                <w:b w:val="0"/>
                <w:sz w:val="19"/>
              </w:rPr>
              <w:t>4</w:t>
            </w:r>
          </w:p>
        </w:tc>
        <w:tc>
          <w:tcPr>
            <w:tcW w:type="dxa" w:w="700"/>
            <w:vAlign w:val="center"/>
          </w:tcPr>
          <w:p>
            <w:pPr>
              <w:spacing w:before="0" w:after="0" w:line="240" w:lineRule="auto"/>
              <w:jc w:val="center"/>
            </w:pPr>
            <w:r>
              <w:rPr>
                <w:rFonts w:ascii="TH Sarabun New" w:hAnsi="TH Sarabun New" w:eastAsia="TH Sarabun New"/>
                <w:b w:val="0"/>
                <w:sz w:val="19"/>
              </w:rPr>
              <w:t>0.80</w:t>
            </w:r>
          </w:p>
        </w:tc>
        <w:tc>
          <w:tcPr>
            <w:tcW w:type="dxa" w:w="650"/>
            <w:vAlign w:val="center"/>
          </w:tcPr>
          <w:p>
            <w:pPr>
              <w:spacing w:before="0" w:after="0" w:line="240" w:lineRule="auto"/>
              <w:jc w:val="center"/>
            </w:pPr>
            <w:r>
              <w:rPr>
                <w:rFonts w:ascii="TH Sarabun New" w:hAnsi="TH Sarabun New" w:eastAsia="TH Sarabun New"/>
                <w:b w:val="0"/>
                <w:sz w:val="19"/>
              </w:rPr>
              <w:t>4</w:t>
            </w:r>
          </w:p>
        </w:tc>
        <w:tc>
          <w:tcPr>
            <w:tcW w:type="dxa" w:w="700"/>
            <w:vAlign w:val="center"/>
          </w:tcPr>
          <w:p>
            <w:pPr>
              <w:spacing w:before="0" w:after="0" w:line="240" w:lineRule="auto"/>
              <w:jc w:val="center"/>
            </w:pPr>
            <w:r>
              <w:rPr>
                <w:rFonts w:ascii="TH Sarabun New" w:hAnsi="TH Sarabun New" w:eastAsia="TH Sarabun New"/>
                <w:b w:val="0"/>
                <w:sz w:val="19"/>
              </w:rPr>
              <w:t>0.80</w:t>
            </w:r>
          </w:p>
        </w:tc>
      </w:tr>
      <w:tr>
        <w:trPr/>
        <w:tc>
          <w:tcPr>
            <w:tcW w:type="dxa" w:w="3000"/>
            <w:vAlign w:val="center"/>
          </w:tcPr>
          <w:p>
            <w:pPr>
              <w:spacing w:before="0" w:after="0" w:line="240" w:lineRule="auto"/>
              <w:jc w:val="left"/>
            </w:pPr>
            <w:r>
              <w:rPr>
                <w:rFonts w:ascii="TH Sarabun New" w:hAnsi="TH Sarabun New" w:eastAsia="TH Sarabun New"/>
                <w:b w:val="0"/>
                <w:sz w:val="19"/>
              </w:rPr>
              <w:t>4. เงินลงทุน (สูง = ลงทุนน้อย)</w:t>
            </w:r>
          </w:p>
        </w:tc>
        <w:tc>
          <w:tcPr>
            <w:tcW w:type="dxa" w:w="700"/>
            <w:vAlign w:val="center"/>
          </w:tcPr>
          <w:p>
            <w:pPr>
              <w:spacing w:before="0" w:after="0" w:line="240" w:lineRule="auto"/>
              <w:jc w:val="center"/>
            </w:pPr>
            <w:r>
              <w:rPr>
                <w:rFonts w:ascii="TH Sarabun New" w:hAnsi="TH Sarabun New" w:eastAsia="TH Sarabun New"/>
                <w:b w:val="0"/>
                <w:sz w:val="19"/>
              </w:rPr>
              <w:t>0.10</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0.20</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0.20</w:t>
            </w:r>
          </w:p>
        </w:tc>
        <w:tc>
          <w:tcPr>
            <w:tcW w:type="dxa" w:w="650"/>
            <w:vAlign w:val="center"/>
          </w:tcPr>
          <w:p>
            <w:pPr>
              <w:spacing w:before="0" w:after="0" w:line="240" w:lineRule="auto"/>
              <w:jc w:val="center"/>
            </w:pPr>
            <w:r>
              <w:rPr>
                <w:rFonts w:ascii="TH Sarabun New" w:hAnsi="TH Sarabun New" w:eastAsia="TH Sarabun New"/>
                <w:b w:val="0"/>
                <w:sz w:val="19"/>
              </w:rPr>
              <w:t>4</w:t>
            </w:r>
          </w:p>
        </w:tc>
        <w:tc>
          <w:tcPr>
            <w:tcW w:type="dxa" w:w="700"/>
            <w:vAlign w:val="center"/>
          </w:tcPr>
          <w:p>
            <w:pPr>
              <w:spacing w:before="0" w:after="0" w:line="240" w:lineRule="auto"/>
              <w:jc w:val="center"/>
            </w:pPr>
            <w:r>
              <w:rPr>
                <w:rFonts w:ascii="TH Sarabun New" w:hAnsi="TH Sarabun New" w:eastAsia="TH Sarabun New"/>
                <w:b w:val="0"/>
                <w:sz w:val="19"/>
              </w:rPr>
              <w:t>0.40</w:t>
            </w:r>
          </w:p>
        </w:tc>
      </w:tr>
      <w:tr>
        <w:trPr/>
        <w:tc>
          <w:tcPr>
            <w:tcW w:type="dxa" w:w="3000"/>
            <w:vAlign w:val="center"/>
          </w:tcPr>
          <w:p>
            <w:pPr>
              <w:spacing w:before="0" w:after="0" w:line="240" w:lineRule="auto"/>
              <w:jc w:val="left"/>
            </w:pPr>
            <w:r>
              <w:rPr>
                <w:rFonts w:ascii="TH Sarabun New" w:hAnsi="TH Sarabun New" w:eastAsia="TH Sarabun New"/>
                <w:b w:val="0"/>
                <w:sz w:val="19"/>
              </w:rPr>
              <w:t>5. การแข่งขัน/ความยากเลียนแบบ</w:t>
            </w:r>
          </w:p>
        </w:tc>
        <w:tc>
          <w:tcPr>
            <w:tcW w:type="dxa" w:w="700"/>
            <w:vAlign w:val="center"/>
          </w:tcPr>
          <w:p>
            <w:pPr>
              <w:spacing w:before="0" w:after="0" w:line="240" w:lineRule="auto"/>
              <w:jc w:val="center"/>
            </w:pPr>
            <w:r>
              <w:rPr>
                <w:rFonts w:ascii="TH Sarabun New" w:hAnsi="TH Sarabun New" w:eastAsia="TH Sarabun New"/>
                <w:b w:val="0"/>
                <w:sz w:val="19"/>
              </w:rPr>
              <w:t>0.15</w:t>
            </w:r>
          </w:p>
        </w:tc>
        <w:tc>
          <w:tcPr>
            <w:tcW w:type="dxa" w:w="650"/>
            <w:vAlign w:val="center"/>
          </w:tcPr>
          <w:p>
            <w:pPr>
              <w:spacing w:before="0" w:after="0" w:line="240" w:lineRule="auto"/>
              <w:jc w:val="center"/>
            </w:pPr>
            <w:r>
              <w:rPr>
                <w:rFonts w:ascii="TH Sarabun New" w:hAnsi="TH Sarabun New" w:eastAsia="TH Sarabun New"/>
                <w:b w:val="0"/>
                <w:sz w:val="19"/>
              </w:rPr>
              <w:t>1</w:t>
            </w:r>
          </w:p>
        </w:tc>
        <w:tc>
          <w:tcPr>
            <w:tcW w:type="dxa" w:w="700"/>
            <w:vAlign w:val="center"/>
          </w:tcPr>
          <w:p>
            <w:pPr>
              <w:spacing w:before="0" w:after="0" w:line="240" w:lineRule="auto"/>
              <w:jc w:val="center"/>
            </w:pPr>
            <w:r>
              <w:rPr>
                <w:rFonts w:ascii="TH Sarabun New" w:hAnsi="TH Sarabun New" w:eastAsia="TH Sarabun New"/>
                <w:b w:val="0"/>
                <w:sz w:val="19"/>
              </w:rPr>
              <w:t>0.15</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0.30</w:t>
            </w:r>
          </w:p>
        </w:tc>
        <w:tc>
          <w:tcPr>
            <w:tcW w:type="dxa" w:w="650"/>
            <w:vAlign w:val="center"/>
          </w:tcPr>
          <w:p>
            <w:pPr>
              <w:spacing w:before="0" w:after="0" w:line="240" w:lineRule="auto"/>
              <w:jc w:val="center"/>
            </w:pPr>
            <w:r>
              <w:rPr>
                <w:rFonts w:ascii="TH Sarabun New" w:hAnsi="TH Sarabun New" w:eastAsia="TH Sarabun New"/>
                <w:b w:val="0"/>
                <w:sz w:val="19"/>
              </w:rPr>
              <w:t>4</w:t>
            </w:r>
          </w:p>
        </w:tc>
        <w:tc>
          <w:tcPr>
            <w:tcW w:type="dxa" w:w="700"/>
            <w:vAlign w:val="center"/>
          </w:tcPr>
          <w:p>
            <w:pPr>
              <w:spacing w:before="0" w:after="0" w:line="240" w:lineRule="auto"/>
              <w:jc w:val="center"/>
            </w:pPr>
            <w:r>
              <w:rPr>
                <w:rFonts w:ascii="TH Sarabun New" w:hAnsi="TH Sarabun New" w:eastAsia="TH Sarabun New"/>
                <w:b w:val="0"/>
                <w:sz w:val="19"/>
              </w:rPr>
              <w:t>0.60</w:t>
            </w:r>
          </w:p>
        </w:tc>
      </w:tr>
      <w:tr>
        <w:trPr/>
        <w:tc>
          <w:tcPr>
            <w:tcW w:type="dxa" w:w="3000"/>
            <w:vAlign w:val="center"/>
          </w:tcPr>
          <w:p>
            <w:pPr>
              <w:spacing w:before="0" w:after="0" w:line="240" w:lineRule="auto"/>
              <w:jc w:val="left"/>
            </w:pPr>
            <w:r>
              <w:rPr>
                <w:rFonts w:ascii="TH Sarabun New" w:hAnsi="TH Sarabun New" w:eastAsia="TH Sarabun New"/>
                <w:b w:val="0"/>
                <w:sz w:val="19"/>
              </w:rPr>
              <w:t>6. ความเสี่ยงการนำไปปฏิบัติ (สูง = เสี่ยงต่ำ)</w:t>
            </w:r>
          </w:p>
        </w:tc>
        <w:tc>
          <w:tcPr>
            <w:tcW w:type="dxa" w:w="700"/>
            <w:vAlign w:val="center"/>
          </w:tcPr>
          <w:p>
            <w:pPr>
              <w:spacing w:before="0" w:after="0" w:line="240" w:lineRule="auto"/>
              <w:jc w:val="center"/>
            </w:pPr>
            <w:r>
              <w:rPr>
                <w:rFonts w:ascii="TH Sarabun New" w:hAnsi="TH Sarabun New" w:eastAsia="TH Sarabun New"/>
                <w:b w:val="0"/>
                <w:sz w:val="19"/>
              </w:rPr>
              <w:t>0.10</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0.20</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0.20</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0.20</w:t>
            </w:r>
          </w:p>
        </w:tc>
      </w:tr>
      <w:tr>
        <w:trPr/>
        <w:tc>
          <w:tcPr>
            <w:tcW w:type="dxa" w:w="3000"/>
            <w:vAlign w:val="center"/>
          </w:tcPr>
          <w:p>
            <w:pPr>
              <w:spacing w:before="0" w:after="0" w:line="240" w:lineRule="auto"/>
              <w:jc w:val="left"/>
            </w:pPr>
            <w:r>
              <w:rPr>
                <w:rFonts w:ascii="TH Sarabun New" w:hAnsi="TH Sarabun New" w:eastAsia="TH Sarabun New"/>
                <w:b w:val="0"/>
                <w:sz w:val="19"/>
              </w:rPr>
              <w:t>7. ความเร็วสู่ผลลัพธ์</w:t>
            </w:r>
          </w:p>
        </w:tc>
        <w:tc>
          <w:tcPr>
            <w:tcW w:type="dxa" w:w="700"/>
            <w:vAlign w:val="center"/>
          </w:tcPr>
          <w:p>
            <w:pPr>
              <w:spacing w:before="0" w:after="0" w:line="240" w:lineRule="auto"/>
              <w:jc w:val="center"/>
            </w:pPr>
            <w:r>
              <w:rPr>
                <w:rFonts w:ascii="TH Sarabun New" w:hAnsi="TH Sarabun New" w:eastAsia="TH Sarabun New"/>
                <w:b w:val="0"/>
                <w:sz w:val="19"/>
              </w:rPr>
              <w:t>0.10</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0.20</w:t>
            </w:r>
          </w:p>
        </w:tc>
        <w:tc>
          <w:tcPr>
            <w:tcW w:type="dxa" w:w="650"/>
            <w:vAlign w:val="center"/>
          </w:tcPr>
          <w:p>
            <w:pPr>
              <w:spacing w:before="0" w:after="0" w:line="240" w:lineRule="auto"/>
              <w:jc w:val="center"/>
            </w:pPr>
            <w:r>
              <w:rPr>
                <w:rFonts w:ascii="TH Sarabun New" w:hAnsi="TH Sarabun New" w:eastAsia="TH Sarabun New"/>
                <w:b w:val="0"/>
                <w:sz w:val="19"/>
              </w:rPr>
              <w:t>2</w:t>
            </w:r>
          </w:p>
        </w:tc>
        <w:tc>
          <w:tcPr>
            <w:tcW w:type="dxa" w:w="700"/>
            <w:vAlign w:val="center"/>
          </w:tcPr>
          <w:p>
            <w:pPr>
              <w:spacing w:before="0" w:after="0" w:line="240" w:lineRule="auto"/>
              <w:jc w:val="center"/>
            </w:pPr>
            <w:r>
              <w:rPr>
                <w:rFonts w:ascii="TH Sarabun New" w:hAnsi="TH Sarabun New" w:eastAsia="TH Sarabun New"/>
                <w:b w:val="0"/>
                <w:sz w:val="19"/>
              </w:rPr>
              <w:t>0.20</w:t>
            </w:r>
          </w:p>
        </w:tc>
        <w:tc>
          <w:tcPr>
            <w:tcW w:type="dxa" w:w="650"/>
            <w:vAlign w:val="center"/>
          </w:tcPr>
          <w:p>
            <w:pPr>
              <w:spacing w:before="0" w:after="0" w:line="240" w:lineRule="auto"/>
              <w:jc w:val="center"/>
            </w:pPr>
            <w:r>
              <w:rPr>
                <w:rFonts w:ascii="TH Sarabun New" w:hAnsi="TH Sarabun New" w:eastAsia="TH Sarabun New"/>
                <w:b w:val="0"/>
                <w:sz w:val="19"/>
              </w:rPr>
              <w:t>3</w:t>
            </w:r>
          </w:p>
        </w:tc>
        <w:tc>
          <w:tcPr>
            <w:tcW w:type="dxa" w:w="700"/>
            <w:vAlign w:val="center"/>
          </w:tcPr>
          <w:p>
            <w:pPr>
              <w:spacing w:before="0" w:after="0" w:line="240" w:lineRule="auto"/>
              <w:jc w:val="center"/>
            </w:pPr>
            <w:r>
              <w:rPr>
                <w:rFonts w:ascii="TH Sarabun New" w:hAnsi="TH Sarabun New" w:eastAsia="TH Sarabun New"/>
                <w:b w:val="0"/>
                <w:sz w:val="19"/>
              </w:rPr>
              <w:t>0.30</w:t>
            </w:r>
          </w:p>
        </w:tc>
      </w:tr>
      <w:tr>
        <w:trPr/>
        <w:tc>
          <w:tcPr>
            <w:tcW w:type="dxa" w:w="3000"/>
            <w:vAlign w:val="center"/>
            <w:shd w:fill="FCE4D6"/>
          </w:tcPr>
          <w:p>
            <w:pPr>
              <w:spacing w:before="0" w:after="0" w:line="240" w:lineRule="auto"/>
              <w:jc w:val="left"/>
            </w:pPr>
            <w:r>
              <w:rPr>
                <w:rFonts w:ascii="TH Sarabun New" w:hAnsi="TH Sarabun New" w:eastAsia="TH Sarabun New"/>
                <w:b w:val="0"/>
                <w:sz w:val="19"/>
              </w:rPr>
              <w:t>รวม (กรณีฐาน)</w:t>
            </w:r>
          </w:p>
        </w:tc>
        <w:tc>
          <w:tcPr>
            <w:tcW w:type="dxa" w:w="700"/>
            <w:vAlign w:val="center"/>
            <w:shd w:fill="FCE4D6"/>
          </w:tcPr>
          <w:p>
            <w:pPr>
              <w:spacing w:before="0" w:after="0" w:line="240" w:lineRule="auto"/>
              <w:jc w:val="center"/>
            </w:pPr>
            <w:r>
              <w:rPr>
                <w:rFonts w:ascii="TH Sarabun New" w:hAnsi="TH Sarabun New" w:eastAsia="TH Sarabun New"/>
                <w:b w:val="0"/>
                <w:sz w:val="19"/>
              </w:rPr>
              <w:t>1.00</w:t>
            </w:r>
          </w:p>
        </w:tc>
        <w:tc>
          <w:tcPr>
            <w:tcW w:type="dxa" w:w="650"/>
            <w:vAlign w:val="center"/>
            <w:shd w:fill="FCE4D6"/>
          </w:tcPr>
          <w:p>
            <w:pPr>
              <w:spacing w:before="0" w:after="0" w:line="240" w:lineRule="auto"/>
              <w:jc w:val="center"/>
            </w:pPr>
            <w:r>
              <w:rPr>
                <w:rFonts w:ascii="TH Sarabun New" w:hAnsi="TH Sarabun New" w:eastAsia="TH Sarabun New"/>
                <w:b w:val="0"/>
                <w:sz w:val="19"/>
              </w:rPr>
            </w:r>
          </w:p>
        </w:tc>
        <w:tc>
          <w:tcPr>
            <w:tcW w:type="dxa" w:w="700"/>
            <w:vAlign w:val="center"/>
            <w:shd w:fill="FCE4D6"/>
          </w:tcPr>
          <w:p>
            <w:pPr>
              <w:spacing w:before="0" w:after="0" w:line="240" w:lineRule="auto"/>
              <w:jc w:val="center"/>
            </w:pPr>
            <w:r>
              <w:rPr>
                <w:rFonts w:ascii="TH Sarabun New" w:hAnsi="TH Sarabun New" w:eastAsia="TH Sarabun New"/>
                <w:b w:val="0"/>
                <w:sz w:val="19"/>
              </w:rPr>
              <w:t>2.15</w:t>
            </w:r>
          </w:p>
        </w:tc>
        <w:tc>
          <w:tcPr>
            <w:tcW w:type="dxa" w:w="650"/>
            <w:vAlign w:val="center"/>
            <w:shd w:fill="FCE4D6"/>
          </w:tcPr>
          <w:p>
            <w:pPr>
              <w:spacing w:before="0" w:after="0" w:line="240" w:lineRule="auto"/>
              <w:jc w:val="center"/>
            </w:pPr>
            <w:r>
              <w:rPr>
                <w:rFonts w:ascii="TH Sarabun New" w:hAnsi="TH Sarabun New" w:eastAsia="TH Sarabun New"/>
                <w:b w:val="0"/>
                <w:sz w:val="19"/>
              </w:rPr>
            </w:r>
          </w:p>
        </w:tc>
        <w:tc>
          <w:tcPr>
            <w:tcW w:type="dxa" w:w="700"/>
            <w:vAlign w:val="center"/>
            <w:shd w:fill="FCE4D6"/>
          </w:tcPr>
          <w:p>
            <w:pPr>
              <w:spacing w:before="0" w:after="0" w:line="240" w:lineRule="auto"/>
              <w:jc w:val="center"/>
            </w:pPr>
            <w:r>
              <w:rPr>
                <w:rFonts w:ascii="TH Sarabun New" w:hAnsi="TH Sarabun New" w:eastAsia="TH Sarabun New"/>
                <w:b w:val="0"/>
                <w:sz w:val="19"/>
              </w:rPr>
              <w:t>2.70</w:t>
            </w:r>
          </w:p>
        </w:tc>
        <w:tc>
          <w:tcPr>
            <w:tcW w:type="dxa" w:w="650"/>
            <w:vAlign w:val="center"/>
            <w:shd w:fill="FCE4D6"/>
          </w:tcPr>
          <w:p>
            <w:pPr>
              <w:spacing w:before="0" w:after="0" w:line="240" w:lineRule="auto"/>
              <w:jc w:val="center"/>
            </w:pPr>
            <w:r>
              <w:rPr>
                <w:rFonts w:ascii="TH Sarabun New" w:hAnsi="TH Sarabun New" w:eastAsia="TH Sarabun New"/>
                <w:b w:val="0"/>
                <w:sz w:val="19"/>
              </w:rPr>
            </w:r>
          </w:p>
        </w:tc>
        <w:tc>
          <w:tcPr>
            <w:tcW w:type="dxa" w:w="700"/>
            <w:vAlign w:val="center"/>
            <w:shd w:fill="FCE4D6"/>
          </w:tcPr>
          <w:p>
            <w:pPr>
              <w:spacing w:before="0" w:after="0" w:line="240" w:lineRule="auto"/>
              <w:jc w:val="center"/>
            </w:pPr>
            <w:r>
              <w:rPr>
                <w:rFonts w:ascii="TH Sarabun New" w:hAnsi="TH Sarabun New" w:eastAsia="TH Sarabun New"/>
                <w:b w:val="0"/>
                <w:sz w:val="19"/>
              </w:rPr>
              <w:t>3.90</w:t>
            </w:r>
          </w:p>
        </w:tc>
      </w:tr>
      <w:tr>
        <w:trPr/>
        <w:tc>
          <w:tcPr>
            <w:tcW w:type="dxa" w:w="700"/>
            <w:gridSpan w:val="8"/>
            <w:vAlign w:val="center"/>
            <w:shd w:fill="F2F2F2"/>
          </w:tcPr>
          <w:p>
            <w:pPr>
              <w:spacing w:before="0" w:after="0" w:line="240" w:lineRule="auto"/>
              <w:jc w:val="center"/>
            </w:pPr>
            <w:r>
              <w:rPr>
                <w:rFonts w:ascii="TH Sarabun New" w:hAnsi="TH Sarabun New" w:eastAsia="TH Sarabun New"/>
                <w:b w:val="0"/>
                <w:sz w:val="19"/>
              </w:rPr>
              <w:t>การทดสอบความไว</w:t>
            </w:r>
          </w:p>
        </w:tc>
      </w:tr>
      <w:tr>
        <w:trPr/>
        <w:tc>
          <w:tcPr>
            <w:tcW w:type="dxa" w:w="3000"/>
            <w:vAlign w:val="center"/>
            <w:shd w:fill="FCE4D6"/>
          </w:tcPr>
          <w:p>
            <w:pPr>
              <w:spacing w:before="0" w:after="0" w:line="240" w:lineRule="auto"/>
              <w:jc w:val="left"/>
            </w:pPr>
            <w:r>
              <w:rPr>
                <w:rFonts w:ascii="TH Sarabun New" w:hAnsi="TH Sarabun New" w:eastAsia="TH Sarabun New"/>
                <w:b w:val="0"/>
                <w:sz w:val="19"/>
              </w:rPr>
              <w:t>กรณี 1: ตลาด 0.30; ความสอดคล้อง 0.05</w:t>
            </w:r>
          </w:p>
        </w:tc>
        <w:tc>
          <w:tcPr>
            <w:tcW w:type="dxa" w:w="700"/>
            <w:vAlign w:val="center"/>
            <w:shd w:fill="FCE4D6"/>
          </w:tcPr>
          <w:p>
            <w:pPr>
              <w:spacing w:before="0" w:after="0" w:line="240" w:lineRule="auto"/>
              <w:jc w:val="center"/>
            </w:pPr>
            <w:r>
              <w:rPr>
                <w:rFonts w:ascii="TH Sarabun New" w:hAnsi="TH Sarabun New" w:eastAsia="TH Sarabun New"/>
                <w:b w:val="0"/>
                <w:sz w:val="19"/>
              </w:rPr>
              <w:t>1.00</w:t>
            </w:r>
          </w:p>
        </w:tc>
        <w:tc>
          <w:tcPr>
            <w:tcW w:type="dxa" w:w="650"/>
            <w:vAlign w:val="center"/>
            <w:shd w:fill="FCE4D6"/>
          </w:tcPr>
          <w:p>
            <w:pPr>
              <w:spacing w:before="0" w:after="0" w:line="240" w:lineRule="auto"/>
              <w:jc w:val="center"/>
            </w:pPr>
            <w:r>
              <w:rPr>
                <w:rFonts w:ascii="TH Sarabun New" w:hAnsi="TH Sarabun New" w:eastAsia="TH Sarabun New"/>
                <w:b w:val="0"/>
                <w:sz w:val="19"/>
              </w:rPr>
            </w:r>
          </w:p>
        </w:tc>
        <w:tc>
          <w:tcPr>
            <w:tcW w:type="dxa" w:w="700"/>
            <w:vAlign w:val="center"/>
            <w:shd w:fill="FCE4D6"/>
          </w:tcPr>
          <w:p>
            <w:pPr>
              <w:spacing w:before="0" w:after="0" w:line="240" w:lineRule="auto"/>
              <w:jc w:val="center"/>
            </w:pPr>
            <w:r>
              <w:rPr>
                <w:rFonts w:ascii="TH Sarabun New" w:hAnsi="TH Sarabun New" w:eastAsia="TH Sarabun New"/>
                <w:b w:val="0"/>
                <w:sz w:val="19"/>
              </w:rPr>
              <w:t>2.30</w:t>
            </w:r>
          </w:p>
        </w:tc>
        <w:tc>
          <w:tcPr>
            <w:tcW w:type="dxa" w:w="650"/>
            <w:vAlign w:val="center"/>
            <w:shd w:fill="FCE4D6"/>
          </w:tcPr>
          <w:p>
            <w:pPr>
              <w:spacing w:before="0" w:after="0" w:line="240" w:lineRule="auto"/>
              <w:jc w:val="center"/>
            </w:pPr>
            <w:r>
              <w:rPr>
                <w:rFonts w:ascii="TH Sarabun New" w:hAnsi="TH Sarabun New" w:eastAsia="TH Sarabun New"/>
                <w:b w:val="0"/>
                <w:sz w:val="19"/>
              </w:rPr>
            </w:r>
          </w:p>
        </w:tc>
        <w:tc>
          <w:tcPr>
            <w:tcW w:type="dxa" w:w="700"/>
            <w:vAlign w:val="center"/>
            <w:shd w:fill="FCE4D6"/>
          </w:tcPr>
          <w:p>
            <w:pPr>
              <w:spacing w:before="0" w:after="0" w:line="240" w:lineRule="auto"/>
              <w:jc w:val="center"/>
            </w:pPr>
            <w:r>
              <w:rPr>
                <w:rFonts w:ascii="TH Sarabun New" w:hAnsi="TH Sarabun New" w:eastAsia="TH Sarabun New"/>
                <w:b w:val="0"/>
                <w:sz w:val="19"/>
              </w:rPr>
              <w:t>3.00</w:t>
            </w:r>
          </w:p>
        </w:tc>
        <w:tc>
          <w:tcPr>
            <w:tcW w:type="dxa" w:w="650"/>
            <w:vAlign w:val="center"/>
            <w:shd w:fill="FCE4D6"/>
          </w:tcPr>
          <w:p>
            <w:pPr>
              <w:spacing w:before="0" w:after="0" w:line="240" w:lineRule="auto"/>
              <w:jc w:val="center"/>
            </w:pPr>
            <w:r>
              <w:rPr>
                <w:rFonts w:ascii="TH Sarabun New" w:hAnsi="TH Sarabun New" w:eastAsia="TH Sarabun New"/>
                <w:b w:val="0"/>
                <w:sz w:val="19"/>
              </w:rPr>
            </w:r>
          </w:p>
        </w:tc>
        <w:tc>
          <w:tcPr>
            <w:tcW w:type="dxa" w:w="700"/>
            <w:vAlign w:val="center"/>
            <w:shd w:fill="FCE4D6"/>
          </w:tcPr>
          <w:p>
            <w:pPr>
              <w:spacing w:before="0" w:after="0" w:line="240" w:lineRule="auto"/>
              <w:jc w:val="center"/>
            </w:pPr>
            <w:r>
              <w:rPr>
                <w:rFonts w:ascii="TH Sarabun New" w:hAnsi="TH Sarabun New" w:eastAsia="TH Sarabun New"/>
                <w:b w:val="0"/>
                <w:sz w:val="19"/>
              </w:rPr>
              <w:t>3.75</w:t>
            </w:r>
          </w:p>
        </w:tc>
      </w:tr>
      <w:tr>
        <w:trPr/>
        <w:tc>
          <w:tcPr>
            <w:tcW w:type="dxa" w:w="3000"/>
            <w:vAlign w:val="center"/>
            <w:shd w:fill="FCE4D6"/>
          </w:tcPr>
          <w:p>
            <w:pPr>
              <w:spacing w:before="0" w:after="0" w:line="240" w:lineRule="auto"/>
              <w:jc w:val="left"/>
            </w:pPr>
            <w:r>
              <w:rPr>
                <w:rFonts w:ascii="TH Sarabun New" w:hAnsi="TH Sarabun New" w:eastAsia="TH Sarabun New"/>
                <w:b w:val="0"/>
                <w:sz w:val="19"/>
              </w:rPr>
              <w:t>กรณี 2: ลดคะแนน margin ของ C จาก 4 เป็น 2</w:t>
            </w:r>
          </w:p>
        </w:tc>
        <w:tc>
          <w:tcPr>
            <w:tcW w:type="dxa" w:w="700"/>
            <w:vAlign w:val="center"/>
            <w:shd w:fill="FCE4D6"/>
          </w:tcPr>
          <w:p>
            <w:pPr>
              <w:spacing w:before="0" w:after="0" w:line="240" w:lineRule="auto"/>
              <w:jc w:val="center"/>
            </w:pPr>
            <w:r>
              <w:rPr>
                <w:rFonts w:ascii="TH Sarabun New" w:hAnsi="TH Sarabun New" w:eastAsia="TH Sarabun New"/>
                <w:b w:val="0"/>
                <w:sz w:val="19"/>
              </w:rPr>
              <w:t>1.00</w:t>
            </w:r>
          </w:p>
        </w:tc>
        <w:tc>
          <w:tcPr>
            <w:tcW w:type="dxa" w:w="650"/>
            <w:vAlign w:val="center"/>
            <w:shd w:fill="FCE4D6"/>
          </w:tcPr>
          <w:p>
            <w:pPr>
              <w:spacing w:before="0" w:after="0" w:line="240" w:lineRule="auto"/>
              <w:jc w:val="center"/>
            </w:pPr>
            <w:r>
              <w:rPr>
                <w:rFonts w:ascii="TH Sarabun New" w:hAnsi="TH Sarabun New" w:eastAsia="TH Sarabun New"/>
                <w:b w:val="0"/>
                <w:sz w:val="19"/>
              </w:rPr>
            </w:r>
          </w:p>
        </w:tc>
        <w:tc>
          <w:tcPr>
            <w:tcW w:type="dxa" w:w="700"/>
            <w:vAlign w:val="center"/>
            <w:shd w:fill="FCE4D6"/>
          </w:tcPr>
          <w:p>
            <w:pPr>
              <w:spacing w:before="0" w:after="0" w:line="240" w:lineRule="auto"/>
              <w:jc w:val="center"/>
            </w:pPr>
            <w:r>
              <w:rPr>
                <w:rFonts w:ascii="TH Sarabun New" w:hAnsi="TH Sarabun New" w:eastAsia="TH Sarabun New"/>
                <w:b w:val="0"/>
                <w:sz w:val="19"/>
              </w:rPr>
              <w:t>2.15</w:t>
            </w:r>
          </w:p>
        </w:tc>
        <w:tc>
          <w:tcPr>
            <w:tcW w:type="dxa" w:w="650"/>
            <w:vAlign w:val="center"/>
            <w:shd w:fill="FCE4D6"/>
          </w:tcPr>
          <w:p>
            <w:pPr>
              <w:spacing w:before="0" w:after="0" w:line="240" w:lineRule="auto"/>
              <w:jc w:val="center"/>
            </w:pPr>
            <w:r>
              <w:rPr>
                <w:rFonts w:ascii="TH Sarabun New" w:hAnsi="TH Sarabun New" w:eastAsia="TH Sarabun New"/>
                <w:b w:val="0"/>
                <w:sz w:val="19"/>
              </w:rPr>
            </w:r>
          </w:p>
        </w:tc>
        <w:tc>
          <w:tcPr>
            <w:tcW w:type="dxa" w:w="700"/>
            <w:vAlign w:val="center"/>
            <w:shd w:fill="FCE4D6"/>
          </w:tcPr>
          <w:p>
            <w:pPr>
              <w:spacing w:before="0" w:after="0" w:line="240" w:lineRule="auto"/>
              <w:jc w:val="center"/>
            </w:pPr>
            <w:r>
              <w:rPr>
                <w:rFonts w:ascii="TH Sarabun New" w:hAnsi="TH Sarabun New" w:eastAsia="TH Sarabun New"/>
                <w:b w:val="0"/>
                <w:sz w:val="19"/>
              </w:rPr>
              <w:t>2.70</w:t>
            </w:r>
          </w:p>
        </w:tc>
        <w:tc>
          <w:tcPr>
            <w:tcW w:type="dxa" w:w="650"/>
            <w:vAlign w:val="center"/>
            <w:shd w:fill="FCE4D6"/>
          </w:tcPr>
          <w:p>
            <w:pPr>
              <w:spacing w:before="0" w:after="0" w:line="240" w:lineRule="auto"/>
              <w:jc w:val="center"/>
            </w:pPr>
            <w:r>
              <w:rPr>
                <w:rFonts w:ascii="TH Sarabun New" w:hAnsi="TH Sarabun New" w:eastAsia="TH Sarabun New"/>
                <w:b w:val="0"/>
                <w:sz w:val="19"/>
              </w:rPr>
            </w:r>
          </w:p>
        </w:tc>
        <w:tc>
          <w:tcPr>
            <w:tcW w:type="dxa" w:w="700"/>
            <w:vAlign w:val="center"/>
            <w:shd w:fill="FCE4D6"/>
          </w:tcPr>
          <w:p>
            <w:pPr>
              <w:spacing w:before="0" w:after="0" w:line="240" w:lineRule="auto"/>
              <w:jc w:val="center"/>
            </w:pPr>
            <w:r>
              <w:rPr>
                <w:rFonts w:ascii="TH Sarabun New" w:hAnsi="TH Sarabun New" w:eastAsia="TH Sarabun New"/>
                <w:b w:val="0"/>
                <w:sz w:val="19"/>
              </w:rPr>
              <w:t>3.50</w:t>
            </w:r>
          </w:p>
        </w:tc>
      </w:tr>
      <w:tr>
        <w:trPr/>
        <w:tc>
          <w:tcPr>
            <w:tcW w:type="dxa" w:w="3000"/>
            <w:vAlign w:val="center"/>
            <w:shd w:fill="FCE4D6"/>
          </w:tcPr>
          <w:p>
            <w:pPr>
              <w:spacing w:before="0" w:after="0" w:line="240" w:lineRule="auto"/>
              <w:jc w:val="left"/>
            </w:pPr>
            <w:r>
              <w:rPr>
                <w:rFonts w:ascii="TH Sarabun New" w:hAnsi="TH Sarabun New" w:eastAsia="TH Sarabun New"/>
                <w:b w:val="0"/>
                <w:sz w:val="19"/>
              </w:rPr>
              <w:t>กรณี 3: B ได้ตลาดและ margin = 5</w:t>
            </w:r>
          </w:p>
        </w:tc>
        <w:tc>
          <w:tcPr>
            <w:tcW w:type="dxa" w:w="700"/>
            <w:vAlign w:val="center"/>
            <w:shd w:fill="FCE4D6"/>
          </w:tcPr>
          <w:p>
            <w:pPr>
              <w:spacing w:before="0" w:after="0" w:line="240" w:lineRule="auto"/>
              <w:jc w:val="center"/>
            </w:pPr>
            <w:r>
              <w:rPr>
                <w:rFonts w:ascii="TH Sarabun New" w:hAnsi="TH Sarabun New" w:eastAsia="TH Sarabun New"/>
                <w:b w:val="0"/>
                <w:sz w:val="19"/>
              </w:rPr>
              <w:t>1.00</w:t>
            </w:r>
          </w:p>
        </w:tc>
        <w:tc>
          <w:tcPr>
            <w:tcW w:type="dxa" w:w="650"/>
            <w:vAlign w:val="center"/>
            <w:shd w:fill="FCE4D6"/>
          </w:tcPr>
          <w:p>
            <w:pPr>
              <w:spacing w:before="0" w:after="0" w:line="240" w:lineRule="auto"/>
              <w:jc w:val="center"/>
            </w:pPr>
            <w:r>
              <w:rPr>
                <w:rFonts w:ascii="TH Sarabun New" w:hAnsi="TH Sarabun New" w:eastAsia="TH Sarabun New"/>
                <w:b w:val="0"/>
                <w:sz w:val="19"/>
              </w:rPr>
            </w:r>
          </w:p>
        </w:tc>
        <w:tc>
          <w:tcPr>
            <w:tcW w:type="dxa" w:w="700"/>
            <w:vAlign w:val="center"/>
            <w:shd w:fill="FCE4D6"/>
          </w:tcPr>
          <w:p>
            <w:pPr>
              <w:spacing w:before="0" w:after="0" w:line="240" w:lineRule="auto"/>
              <w:jc w:val="center"/>
            </w:pPr>
            <w:r>
              <w:rPr>
                <w:rFonts w:ascii="TH Sarabun New" w:hAnsi="TH Sarabun New" w:eastAsia="TH Sarabun New"/>
                <w:b w:val="0"/>
                <w:sz w:val="19"/>
              </w:rPr>
              <w:t>2.15</w:t>
            </w:r>
          </w:p>
        </w:tc>
        <w:tc>
          <w:tcPr>
            <w:tcW w:type="dxa" w:w="650"/>
            <w:vAlign w:val="center"/>
            <w:shd w:fill="FCE4D6"/>
          </w:tcPr>
          <w:p>
            <w:pPr>
              <w:spacing w:before="0" w:after="0" w:line="240" w:lineRule="auto"/>
              <w:jc w:val="center"/>
            </w:pPr>
            <w:r>
              <w:rPr>
                <w:rFonts w:ascii="TH Sarabun New" w:hAnsi="TH Sarabun New" w:eastAsia="TH Sarabun New"/>
                <w:b w:val="0"/>
                <w:sz w:val="19"/>
              </w:rPr>
            </w:r>
          </w:p>
        </w:tc>
        <w:tc>
          <w:tcPr>
            <w:tcW w:type="dxa" w:w="700"/>
            <w:vAlign w:val="center"/>
            <w:shd w:fill="FCE4D6"/>
          </w:tcPr>
          <w:p>
            <w:pPr>
              <w:spacing w:before="0" w:after="0" w:line="240" w:lineRule="auto"/>
              <w:jc w:val="center"/>
            </w:pPr>
            <w:r>
              <w:rPr>
                <w:rFonts w:ascii="TH Sarabun New" w:hAnsi="TH Sarabun New" w:eastAsia="TH Sarabun New"/>
                <w:b w:val="0"/>
                <w:sz w:val="19"/>
              </w:rPr>
              <w:t>3.05</w:t>
            </w:r>
          </w:p>
        </w:tc>
        <w:tc>
          <w:tcPr>
            <w:tcW w:type="dxa" w:w="650"/>
            <w:vAlign w:val="center"/>
            <w:shd w:fill="FCE4D6"/>
          </w:tcPr>
          <w:p>
            <w:pPr>
              <w:spacing w:before="0" w:after="0" w:line="240" w:lineRule="auto"/>
              <w:jc w:val="center"/>
            </w:pPr>
            <w:r>
              <w:rPr>
                <w:rFonts w:ascii="TH Sarabun New" w:hAnsi="TH Sarabun New" w:eastAsia="TH Sarabun New"/>
                <w:b w:val="0"/>
                <w:sz w:val="19"/>
              </w:rPr>
            </w:r>
          </w:p>
        </w:tc>
        <w:tc>
          <w:tcPr>
            <w:tcW w:type="dxa" w:w="700"/>
            <w:vAlign w:val="center"/>
            <w:shd w:fill="FCE4D6"/>
          </w:tcPr>
          <w:p>
            <w:pPr>
              <w:spacing w:before="0" w:after="0" w:line="240" w:lineRule="auto"/>
              <w:jc w:val="center"/>
            </w:pPr>
            <w:r>
              <w:rPr>
                <w:rFonts w:ascii="TH Sarabun New" w:hAnsi="TH Sarabun New" w:eastAsia="TH Sarabun New"/>
                <w:b w:val="0"/>
                <w:sz w:val="19"/>
              </w:rPr>
              <w:t>3.90</w:t>
            </w:r>
          </w:p>
        </w:tc>
      </w:tr>
    </w:tbl>
    <w:p>
      <w:r>
        <w:rPr>
          <w:rFonts w:ascii="TH Sarabun New" w:hAnsi="TH Sarabun New" w:eastAsia="TH Sarabun New"/>
          <w:i/>
          <w:color w:val="666666"/>
          <w:sz w:val="20"/>
        </w:rPr>
        <w:t>ที่มา: SFAS/TOWS/competitor evidence; weights/scores/sensitivity คำนวณโดยผู้จัดทำ</w:t>
      </w:r>
    </w:p>
    <w:p>
      <w:pPr>
        <w:spacing w:after="110" w:line="228"/>
        <w:jc w:val="left"/>
      </w:pPr>
      <w:r>
        <w:rPr>
          <w:rFonts w:ascii="TH Sarabun New" w:cs="TH Sarabun New" w:eastAsia="TH Sarabun New" w:hAnsi="TH Sarabun New"/>
          <w:b w:val="false"/>
          <w:bCs w:val="false"/>
          <w:i w:val="false"/>
          <w:iCs w:val="false"/>
          <w:sz w:val="26"/>
          <w:szCs w:val="26"/>
        </w:rPr>
        <w:t xml:space="preserve">หมายเหตุ: A = การเร่งปริมาณงานรับจ้างผลิตเพื่อส่งออก, B = แบรนด์ของตนเองแบบ D2C, C = โซลูชันเครื่องแบบและชุดทำงานเชิงฟังก์ชัน  คะแนน 1–5 เป็นการประเมินของผู้จัดทำจากหลักฐานในตารางที่ 6–7 และบทที่ 2</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คำอธิบายคะแนนที่อาจถูกตั้งคำถาม</w:t>
      </w:r>
      <w:r>
        <w:rPr>
          <w:rFonts w:ascii="TH Sarabun New" w:cs="TH Sarabun New" w:eastAsia="TH Sarabun New" w:hAnsi="TH Sarabun New"/>
          <w:b w:val="false"/>
          <w:bCs w:val="false"/>
          <w:i w:val="false"/>
          <w:iCs w:val="false"/>
          <w:sz w:val="32"/>
          <w:szCs w:val="32"/>
        </w:rPr>
        <w:t xml:space="preserve"> เกณฑ์ที่ 3 ทางเลือก B ได้ 4 เท่ากับ C แม้อัตรากำไรขั้นต้นสูงกว่า เพราะอัตรากำไรของ Sabina และ MC Group มาพร้อมค่าใช้จ่ายการตลาดสูงมาก จึงเทียบตรงกับโมเดล B2B ไม่ได้ เกณฑ์ที่ 2 ทางเลือก C ได้ 4 ไม่ใช่ 5 เพราะตลาดในประเทศยังอ่อนแอ และเกณฑ์ที่ 6 ได้ 3 เพราะวงจรการขาย B2B ยาวและเสี่ยงความขัดแย้งช่องทางกับ I.C.C.</w:t>
      </w:r>
    </w:p>
    <w:p>
      <w:pPr>
        <w:keepNext w:val="false"/>
        <w:spacing w:after="50" w:line="240"/>
        <w:ind w:firstLine="480"/>
        <w:jc w:val="both"/>
      </w:pPr>
      <w:r>
        <w:rPr>
          <w:rFonts w:ascii="TH Sarabun New" w:hAnsi="TH Sarabun New" w:eastAsia="TH Sarabun New"/>
          <w:sz w:val="32"/>
        </w:rPr>
        <w:t>นัยเชิงกลยุทธ์ต่อ PG: C ยังชนะหลังลดคะแนนความเสี่ยง และ A ได้คะแนนตลาดสูงขึ้นตามข้อมูล OIE จึงไม่ได้ออกแบบคะแนนเพื่อให้ C ชนะ ความได้เปรียบของ C มาจาก resource fit, margin potential, investment discipline และการแข่งขันที่หลีกเลี่ยง scale race ส่วน sensitivity test แสดงว่าผลไม่ขึ้นกับสมมติฐานเดียว</w:t>
      </w:r>
    </w:p>
    <w:p>
      <w:pPr>
        <w:pStyle w:val="Heading2"/>
        <w:keepNext/>
        <w:spacing w:after="70" w:before="150"/>
      </w:pPr>
      <w:r>
        <w:rPr>
          <w:rFonts w:ascii="TH Sarabun New" w:hAnsi="TH Sarabun New" w:eastAsia="TH Sarabun New"/>
          <w:b/>
          <w:color w:val="2F5597"/>
          <w:sz w:val="32"/>
        </w:rPr>
        <w:t>4.6 กลยุทธ์ที่แนะนำ (Recommended Strategy)</w:t>
      </w:r>
    </w:p>
    <w:p>
      <w:pPr>
        <w:keepNext w:val="false"/>
        <w:spacing w:after="50" w:line="240"/>
        <w:ind w:firstLine="480"/>
        <w:jc w:val="both"/>
      </w:pPr>
      <w:r>
        <w:rPr>
          <w:rFonts w:ascii="TH Sarabun New" w:hAnsi="TH Sarabun New" w:eastAsia="TH Sarabun New"/>
          <w:sz w:val="32"/>
        </w:rPr>
        <w:t>ประเด็นเชิงกลยุทธ์: PG มีฐานะการเงินแข็งแรง มาตรฐานภายนอก การผลิตแบบบูรณาการ และเครือข่ายผู้ถือหุ้นเป็นฐาน แต่ core proxy ติดลบต่อเนื่อง ขณะที่ลูกค้า/ช่องทางกระจุกตัวและการปรับค่าใช้จ่ายตามยอดขายทำได้ช้า จากข้อมูลสาธารณะที่ตรวจสอบ ไม่พบหลักฐานเพียงพอว่ามีกลไก profitability gate รายลูกค้า/SKU จึงต้องเลือกสนามที่คุณสมบัติและบริการสร้างมูลค่าได้มากกว่าต้นทุน พร้อมจัดโครงสร้างผู้รับผิดชอบและทุนใหม่ ข้อสรุปนี้เป็นการอนุมานจาก [1]–[4] และตารางที่ 7–16</w:t>
      </w:r>
    </w:p>
    <w:p>
      <w:pPr>
        <w:keepNext w:val="false"/>
        <w:spacing w:after="50" w:line="240"/>
        <w:ind w:firstLine="480"/>
        <w:jc w:val="both"/>
      </w:pPr>
      <w:r>
        <w:rPr>
          <w:rFonts w:ascii="TH Sarabun New" w:hAnsi="TH Sarabun New" w:eastAsia="TH Sarabun New"/>
          <w:sz w:val="32"/>
        </w:rPr>
        <w:t>นัยเชิงกลยุทธ์ต่อ PG: กลยุทธ์ที่แนะนำคือ Focused Turnaround + Concentrated Growth ภายใต้ Focused Differentiation มุ่ง functional uniform/workwear/medical และ selected high-value ODM โดยพัฒนา 4 concepts แต่ให้เพียง 2 แพลตฟอร์มที่ผ่าน Gate 1 เข้าสู่ commercial validation ก่อน เพื่อลดการกระจายทรัพยากร</w:t>
      </w:r>
    </w:p>
    <w:p>
      <w:pPr>
        <w:pStyle w:val="Heading2"/>
      </w:pPr>
      <w:r>
        <w:rPr>
          <w:rFonts w:ascii="TH Sarabun New" w:hAnsi="TH Sarabun New" w:eastAsia="TH Sarabun New"/>
          <w:b/>
          <w:color w:val="2F5597"/>
          <w:sz w:val="32"/>
        </w:rPr>
        <w:t>4.7 กลยุทธ์ระดับองค์กร ธุรกิจ และหน้าที่</w:t>
      </w:r>
    </w:p>
    <w:p>
      <w:pPr>
        <w:pStyle w:val="Heading3"/>
        <w:keepNext/>
        <w:spacing w:after="70" w:before="150"/>
      </w:pPr>
      <w:r>
        <w:rPr>
          <w:rFonts w:ascii="TH Sarabun New" w:hAnsi="TH Sarabun New" w:eastAsia="TH Sarabun New"/>
          <w:b/>
          <w:color w:val="2F5597"/>
          <w:sz w:val="30"/>
        </w:rPr>
        <w:t>4.7.1 กลยุทธ์ระดับองค์กร (Corporate Strategy)</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กลยุทธ์ระดับองค์กรมีสองส่วนที่ดำเนินคู่ขนานแต่ลำดับความสำคัญต่างกัน ส่วนแรกคือ </w:t>
      </w:r>
      <w:r>
        <w:rPr>
          <w:rFonts w:ascii="TH Sarabun New" w:cs="TH Sarabun New" w:eastAsia="TH Sarabun New" w:hAnsi="TH Sarabun New"/>
          <w:b/>
          <w:bCs/>
          <w:i w:val="false"/>
          <w:iCs w:val="false"/>
          <w:sz w:val="32"/>
          <w:szCs w:val="32"/>
        </w:rPr>
        <w:t xml:space="preserve">กลยุทธ์ลดขนาดแบบฟื้นฟูกิจการ (Retrenchment: Turnaround)</w:t>
      </w:r>
      <w:r>
        <w:rPr>
          <w:rFonts w:ascii="TH Sarabun New" w:cs="TH Sarabun New" w:eastAsia="TH Sarabun New" w:hAnsi="TH Sarabun New"/>
          <w:b w:val="false"/>
          <w:bCs w:val="false"/>
          <w:i w:val="false"/>
          <w:iCs w:val="false"/>
          <w:sz w:val="32"/>
          <w:szCs w:val="32"/>
        </w:rPr>
        <w:t xml:space="preserve"> ซึ่งตามบทเรียนบทที่ 7 เหมาะกับสถานการณ์ที่ปัญหากระจายตัวแต่ยังไม่วิกฤต ประกอบด้วยระยะหดตัวเพื่อหยุดการสูญเสีย แล้วจึงรวมองค์กรที่กระชับขึ้นให้มั่นคง PG ตรงเงื่อนไขนี้ คือขาดทุนเชิงปฏิบัติการต่อเนื่องสามปี แต่มี D/E เพียง 0.11 เท่าและส่วนของผู้ถือหุ้น 1,365.54 ล้านบาท จึงยังไม่วิกฤตถึงขั้นต้องขายกิจการหรือใช้กลยุทธ์บริษัทเชลย ระยะหดตัวทำในปีที่ 1 ผ่านการยุติหรือเจรจาใหม่กับสินค้าและลูกค้าที่ไม่ผ่านเกณฑ์กำไร ลดค่าใช้จ่ายเชิงโครงสร้าง และทบทวนนโยบายจัดสรรทุน ระยะรวมองค์กรทำในปีที่ 2–3 ผ่านการจัดตั้งหน่วยธุรกิจที่มีงบกำไรขาดทุนของตนเอง ส่วนที่สองคือ </w:t>
      </w:r>
      <w:r>
        <w:rPr>
          <w:rFonts w:ascii="TH Sarabun New" w:cs="TH Sarabun New" w:eastAsia="TH Sarabun New" w:hAnsi="TH Sarabun New"/>
          <w:b/>
          <w:bCs/>
          <w:i w:val="false"/>
          <w:iCs w:val="false"/>
          <w:sz w:val="32"/>
          <w:szCs w:val="32"/>
        </w:rPr>
        <w:t xml:space="preserve">กลยุทธ์การเติบโตแบบมุ่งเน้น (Concentrated Growth: Horizontal Growth)</w:t>
      </w:r>
      <w:r>
        <w:rPr>
          <w:rFonts w:ascii="TH Sarabun New" w:cs="TH Sarabun New" w:eastAsia="TH Sarabun New" w:hAnsi="TH Sarabun New"/>
          <w:b w:val="false"/>
          <w:bCs w:val="false"/>
          <w:i w:val="false"/>
          <w:iCs w:val="false"/>
          <w:sz w:val="32"/>
          <w:szCs w:val="32"/>
        </w:rPr>
        <w:t xml:space="preserve"> เมื่อผ่านการพิสูจน์กำไรในปีที่ 1 บริษัทจะเติบโตในอุตสาหกรรมเดิมด้วยการขยายขอบเขตผลิตภัณฑ์และบริการต่อลูกค้าองค์กร จากขายเสื้อผ้าเป็นชิ้นสู่การขายโซลูชันเครื่องแบบ พร้อมขยายเชิงภูมิศาสตร์อย่างจำกัดในงาน ODM ส่งออกตั้งแต่ปีที่ 4 </w:t>
      </w:r>
      <w:r>
        <w:rPr>
          <w:rFonts w:ascii="TH Sarabun New" w:cs="TH Sarabun New" w:eastAsia="TH Sarabun New" w:hAnsi="TH Sarabun New"/>
          <w:b/>
          <w:bCs/>
          <w:i w:val="false"/>
          <w:iCs w:val="false"/>
          <w:sz w:val="32"/>
          <w:szCs w:val="32"/>
        </w:rPr>
        <w:t xml:space="preserve">สิ่งที่บริษัทจะไม่ทำ</w:t>
      </w:r>
      <w:r>
        <w:rPr>
          <w:rFonts w:ascii="TH Sarabun New" w:cs="TH Sarabun New" w:eastAsia="TH Sarabun New" w:hAnsi="TH Sarabun New"/>
          <w:b w:val="false"/>
          <w:bCs w:val="false"/>
          <w:i w:val="false"/>
          <w:iCs w:val="false"/>
          <w:sz w:val="32"/>
          <w:szCs w:val="32"/>
        </w:rPr>
        <w:t xml:space="preserve"> ได้แก่ ไม่ขยายกำลังการผลิตก่อนมีคำสั่งซื้อรองรับ ไม่ประมูลงานรับจ้างผลิตทั่วไปที่ไม่ผ่านเกณฑ์กำไรส่วนเพิ่ม ไม่ลงทุนสร้างแบรนด์ผู้บริโภคเต็มรูปแบบในระยะของแผนนี้ และไม่กระจายธุรกิจสู่อุตสาหกรรมที่ไม่เกี่ยวข้อง</w:t>
      </w:r>
    </w:p>
    <w:p>
      <w:pPr>
        <w:pStyle w:val="Heading3"/>
        <w:keepNext/>
        <w:spacing w:after="70" w:before="150"/>
      </w:pPr>
      <w:r>
        <w:rPr>
          <w:rFonts w:ascii="TH Sarabun New" w:hAnsi="TH Sarabun New" w:eastAsia="TH Sarabun New"/>
          <w:b/>
          <w:color w:val="2F5597"/>
          <w:sz w:val="30"/>
        </w:rPr>
        <w:t>4.7.2 กลยุทธ์ระดับธุรกิจ (Business Strategy)</w:t>
      </w:r>
    </w:p>
    <w:p>
      <w:pPr>
        <w:keepNext w:val="false"/>
        <w:spacing w:after="50" w:line="240"/>
        <w:ind w:firstLine="480"/>
        <w:jc w:val="both"/>
      </w:pPr>
      <w:r>
        <w:rPr>
          <w:rFonts w:ascii="TH Sarabun New" w:hAnsi="TH Sarabun New" w:eastAsia="TH Sarabun New"/>
          <w:sz w:val="32"/>
        </w:rPr>
        <w:t>กลยุทธ์ระดับธุรกิจคือการสร้างความแตกต่างแบบมุ่งเน้น (Focused Differentiation) ไม่เลือก cost leadership เพราะ PG มีขนาด 2.712 ล้านชิ้น เทียบ benchmark Hi-Tech มากกว่า 40 ล้านชิ้นและไม่มีฐานผลิตหลายประเทศ [1][14] ไม่เลือก broad differentiation เพราะต้องสร้างแบรนด์/ช่องทางตรงในวงกว้างทั้งที่ความพร้อมดังกล่าวยังไม่ผ่านการพิสูจน์ เลือก focus เพื่อลดการเปรียบเทียบราคาตรงและเพิ่ม switching cost ด้วยข้อกำหนด/ผลทดสอบรายแพลตฟอร์ม traceability ระดับ SKU/ล็อต SLA การส่งมอบ/เติมสินค้า และข้อมูลต้นทุนตลอดอายุการใช้งาน ทุกฐานความแตกต่างต้องพิสูจน์ใน Gate 1 ไม่ถือเป็นข้อเท็จจริงล่วงหน้า</w:t>
      </w:r>
    </w:p>
    <w:p>
      <w:pPr>
        <w:pStyle w:val="Heading3"/>
        <w:keepNext/>
        <w:spacing w:after="70" w:before="150"/>
      </w:pPr>
      <w:r>
        <w:rPr>
          <w:rFonts w:ascii="TH Sarabun New" w:hAnsi="TH Sarabun New" w:eastAsia="TH Sarabun New"/>
          <w:b/>
          <w:color w:val="2F5597"/>
          <w:sz w:val="30"/>
        </w:rPr>
        <w:t>4.7.3 กลยุทธ์ระดับหน้าที่ (Functional Strategy)</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กลยุทธ์ระดับหน้าที่ทั้งเจ็ดด้านสนับสนุนกลยุทธ์ระดับธุรกิจโดยตรง และทุกด้านสืบย้อนกลับไปยังกลยุทธ์ใน TOWS ได้</w:t>
      </w:r>
    </w:p>
    <w:p>
      <w:pPr>
        <w:pStyle w:val="ListParagraph"/>
        <w:numPr>
          <w:ilvl w:val="0"/>
          <w:numId w:val="1"/>
        </w:numPr>
        <w:spacing w:after="35" w:line="240"/>
        <w:jc w:val="both"/>
      </w:pPr>
      <w:r>
        <w:rPr>
          <w:rFonts w:ascii="TH Sarabun New" w:cs="TH Sarabun New" w:eastAsia="TH Sarabun New" w:hAnsi="TH Sarabun New"/>
          <w:b/>
          <w:bCs/>
          <w:i w:val="false"/>
          <w:iCs w:val="false"/>
          <w:sz w:val="32"/>
          <w:szCs w:val="32"/>
        </w:rPr>
        <w:t xml:space="preserve">การตลาดและการขาย B2B</w:t>
      </w:r>
      <w:r>
        <w:rPr>
          <w:rFonts w:ascii="TH Sarabun New" w:cs="TH Sarabun New" w:eastAsia="TH Sarabun New" w:hAnsi="TH Sarabun New"/>
          <w:b w:val="false"/>
          <w:bCs w:val="false"/>
          <w:i w:val="false"/>
          <w:iCs w:val="false"/>
          <w:sz w:val="32"/>
          <w:szCs w:val="32"/>
        </w:rPr>
        <w:t xml:space="preserve"> เปลี่ยนจากการรอคำสั่งซื้อผ่านผู้จัดจำหน่าย สู่การขายแบบ Account-based ที่มีผู้รับผิดชอบรายลูกค้า บัญชีลูกค้าเป้าหมาย และระบบติดตามโอกาสการขาย ใช้ผลทดสอบและต้นทุนตลอดอายุการใช้งานเป็นเครื่องมือขายแทนราคาต่อชิ้น (SO1, SO3, WO2)</w:t>
      </w:r>
    </w:p>
    <w:p>
      <w:pPr>
        <w:pStyle w:val="ListParagraph"/>
        <w:numPr>
          <w:ilvl w:val="0"/>
          <w:numId w:val="1"/>
        </w:numPr>
        <w:spacing w:after="35" w:line="240"/>
        <w:jc w:val="both"/>
      </w:pPr>
      <w:r>
        <w:rPr>
          <w:rFonts w:ascii="TH Sarabun New" w:cs="TH Sarabun New" w:eastAsia="TH Sarabun New" w:hAnsi="TH Sarabun New"/>
          <w:b/>
          <w:bCs/>
          <w:i w:val="false"/>
          <w:iCs w:val="false"/>
          <w:sz w:val="32"/>
          <w:szCs w:val="32"/>
        </w:rPr>
        <w:t xml:space="preserve">การผลิตและปฏิบัติการ</w:t>
      </w:r>
      <w:r>
        <w:rPr>
          <w:rFonts w:ascii="TH Sarabun New" w:cs="TH Sarabun New" w:eastAsia="TH Sarabun New" w:hAnsi="TH Sarabun New"/>
          <w:b w:val="false"/>
          <w:bCs w:val="false"/>
          <w:i w:val="false"/>
          <w:iCs w:val="false"/>
          <w:sz w:val="32"/>
          <w:szCs w:val="32"/>
        </w:rPr>
        <w:t xml:space="preserve"> เปลี่ยนจากผลิตเก็บสต็อกสู่ผลิตตามคำสั่งซื้อ จัดสายการผลิตตามแพลตฟอร์ม กำหนด MOQ ที่มีวินัย รับรองคู่ค้าที่รับงานมาตรฐาน และลงทุนระบบกึ่งอัตโนมัติเฉพาะสายที่ผ่านเกณฑ์ผลตอบแทน (ST1, WT1, WO3)</w:t>
      </w:r>
    </w:p>
    <w:p>
      <w:pPr>
        <w:pStyle w:val="ListParagraph"/>
        <w:numPr>
          <w:ilvl w:val="0"/>
          <w:numId w:val="1"/>
        </w:numPr>
        <w:spacing w:after="35" w:line="240"/>
        <w:jc w:val="both"/>
      </w:pPr>
      <w:r>
        <w:rPr>
          <w:rFonts w:ascii="TH Sarabun New" w:hAnsi="TH Sarabun New" w:eastAsia="TH Sarabun New"/>
          <w:sz w:val="32"/>
        </w:rPr>
        <w:t>การพัฒนาผลิตภัณฑ์และวิจัย พัฒนาแนวคิด 4 แพลตฟอร์ม แต่จัดลำดับ 2 แพลตฟอร์มที่มี profitability/pilot signal สูงสุด สำหรับการพิสูจน์เชิงพาณิชย์รอบแรก ทุกแพลตฟอร์มต้องมีข้อกำหนด ผลทดสอบ และข้อมูลอายุการใช้งานก่อนขยาย (SO1, SO2)</w:t>
      </w:r>
    </w:p>
    <w:p>
      <w:pPr>
        <w:pStyle w:val="ListParagraph"/>
        <w:numPr>
          <w:ilvl w:val="0"/>
          <w:numId w:val="1"/>
        </w:numPr>
        <w:spacing w:after="35" w:line="240"/>
        <w:jc w:val="both"/>
      </w:pPr>
      <w:r>
        <w:rPr>
          <w:rFonts w:ascii="TH Sarabun New" w:cs="TH Sarabun New" w:eastAsia="TH Sarabun New" w:hAnsi="TH Sarabun New"/>
          <w:b/>
          <w:bCs/>
          <w:i w:val="false"/>
          <w:iCs w:val="false"/>
          <w:sz w:val="32"/>
          <w:szCs w:val="32"/>
        </w:rPr>
        <w:t xml:space="preserve">เทคโนโลยีและข้อมูล</w:t>
      </w:r>
      <w:r>
        <w:rPr>
          <w:rFonts w:ascii="TH Sarabun New" w:cs="TH Sarabun New" w:eastAsia="TH Sarabun New" w:hAnsi="TH Sarabun New"/>
          <w:b w:val="false"/>
          <w:bCs w:val="false"/>
          <w:i w:val="false"/>
          <w:iCs w:val="false"/>
          <w:sz w:val="32"/>
          <w:szCs w:val="32"/>
        </w:rPr>
        <w:t xml:space="preserve"> ลงทุน CRM ระบบคิดต้นทุนดิจิทัลที่คำนวณกำไรส่วนเพิ่มก่อนเสนอราคา ระบบ S&amp;OP และระบบตรวจสอบย้อนกลับ ตามลำดับความจำเป็นทางธุรกิจ ไม่ใช่ตามกระแสเทคโนโลยี (WO1, WO3, SO2)</w:t>
      </w:r>
    </w:p>
    <w:p>
      <w:pPr>
        <w:pStyle w:val="ListParagraph"/>
        <w:numPr>
          <w:ilvl w:val="0"/>
          <w:numId w:val="1"/>
        </w:numPr>
        <w:spacing w:after="35" w:line="240"/>
        <w:jc w:val="both"/>
      </w:pPr>
      <w:r>
        <w:rPr>
          <w:rFonts w:ascii="TH Sarabun New" w:cs="TH Sarabun New" w:eastAsia="TH Sarabun New" w:hAnsi="TH Sarabun New"/>
          <w:b/>
          <w:bCs/>
          <w:i w:val="false"/>
          <w:iCs w:val="false"/>
          <w:sz w:val="32"/>
          <w:szCs w:val="32"/>
        </w:rPr>
        <w:t xml:space="preserve">ทรัพยากรมนุษย์</w:t>
      </w:r>
      <w:r>
        <w:rPr>
          <w:rFonts w:ascii="TH Sarabun New" w:cs="TH Sarabun New" w:eastAsia="TH Sarabun New" w:hAnsi="TH Sarabun New"/>
          <w:b w:val="false"/>
          <w:bCs w:val="false"/>
          <w:i w:val="false"/>
          <w:iCs w:val="false"/>
          <w:sz w:val="32"/>
          <w:szCs w:val="32"/>
        </w:rPr>
        <w:t xml:space="preserve"> สรรหาสามบทบาทที่ยังขาด คือวิศวกรการขาย นักเทคโนโลยีสิ่งทอ และผู้เชี่ยวชาญ IE/ข้อมูล พัฒนาพนักงานผลิตให้มีทักษะหลากหลาย และกำหนดตำแหน่งวิกฤตที่ต้องปกป้องระหว่างลดค่าใช้จ่าย (หัวข้อ 3.2.3)</w:t>
      </w:r>
    </w:p>
    <w:p>
      <w:pPr>
        <w:pStyle w:val="ListParagraph"/>
        <w:numPr>
          <w:ilvl w:val="0"/>
          <w:numId w:val="1"/>
        </w:numPr>
        <w:spacing w:after="35" w:line="240"/>
        <w:jc w:val="both"/>
      </w:pPr>
      <w:r>
        <w:rPr>
          <w:rFonts w:ascii="TH Sarabun New" w:cs="TH Sarabun New" w:eastAsia="TH Sarabun New" w:hAnsi="TH Sarabun New"/>
          <w:b/>
          <w:bCs/>
          <w:i w:val="false"/>
          <w:iCs w:val="false"/>
          <w:sz w:val="32"/>
          <w:szCs w:val="32"/>
        </w:rPr>
        <w:t xml:space="preserve">การเงินและการจัดสรรทุน</w:t>
      </w:r>
      <w:r>
        <w:rPr>
          <w:rFonts w:ascii="TH Sarabun New" w:cs="TH Sarabun New" w:eastAsia="TH Sarabun New" w:hAnsi="TH Sarabun New"/>
          <w:b w:val="false"/>
          <w:bCs w:val="false"/>
          <w:i w:val="false"/>
          <w:iCs w:val="false"/>
          <w:sz w:val="32"/>
          <w:szCs w:val="32"/>
        </w:rPr>
        <w:t xml:space="preserve"> กำหนดเกณฑ์กำไรขั้นต่ำต่อลูกค้าและ SKU ก่อนรับงาน แยกรายงานผลธุรกิจหลักจากรายได้อื่นทุกเดือน กำหนดผลตอบแทนขั้นต่ำของโครงการและอนุมัติงบเป็นขั้น และทบทวนสัดส่วนสินทรัพย์ทางการเงินเทียบความจำเป็นลงทุนธุรกิจหลัก (WO1, WT1)</w:t>
      </w:r>
    </w:p>
    <w:p>
      <w:pPr>
        <w:pStyle w:val="ListParagraph"/>
        <w:numPr>
          <w:ilvl w:val="0"/>
          <w:numId w:val="1"/>
        </w:numPr>
        <w:spacing w:after="35" w:line="240"/>
        <w:jc w:val="both"/>
      </w:pPr>
      <w:r>
        <w:rPr>
          <w:rFonts w:ascii="TH Sarabun New" w:hAnsi="TH Sarabun New" w:eastAsia="TH Sarabun New"/>
          <w:sz w:val="32"/>
        </w:rPr>
        <w:t>ห่วงโซ่อุปทานและความยั่งยืน เริ่ม P7 ตั้งแต่ปลาย 2569 จัดทำ minimum viable compliance ครอบคลุมสินค้ากลยุทธ์เสี่ยงสูงก่อน 14 ธันวาคม 2570 และติดตามกฎเฉพาะผลิตภัณฑ์ของ ESPR/DPP แทนการสมมติกำหนดวันบังคับสำหรับเสื้อผ้าทั้งหมด (SO2)</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ความสอดคล้องของกลยุทธ์สามระดับ</w:t>
      </w:r>
      <w:r>
        <w:rPr>
          <w:rFonts w:ascii="TH Sarabun New" w:cs="TH Sarabun New" w:eastAsia="TH Sarabun New" w:hAnsi="TH Sarabun New"/>
          <w:b w:val="false"/>
          <w:bCs w:val="false"/>
          <w:i w:val="false"/>
          <w:iCs w:val="false"/>
          <w:sz w:val="32"/>
          <w:szCs w:val="32"/>
        </w:rPr>
        <w:t xml:space="preserve"> ทดสอบว่าหากถอดกลยุทธ์ระดับหน้าที่ข้อใดออก กลยุทธ์ระดับธุรกิจยังทำได้หรือไม่ คำตอบคือไม่ได้ เช่น ไม่มีระบบคิดต้นทุนดิจิทัลก็บังคับเกณฑ์กำไรก่อนรับงานไม่ได้ และไม่มีวิศวกรการขายก็ขายด้วยเอกสารข้อกำหนดแทนราคาไม่ได้</w:t>
      </w:r>
    </w:p>
    <w:p>
      <w:pPr>
        <w:keepNext w:val="false"/>
        <w:spacing w:after="50" w:line="240"/>
        <w:ind w:firstLine="480"/>
        <w:jc w:val="both"/>
      </w:pPr>
      <w:r>
        <w:rPr>
          <w:rFonts w:ascii="TH Sarabun New" w:hAnsi="TH Sarabun New" w:eastAsia="TH Sarabun New"/>
          <w:sz w:val="32"/>
        </w:rPr>
        <w:t>นัยเชิงกลยุทธ์ต่อ PG: กลยุทธ์สามระดับผูกด้วย Gate 0–4 หาก P1 ไม่ยืนยัน margin หรือ pilot ไม่ยืนยัน demand ให้คง turnaround และชะลอ growth/capex สิ่งที่ PG จะไม่ทำคือ scale race ใน commodity OEM, capacity expansion ที่ไม่มี committed demand/business case, full consumer-brand transformation ระหว่างแผน และงาน tender/order ที่ไม่ผ่าน profitability hurdle</w:t>
      </w:r>
    </w:p>
    <w:p>
      <w:pPr>
        <w:pStyle w:val="Heading1"/>
        <w:keepNext/>
        <w:spacing w:after="80" w:before="180"/>
      </w:pPr>
      <w:r>
        <w:rPr>
          <w:rFonts w:ascii="TH Sarabun New" w:cs="TH Sarabun New" w:eastAsia="TH Sarabun New" w:hAnsi="TH Sarabun New"/>
          <w:b/>
          <w:bCs/>
          <w:i w:val="false"/>
          <w:iCs w:val="false"/>
          <w:sz w:val="36"/>
          <w:szCs w:val="36"/>
        </w:rPr>
        <w:t xml:space="preserve">5. การนำกลยุทธ์ไปใช้ แผนปฏิบัติการ และการควบคุมประเมินผล</w:t>
      </w:r>
    </w:p>
    <w:p>
      <w:pPr>
        <w:pStyle w:val="Heading2"/>
        <w:keepNext/>
        <w:spacing w:after="60" w:before="140"/>
      </w:pPr>
      <w:r>
        <w:rPr>
          <w:rFonts w:ascii="TH Sarabun New" w:cs="TH Sarabun New" w:eastAsia="TH Sarabun New" w:hAnsi="TH Sarabun New"/>
          <w:b/>
          <w:bCs/>
          <w:i w:val="false"/>
          <w:iCs w:val="false"/>
          <w:sz w:val="32"/>
          <w:szCs w:val="32"/>
        </w:rPr>
        <w:t xml:space="preserve">5.1 แผนการปฏิบัติการ (Action Plan)</w:t>
      </w:r>
    </w:p>
    <w:p>
      <w:pPr>
        <w:keepNext w:val="false"/>
        <w:spacing w:after="50" w:line="240"/>
        <w:ind w:firstLine="480"/>
        <w:jc w:val="both"/>
      </w:pPr>
      <w:r>
        <w:rPr>
          <w:rFonts w:ascii="TH Sarabun New" w:hAnsi="TH Sarabun New" w:eastAsia="TH Sarabun New"/>
          <w:sz w:val="32"/>
        </w:rPr>
        <w:t>แผนหลักครอบคลุม 2570–2574 และมีช่วง Transition/Readiness ตั้งแต่ไตรมาส 4/2569 สำหรับ P7 และการเตรียมข้อมูล Gate 0 Gate 0 = Data and profitability validation; Gate 1 = Pilot/product-market validation; Gate 2 = Commercial scaling; Gate 3 = Selective automation/capex; Gate 4 = Selective export expansion P1 เป็นเงื่อนไขแรกและ P8 ห้ามอนุมัติก่อนมีผล P1/pilot/committed demand/business case</w:t>
      </w:r>
    </w:p>
    <w:p>
      <w:pPr>
        <w:keepNext w:val="false"/>
        <w:spacing w:after="50" w:line="240"/>
        <w:ind w:firstLine="480"/>
        <w:jc w:val="both"/>
      </w:pPr>
      <w:r>
        <w:rPr>
          <w:rFonts w:ascii="TH Sarabun New" w:hAnsi="TH Sarabun New" w:eastAsia="TH Sarabun New"/>
          <w:sz w:val="32"/>
        </w:rPr>
        <w:t>ลำดับปี: 2570 วางฐาน/พิสูจน์และเลือก 2 แพลตฟอร์มแรก; 2571 เปิดตลาดและผ่าน Gate 2; 2572 ขยายผลและพิจารณา Gate 3; 2573 เพิ่มประสิทธิภาพ; 2574 ขยายส่งออกแบบเลือกเฉพาะผ่าน Gate 4 ขณะที่ P7 เริ่มปลาย 2569 และต้องมี minimum viable compliance ก่อน 14 ธันวาคม 2570</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หลักการเรื่องงบประมาณ</w:t>
      </w:r>
      <w:r>
        <w:rPr>
          <w:rFonts w:ascii="TH Sarabun New" w:cs="TH Sarabun New" w:eastAsia="TH Sarabun New" w:hAnsi="TH Sarabun New"/>
          <w:b w:val="false"/>
          <w:bCs w:val="false"/>
          <w:i w:val="false"/>
          <w:iCs w:val="false"/>
          <w:sz w:val="32"/>
          <w:szCs w:val="32"/>
        </w:rPr>
        <w:t xml:space="preserve"> ตัวเลขในตารางที่ 17–18 เป็นกรอบสมมติฐานเชิงวางแผนของผู้จัดทำ มิใช่งบประมาณที่บริษัทประกาศ เนื่องจากไม่มีการเปิดเผยโครงสร้างต้นทุนโครงการ รายงานจึงนำเสนอเป็นช่วงพร้อมระบุฐานการประมาณการ ก่อนใช้จริงต้องจัดทำใบเสนอราคาและกรณีทางธุรกิจรายโครงการ และอนุมัติเป็นขั้นตามผลลัพธ์ (Stage Gate)</w:t>
      </w:r>
    </w:p>
    <w:p>
      <w:pPr>
        <w:sectPr>
          <w:footerReference w:type="default" r:id="rId7"/>
          <w:footerReference w:type="first" r:id="rId8"/>
          <w:pgSz w:w="11906" w:h="16838" w:orient="portrait"/>
          <w:pgMar w:top="1191" w:right="1077" w:bottom="1077" w:left="1361" w:header="708" w:footer="708" w:gutter="0"/>
          <w:pgNumType/>
          <w:titlePg/>
          <w:docGrid w:linePitch="360"/>
        </w:sectPr>
      </w:pPr>
    </w:p>
    <w:p>
      <w:pPr>
        <w:keepNext/>
        <w:spacing w:after="50" w:before="0"/>
        <w:jc w:val="left"/>
      </w:pPr>
      <w:r>
        <w:rPr>
          <w:rFonts w:ascii="TH Sarabun New" w:cs="TH Sarabun New" w:eastAsia="TH Sarabun New" w:hAnsi="TH Sarabun New"/>
          <w:b/>
          <w:bCs/>
          <w:i w:val="false"/>
          <w:iCs w:val="false"/>
          <w:sz w:val="28"/>
          <w:szCs w:val="28"/>
        </w:rPr>
        <w:t xml:space="preserve">ตารางที่ 17  แผนปฏิบัติการ 5 ปีของ PG (ปี 2570–2574)</w:t>
      </w:r>
    </w:p>
    <w:tbl>
      <w:tblPr>
        <w:tblW w:type="dxa" w:w="15478"/>
        <w:jc w:val="center"/>
        <w:tblBorders>
          <w:top w:val="single" w:color="B7B7B7" w:sz="4"/>
          <w:left w:val="single" w:color="B7B7B7" w:sz="4"/>
          <w:bottom w:val="single" w:color="B7B7B7" w:sz="4"/>
          <w:right w:val="single" w:color="B7B7B7" w:sz="4"/>
          <w:insideH w:val="single" w:color="B7B7B7" w:sz="4"/>
          <w:insideV w:val="single" w:color="B7B7B7" w:sz="4"/>
        </w:tblBorders>
        <w:tblLayout w:type="fixed"/>
      </w:tblPr>
      <w:tblGrid>
        <w:gridCol w:w="1800"/>
        <w:gridCol w:w="2500"/>
        <w:gridCol w:w="2450"/>
        <w:gridCol w:w="1800"/>
        <w:gridCol w:w="900"/>
        <w:gridCol w:w="1400"/>
        <w:gridCol w:w="2500"/>
        <w:gridCol w:w="1650"/>
      </w:tblGrid>
      <w:tr>
        <w:trPr>
          <w:tblHeader w:val="true"/>
        </w:trPr>
        <w:tc>
          <w:tcPr>
            <w:tcW w:type="dxa" w:w="18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ระดับกลยุทธ์</w:t>
            </w:r>
          </w:p>
        </w:tc>
        <w:tc>
          <w:tcPr>
            <w:tcW w:type="dxa" w:w="25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โครงการเชิงกลยุทธ์</w:t>
            </w:r>
          </w:p>
        </w:tc>
        <w:tc>
          <w:tcPr>
            <w:tcW w:type="dxa" w:w="245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รายละเอียดการดำเนินงาน</w:t>
            </w:r>
          </w:p>
        </w:tc>
        <w:tc>
          <w:tcPr>
            <w:tcW w:type="dxa" w:w="18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ผู้รับผิดชอบ</w:t>
            </w:r>
          </w:p>
        </w:tc>
        <w:tc>
          <w:tcPr>
            <w:tcW w:type="dxa" w:w="9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ระยะเวลา</w:t>
            </w:r>
          </w:p>
        </w:tc>
        <w:tc>
          <w:tcPr>
            <w:tcW w:type="dxa" w:w="14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งบประมาณ (ล้านบาท)</w:t>
            </w:r>
          </w:p>
        </w:tc>
        <w:tc>
          <w:tcPr>
            <w:tcW w:type="dxa" w:w="25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ตัวชี้วัด (KPI)</w:t>
            </w:r>
          </w:p>
        </w:tc>
        <w:tc>
          <w:tcPr>
            <w:tcW w:type="dxa" w:w="165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เป้าหมาย</w:t>
            </w:r>
          </w:p>
        </w:tc>
      </w:tr>
      <w:tr>
        <w:trPr/>
        <w:tc>
          <w:tcPr>
            <w:tcW w:type="dxa" w:w="1650"/>
            <w:gridSpan w:val="8"/>
            <w:shd w:fill="EDF1F9"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ปีที่ 1 (2570) วางฐาน พิสูจน์ และฟื้นฟู</w:t>
            </w:r>
          </w:p>
        </w:tc>
      </w:tr>
      <w:tr>
        <w:trPr/>
        <w:tc>
          <w:tcPr>
            <w:tcW w:type="dxa" w:w="18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องค์กร (ฟื้นฟู)</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P1 วินิจฉัยความสามารถทำกำไรรายลูกค้าและราย SKU (Gate 0)</w:t>
            </w:r>
          </w:p>
        </w:tc>
        <w:tc>
          <w:tcPr>
            <w:tcW w:type="dxa" w:w="24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จัดทำ core P&amp;L แยกจากรายได้อื่น วิเคราะห์ margin รายลูกค้า/SKU/ช่องทางย้อนหลัง 24 เดือน ครอบคลุม ≥95%; เป็น prerequisite ของ P2–P10</w:t>
            </w:r>
          </w:p>
        </w:tc>
        <w:tc>
          <w:tcPr>
            <w:tcW w:type="dxa" w:w="18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CEO / บัญชีและการเงิน / พาณิชย์</w:t>
            </w:r>
          </w:p>
        </w:tc>
        <w:tc>
          <w:tcPr>
            <w:tcW w:type="dxa" w:w="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0–90 วัน</w:t>
            </w:r>
          </w:p>
        </w:tc>
        <w:tc>
          <w:tcPr>
            <w:tcW w:type="dxa" w:w="14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1.5–3.0</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สัดส่วนยอดขายที่ครอบคลุมในการวิเคราะห์</w:t>
            </w:r>
          </w:p>
        </w:tc>
        <w:tc>
          <w:tcPr>
            <w:tcW w:type="dxa" w:w="1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ไม่น้อยกว่า 95% ของยอดขาย ภายใน 90 วัน</w:t>
            </w:r>
          </w:p>
        </w:tc>
      </w:tr>
      <w:tr>
        <w:trPr/>
        <w:tc>
          <w:tcPr>
            <w:tcW w:type="dxa" w:w="18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องค์กร (ฟื้นฟู)</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P2 ปรับส่วนผสมผลิตภัณฑ์และลดค่าใช้จ่ายเชิงโครงสร้าง</w:t>
            </w:r>
          </w:p>
        </w:tc>
        <w:tc>
          <w:tcPr>
            <w:tcW w:type="dxa" w:w="24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ดำเนินหลัง Gate 0: ยุติ/เจรจาใหม่งานที่ไม่ผ่าน profitability hurdle กำหนด MOQ และทบทวนค่าใช้จ่าย/การจัดสรรทุน</w:t>
            </w:r>
          </w:p>
        </w:tc>
        <w:tc>
          <w:tcPr>
            <w:tcW w:type="dxa" w:w="18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CEO / บัญชีและการเงิน</w:t>
            </w:r>
          </w:p>
        </w:tc>
        <w:tc>
          <w:tcPr>
            <w:tcW w:type="dxa" w:w="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ปีที่ 1–2</w:t>
            </w:r>
          </w:p>
        </w:tc>
        <w:tc>
          <w:tcPr>
            <w:tcW w:type="dxa" w:w="14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ใช้งบดำเนินการภายใน</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ค่าใช้จ่ายขายและบริหารต่อยอดขาย</w:t>
            </w:r>
          </w:p>
        </w:tc>
        <w:tc>
          <w:tcPr>
            <w:tcW w:type="dxa" w:w="1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ไม่เกิน 25.0% ปี 2570 และ 23.0% ปี 2571</w:t>
            </w:r>
          </w:p>
        </w:tc>
      </w:tr>
      <w:tr>
        <w:trPr/>
        <w:tc>
          <w:tcPr>
            <w:tcW w:type="dxa" w:w="18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องค์กร (เติบโต)</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P3 จัดตั้งหน่วยธุรกิจ Functional Workwear</w:t>
            </w:r>
          </w:p>
        </w:tc>
        <w:tc>
          <w:tcPr>
            <w:tcW w:type="dxa" w:w="24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จัดตั้งหน่วยธุรกิจ P&amp;L และทีม Account-based; อนุมัติ scale เมื่อผ่าน Gate 0 และ pipeline ผ่าน Gate 1</w:t>
            </w:r>
          </w:p>
        </w:tc>
        <w:tc>
          <w:tcPr>
            <w:tcW w:type="dxa" w:w="18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CEO / ผอ.หน่วยธุรกิจ / ทรัพยากรมนุษย์</w:t>
            </w:r>
          </w:p>
        </w:tc>
        <w:tc>
          <w:tcPr>
            <w:tcW w:type="dxa" w:w="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ปีที่ 1 (0–6 เดือน)</w:t>
            </w:r>
          </w:p>
        </w:tc>
        <w:tc>
          <w:tcPr>
            <w:tcW w:type="dxa" w:w="14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8.0–14.0</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จำนวนลูกค้าเป้าหมาย และมูลค่าโอกาสการขายเทียบเป้า</w:t>
            </w:r>
          </w:p>
        </w:tc>
        <w:tc>
          <w:tcPr>
            <w:tcW w:type="dxa" w:w="1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ลูกค้าเป้าหมาย ≥50 ราย และโอกาสการขาย ≥3 เท่าของเป้ารายได้</w:t>
            </w:r>
          </w:p>
        </w:tc>
      </w:tr>
      <w:tr>
        <w:trPr/>
        <w:tc>
          <w:tcPr>
            <w:tcW w:type="dxa" w:w="18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หน้าที่ (R&amp;D)</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P4 พัฒนา 4 concepts และคัด 2 แพลตฟอร์มแรก (Gate 1)</w:t>
            </w:r>
          </w:p>
        </w:tc>
        <w:tc>
          <w:tcPr>
            <w:tcW w:type="dxa" w:w="24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พัฒนา 4 concepts (medical, service/food, industrial, circular corporate) พร้อม spec/test; เลือก 2 ที่ margin/pilot signal สูงสุดเข้าสู่ commercial validation</w:t>
            </w:r>
          </w:p>
        </w:tc>
        <w:tc>
          <w:tcPr>
            <w:tcW w:type="dxa" w:w="18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วิจัยและพัฒนา / ควบคุมคุณภาพ / ผลิต</w:t>
            </w:r>
          </w:p>
        </w:tc>
        <w:tc>
          <w:tcPr>
            <w:tcW w:type="dxa" w:w="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ปีที่ 1 (3–12 เดือน)</w:t>
            </w:r>
          </w:p>
        </w:tc>
        <w:tc>
          <w:tcPr>
            <w:tcW w:type="dxa" w:w="14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10.0–18.0</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ความครบถ้วนของเอกสารข้อกำหนดและผลทดสอบ และอัตราเปลี่ยนตัวอย่างเป็นคำสั่งซื้อ</w:t>
            </w:r>
          </w:p>
        </w:tc>
        <w:tc>
          <w:tcPr>
            <w:tcW w:type="dxa" w:w="1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4 concepts มีเอกสารขั้นต่ำ; 2 แพลตฟอร์มผ่าน Gate 1; conversion ≥25%</w:t>
            </w:r>
          </w:p>
        </w:tc>
      </w:tr>
      <w:tr>
        <w:trPr/>
        <w:tc>
          <w:tcPr>
            <w:tcW w:type="dxa" w:w="18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หน้าที่ (การขาย)</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P5 โครงการนำร่องและสร้างลูกค้าอ้างอิง</w:t>
            </w:r>
          </w:p>
        </w:tc>
        <w:tc>
          <w:tcPr>
            <w:tcW w:type="dxa" w:w="24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pilot กับองค์กรในเครือ โรงพยาบาล และโรงแรม; เก็บ usage/margin/reorder evidence เพื่อ Gate 1</w:t>
            </w:r>
          </w:p>
        </w:tc>
        <w:tc>
          <w:tcPr>
            <w:tcW w:type="dxa" w:w="18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ฝ่ายขาย / ผู้ประสานงานกับผู้ถือหุ้นใหญ่</w:t>
            </w:r>
          </w:p>
        </w:tc>
        <w:tc>
          <w:tcPr>
            <w:tcW w:type="dxa" w:w="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ปีที่ 1 (3–12 เดือน)</w:t>
            </w:r>
          </w:p>
        </w:tc>
        <w:tc>
          <w:tcPr>
            <w:tcW w:type="dxa" w:w="14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6.0–10.0</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จำนวนลูกค้าอ้างอิง และอัตราการสั่งซื้อซ้ำ</w:t>
            </w:r>
          </w:p>
        </w:tc>
        <w:tc>
          <w:tcPr>
            <w:tcW w:type="dxa" w:w="1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ลูกค้าอ้างอิง ≥5 ราย และสั่งซื้อซ้ำ ≥60%</w:t>
            </w:r>
          </w:p>
        </w:tc>
      </w:tr>
      <w:tr>
        <w:trPr/>
        <w:tc>
          <w:tcPr>
            <w:tcW w:type="dxa" w:w="1650"/>
            <w:gridSpan w:val="8"/>
            <w:shd w:fill="EDF1F9"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ปีที่ 2 (2571) เปิดตลาดเชิงพาณิชย์</w:t>
            </w:r>
          </w:p>
        </w:tc>
      </w:tr>
      <w:tr>
        <w:trPr/>
        <w:tc>
          <w:tcPr>
            <w:tcW w:type="dxa" w:w="18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หน้าที่ (เทคโนโลยี)</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P6 ระบบบริหารลูกค้า ระบบคิดต้นทุน และระบบวางแผนขายและปฏิบัติการ</w:t>
            </w:r>
          </w:p>
        </w:tc>
        <w:tc>
          <w:tcPr>
            <w:tcW w:type="dxa" w:w="24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ติดตั้ง CRM, digital costing และ S&amp;OP หลังข้อมูล Gate 0 พร้อมใช้งาน; ระบบต้องบังคับ profitability hurdle ก่อนเสนอราคา</w:t>
            </w:r>
          </w:p>
        </w:tc>
        <w:tc>
          <w:tcPr>
            <w:tcW w:type="dxa" w:w="18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สารสนเทศ / บัญชีและการเงิน / ปฏิบัติการ</w:t>
            </w:r>
          </w:p>
        </w:tc>
        <w:tc>
          <w:tcPr>
            <w:tcW w:type="dxa" w:w="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ปีที่ 2 (6–15 เดือน)</w:t>
            </w:r>
          </w:p>
        </w:tc>
        <w:tc>
          <w:tcPr>
            <w:tcW w:type="dxa" w:w="14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8.0–14.0</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ระยะเวลาเสนอราคา และความแม่นยำของการพยากรณ์</w:t>
            </w:r>
          </w:p>
        </w:tc>
        <w:tc>
          <w:tcPr>
            <w:tcW w:type="dxa" w:w="1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ระยะเวลาเสนอราคาลดลง ≥30% และความแม่นยำ ≥75%</w:t>
            </w:r>
          </w:p>
        </w:tc>
      </w:tr>
      <w:tr>
        <w:trPr/>
        <w:tc>
          <w:tcPr>
            <w:tcW w:type="dxa" w:w="18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หน้าที่ (ห่วงโซ่อุปทาน)</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P7 traceability/material data readiness</w:t>
            </w:r>
          </w:p>
        </w:tc>
        <w:tc>
          <w:tcPr>
            <w:tcW w:type="dxa" w:w="24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เริ่มปลาย 2569 ทำ supplier/material/SKU-lot data และ forced-labour due diligence; minimum viable compliance ก่อน 14 ธ.ค. 2570; ติดตามกฎเฉพาะผลิตภัณฑ์ ESPR/DPP</w:t>
            </w:r>
          </w:p>
        </w:tc>
        <w:tc>
          <w:tcPr>
            <w:tcW w:type="dxa" w:w="18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จัดซื้อ / ควบคุมคุณภาพ / สารสนเทศ</w:t>
            </w:r>
          </w:p>
        </w:tc>
        <w:tc>
          <w:tcPr>
            <w:tcW w:type="dxa" w:w="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ปลาย 2569–2572</w:t>
            </w:r>
          </w:p>
        </w:tc>
        <w:tc>
          <w:tcPr>
            <w:tcW w:type="dxa" w:w="14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5.0–9.0</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สัดส่วนสินค้าเชิงกลยุทธ์ที่มีข้อมูลตรวจสอบย้อนกลับครบ</w:t>
            </w:r>
          </w:p>
        </w:tc>
        <w:tc>
          <w:tcPr>
            <w:tcW w:type="dxa" w:w="1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MVP สินค้าเสี่ยงสูง 100% ก่อน 14 ธ.ค. 2570; SKU เชิงกลยุทธ์ 100% ปี 2572</w:t>
            </w:r>
          </w:p>
        </w:tc>
      </w:tr>
      <w:tr>
        <w:trPr/>
        <w:tc>
          <w:tcPr>
            <w:tcW w:type="dxa" w:w="1650"/>
            <w:gridSpan w:val="8"/>
            <w:shd w:fill="EDF1F9"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ปีที่ 3 (2572) ขยายผล</w:t>
            </w:r>
          </w:p>
        </w:tc>
      </w:tr>
      <w:tr>
        <w:trPr/>
        <w:tc>
          <w:tcPr>
            <w:tcW w:type="dxa" w:w="18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หน้าที่ (การผลิต)</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P8 selective automation/capex (Gate 3)</w:t>
            </w:r>
          </w:p>
        </w:tc>
        <w:tc>
          <w:tcPr>
            <w:tcW w:type="dxa" w:w="24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อนุมัติทีละสายหลัง P1, Gate 1–2, committed demand และ business case; pilot หนึ่งสาย วัด labor time/OEE/OTD ก่อนขยาย</w:t>
            </w:r>
          </w:p>
        </w:tc>
        <w:tc>
          <w:tcPr>
            <w:tcW w:type="dxa" w:w="18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COO / วิศวกรรมอุตสาหการ</w:t>
            </w:r>
          </w:p>
        </w:tc>
        <w:tc>
          <w:tcPr>
            <w:tcW w:type="dxa" w:w="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ปี 2572–2574</w:t>
            </w:r>
          </w:p>
        </w:tc>
        <w:tc>
          <w:tcPr>
            <w:tcW w:type="dxa" w:w="14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45.0–75.0</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เวลาแรงงานต่อชิ้น และอัตราการส่งมอบตรงเวลา</w:t>
            </w:r>
          </w:p>
        </w:tc>
        <w:tc>
          <w:tcPr>
            <w:tcW w:type="dxa" w:w="1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เวลาแรงงานต่อชิ้นลดลง ≥15% และส่งมอบตรงเวลา ≥95%</w:t>
            </w:r>
          </w:p>
        </w:tc>
      </w:tr>
      <w:tr>
        <w:trPr/>
        <w:tc>
          <w:tcPr>
            <w:tcW w:type="dxa" w:w="1650"/>
            <w:gridSpan w:val="8"/>
            <w:shd w:fill="EDF1F9"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ปีที่ 4 (2573) เพิ่มประสิทธิภาพและขยายตลาด</w:t>
            </w:r>
          </w:p>
        </w:tc>
      </w:tr>
      <w:tr>
        <w:trPr/>
        <w:tc>
          <w:tcPr>
            <w:tcW w:type="dxa" w:w="18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หน้าที่ (การขาย)</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P9 พอร์ทัลเติมสินค้าตามสัญญาและบริการหลังการขาย</w:t>
            </w:r>
          </w:p>
        </w:tc>
        <w:tc>
          <w:tcPr>
            <w:tcW w:type="dxa" w:w="24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พอร์ทัลเติมสินค้าหลัง Gate 2 เฉพาะลูกค้าที่มีสัญญา/SLA และข้อมูล S&amp;OP พร้อม</w:t>
            </w:r>
          </w:p>
        </w:tc>
        <w:tc>
          <w:tcPr>
            <w:tcW w:type="dxa" w:w="18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พาณิชย์ / สารสนเทศ</w:t>
            </w:r>
          </w:p>
        </w:tc>
        <w:tc>
          <w:tcPr>
            <w:tcW w:type="dxa" w:w="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ปีที่ 4–5</w:t>
            </w:r>
          </w:p>
        </w:tc>
        <w:tc>
          <w:tcPr>
            <w:tcW w:type="dxa" w:w="14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6.0–10.0</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สัดส่วนรายได้จากสัญญา และอัตราสินค้าขาดส่ง</w:t>
            </w:r>
          </w:p>
        </w:tc>
        <w:tc>
          <w:tcPr>
            <w:tcW w:type="dxa" w:w="1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รายได้จากสัญญา ≥20% ของหน่วยธุรกิจ และสินค้าขาดส่ง ≤2%</w:t>
            </w:r>
          </w:p>
        </w:tc>
      </w:tr>
      <w:tr>
        <w:trPr/>
        <w:tc>
          <w:tcPr>
            <w:tcW w:type="dxa" w:w="18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องค์กร (เติบโต)</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P10 selected high-value ODM export (Gate 4)</w:t>
            </w:r>
          </w:p>
        </w:tc>
        <w:tc>
          <w:tcPr>
            <w:tcW w:type="dxa" w:w="24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ขยายเฉพาะ ODM ที่มีข้อกำหนดสูง margin ผ่าน hurdle และ traceability พร้อม; ไม่กลับไปแข่ง volume-led commodity OEM</w:t>
            </w:r>
          </w:p>
        </w:tc>
        <w:tc>
          <w:tcPr>
            <w:tcW w:type="dxa" w:w="18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ส่งออก / วิจัยและพัฒนา / กำกับมาตรฐาน</w:t>
            </w:r>
          </w:p>
        </w:tc>
        <w:tc>
          <w:tcPr>
            <w:tcW w:type="dxa" w:w="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ปีที่ 4–5</w:t>
            </w:r>
          </w:p>
        </w:tc>
        <w:tc>
          <w:tcPr>
            <w:tcW w:type="dxa" w:w="14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8.0–13.0</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จำนวนลูกค้าส่งออกรายใหม่ และอัตรากำไรส่วนเพิ่ม</w:t>
            </w:r>
          </w:p>
        </w:tc>
        <w:tc>
          <w:tcPr>
            <w:tcW w:type="dxa" w:w="1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ลูกค้าส่งออกใหม่ ≥3 ราย และกำไรส่วนเพิ่มผ่านเกณฑ์ขั้นต่ำ</w:t>
            </w:r>
          </w:p>
        </w:tc>
      </w:tr>
      <w:tr>
        <w:trPr/>
        <w:tc>
          <w:tcPr>
            <w:tcW w:type="dxa" w:w="1650"/>
            <w:gridSpan w:val="8"/>
            <w:shd w:fill="EDF1F9"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ดำเนินการต่อเนื่องตลอดแผน (ปีที่ 1–5)</w:t>
            </w:r>
          </w:p>
        </w:tc>
      </w:tr>
      <w:tr>
        <w:trPr/>
        <w:tc>
          <w:tcPr>
            <w:tcW w:type="dxa" w:w="180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หน้าที่ (บุคลากร)</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P11 พัฒนาบุคลากรและปกป้องตำแหน่งวิกฤต</w:t>
            </w:r>
          </w:p>
        </w:tc>
        <w:tc>
          <w:tcPr>
            <w:tcW w:type="dxa" w:w="24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สรรหา/พัฒนา sales engineering, textile technology, IE/data และปกป้องตำแหน่งวิกฤตระหว่าง turnaround; เป็น enabling prerequisite ทุก Gate</w:t>
            </w:r>
          </w:p>
        </w:tc>
        <w:tc>
          <w:tcPr>
            <w:tcW w:type="dxa" w:w="18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ทรัพยากรมนุษย์ / หัวหน้าสายงาน</w:t>
            </w:r>
          </w:p>
        </w:tc>
        <w:tc>
          <w:tcPr>
            <w:tcW w:type="dxa" w:w="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ปีที่ 1–5</w:t>
            </w:r>
          </w:p>
        </w:tc>
        <w:tc>
          <w:tcPr>
            <w:tcW w:type="dxa" w:w="14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5.0–8.0</w:t>
            </w:r>
          </w:p>
        </w:tc>
        <w:tc>
          <w:tcPr>
            <w:tcW w:type="dxa" w:w="25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สัดส่วนพนักงานตำแหน่งวิกฤตที่ผ่านการพัฒนาทักษะ และอัตราการลาออก</w:t>
            </w:r>
          </w:p>
        </w:tc>
        <w:tc>
          <w:tcPr>
            <w:tcW w:type="dxa" w:w="16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ผ่านการพัฒนาครบ 100% ภายในปี 2572 และอัตราการลาออกไม่เกินระดับฐาน</w:t>
            </w:r>
          </w:p>
        </w:tc>
      </w:tr>
      <w:tr>
        <w:trPr/>
        <w:tc>
          <w:tcPr>
            <w:tcW w:type="dxa" w:w="1800"/>
            <w:shd w:fill="FCE4D6" w:color="auto" w:val="clear"/>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รวมงบประมาณตลอดแผน 5 ปี</w:t>
            </w:r>
          </w:p>
        </w:tc>
        <w:tc>
          <w:tcPr>
            <w:tcW w:type="dxa" w:w="250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r>
          </w:p>
        </w:tc>
        <w:tc>
          <w:tcPr>
            <w:tcW w:type="dxa" w:w="245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r>
          </w:p>
        </w:tc>
        <w:tc>
          <w:tcPr>
            <w:tcW w:type="dxa" w:w="180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r>
          </w:p>
        </w:tc>
        <w:tc>
          <w:tcPr>
            <w:tcW w:type="dxa" w:w="90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r>
          </w:p>
        </w:tc>
        <w:tc>
          <w:tcPr>
            <w:tcW w:type="dxa" w:w="140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102.5–174.0</w:t>
            </w:r>
          </w:p>
        </w:tc>
        <w:tc>
          <w:tcPr>
            <w:tcW w:type="dxa" w:w="250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สัดส่วนของส่วนของผู้ถือหุ้น ณ สิ้นปี 2568</w:t>
            </w:r>
          </w:p>
        </w:tc>
        <w:tc>
          <w:tcPr>
            <w:tcW w:type="dxa" w:w="1650"/>
            <w:shd w:fill="FCE4D6"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ร้อยละ 7.5–12.7 ของ 1,365.54 ล้านบาท</w:t>
            </w:r>
          </w:p>
        </w:tc>
      </w:tr>
    </w:tbl>
    <w:p>
      <w:r>
        <w:rPr>
          <w:rFonts w:ascii="TH Sarabun New" w:hAnsi="TH Sarabun New" w:eastAsia="TH Sarabun New"/>
          <w:i/>
          <w:color w:val="666666"/>
          <w:sz w:val="20"/>
        </w:rPr>
        <w:t>ที่มา: แผนของผู้จัดทำ; งบเป็นช่วงสมมติฐานและต้องผ่าน Gate/prerequisite</w:t>
      </w:r>
    </w:p>
    <w:p>
      <w:pPr>
        <w:spacing w:after="110" w:line="228"/>
        <w:jc w:val="left"/>
      </w:pPr>
      <w:r>
        <w:rPr>
          <w:rFonts w:ascii="TH Sarabun New" w:cs="TH Sarabun New" w:eastAsia="TH Sarabun New" w:hAnsi="TH Sarabun New"/>
          <w:b w:val="false"/>
          <w:bCs w:val="false"/>
          <w:i w:val="false"/>
          <w:iCs w:val="false"/>
          <w:sz w:val="26"/>
          <w:szCs w:val="26"/>
        </w:rPr>
        <w:t xml:space="preserve">หมายเหตุ: งบประมาณเป็นกรอบสมมติฐานเชิงวางแผนของผู้จัดทำ ไม่ใช่งบประมาณที่บริษัทประกาศ ฐานการประมาณการของแต่ละรายการแสดงในตารางที่ 18</w:t>
      </w:r>
    </w:p>
    <w:p>
      <w:pPr>
        <w:pStyle w:val="Heading2"/>
        <w:keepNext/>
        <w:spacing w:after="70" w:before="150"/>
      </w:pPr>
      <w:r>
        <w:rPr>
          <w:rFonts w:ascii="TH Sarabun New" w:hAnsi="TH Sarabun New" w:eastAsia="TH Sarabun New"/>
          <w:b/>
          <w:color w:val="2F5597"/>
          <w:sz w:val="32"/>
        </w:rPr>
        <w:t>5.2 งบประมาณและฐานการประมาณการ</w:t>
      </w:r>
    </w:p>
    <w:p>
      <w:pPr>
        <w:keepNext/>
        <w:spacing w:after="50" w:before="130"/>
        <w:jc w:val="left"/>
      </w:pPr>
      <w:r>
        <w:rPr>
          <w:rFonts w:ascii="TH Sarabun New" w:cs="TH Sarabun New" w:eastAsia="TH Sarabun New" w:hAnsi="TH Sarabun New"/>
          <w:b/>
          <w:bCs/>
          <w:i w:val="false"/>
          <w:iCs w:val="false"/>
          <w:sz w:val="28"/>
          <w:szCs w:val="28"/>
        </w:rPr>
        <w:t xml:space="preserve">ตารางที่ 18  สรุปงบประมาณตามโครงการและฐานการประมาณการ</w:t>
      </w:r>
    </w:p>
    <w:tbl>
      <w:tblPr>
        <w:tblW w:type="dxa" w:w="15478"/>
        <w:tblBorders>
          <w:top w:val="single" w:color="7F7F7F" w:sz="4"/>
          <w:left w:val="single" w:color="7F7F7F" w:sz="4"/>
          <w:bottom w:val="single" w:color="7F7F7F" w:sz="4"/>
          <w:right w:val="single" w:color="7F7F7F" w:sz="4"/>
          <w:insideH w:val="single" w:color="BFBFBF" w:sz="2"/>
          <w:insideV w:val="single" w:color="BFBFBF" w:sz="2"/>
        </w:tblBorders>
      </w:tblPr>
      <w:tblGrid>
        <w:gridCol w:w="3272"/>
        <w:gridCol w:w="1636"/>
        <w:gridCol w:w="8321"/>
        <w:gridCol w:w="2249"/>
      </w:tblGrid>
      <w:tr>
        <w:trPr>
          <w:tblHeader/>
        </w:trPr>
        <w:tc>
          <w:tcPr>
            <w:tcW w:type="dxa" w:w="3272"/>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โครงการ</w:t>
            </w:r>
          </w:p>
        </w:tc>
        <w:tc>
          <w:tcPr>
            <w:tcW w:type="dxa" w:w="1636"/>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งบประมาณ (ล้านบาท)</w:t>
            </w:r>
          </w:p>
        </w:tc>
        <w:tc>
          <w:tcPr>
            <w:tcW w:type="dxa" w:w="832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ฐานการประมาณการ</w:t>
            </w:r>
          </w:p>
        </w:tc>
        <w:tc>
          <w:tcPr>
            <w:tcW w:type="dxa" w:w="224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ประเภทข้อมูล</w:t>
            </w:r>
          </w:p>
        </w:tc>
      </w:tr>
      <w:tr>
        <w:trP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P1 วินิจฉัยความสามารถทำกำไร</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1.5–3.0</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งานวิเคราะห์ข้อมูลย้อนหลัง 24 เดือน ใช้ทีมภายในร่วมกับที่ปรึกษาภายนอกระยะสั้น 3 เดือน</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rP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P2 ปรับส่วนผสมผลิตภัณฑ์และลดค่าใช้จ่าย</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ใช้งบดำเนินการภายใน</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เป็นการตัดสินใจเชิงนโยบายและการเจรจา ไม่ต้องใช้เงินลงทุนเพิ่ม ผลปรากฏเป็นการลดค่าใช้จ่ายในบทที่ 6</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rP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P3 จัดตั้งหน่วยธุรกิจ</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8.0–14.0</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ค่าใช้จ่ายส่วนเพิ่มของบุคลากรใหม่ 8–12 อัตรา ในช่วง 2 ปีแรกก่อนที่รายได้ของหน่วยธุรกิจจะรองรับได้เอง</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rP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P4 พัฒนาแพลตฟอร์มผลิตภัณฑ์</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10.0–18.0</w:t>
            </w:r>
          </w:p>
        </w:tc>
        <w:tc>
          <w:tcPr>
            <w:tcW w:type="dxa" w:w="8321"/>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ค่าพัฒนา 4 concepts และการทดสอบ โดยให้เพียง 2 แพลตฟอร์มผ่าน Gate 1 รอบแรก; ไม่ลงทุนโครงสร้างพื้นฐานใหม่ก่อน validation</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rP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P5 โครงการนำร่องและลูกค้าอ้างอิง</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6.0–10.0</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ค่าผลิตชุดทดลองใช้งาน เก็บข้อมูลภาคสนาม และทำกรณีศึกษาสำหรับลูกค้าอ้างอิง 5 ราย</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rP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P6 ระบบบริหารลูกค้า คิดต้นทุน และวางแผนขายและปฏิบัติการ</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8.0–14.0</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ค่าลิขสิทธิ์และติดตั้งระบบสำหรับผู้ใช้ 50–80 คน รวมค่าที่ปรึกษาวางกระบวนการ</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rP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P7 ระบบข้อมูลตรวจสอบย้อนกลับ</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5.0–9.0</w:t>
            </w:r>
          </w:p>
        </w:tc>
        <w:tc>
          <w:tcPr>
            <w:tcW w:type="dxa" w:w="8321"/>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เริ่มปลาย 2569 ต่อเนื่องจากระบบคู่ค้า 222 ราย ครอบคลุม supplier/material/SKU-lot data และ forced-labour readiness ก่อน 14 ธ.ค. 2570</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rP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P8 ระบบกึ่งอัตโนมัติและระบบบริหารการผลิต</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45.0–75.0</w:t>
            </w:r>
          </w:p>
        </w:tc>
        <w:tc>
          <w:tcPr>
            <w:tcW w:type="dxa" w:w="8321"/>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9"/>
              </w:rPr>
              <w:t>คงกรอบ 45–75 ล้านบาทตลอด 3 ปี เท่ากับเฉลี่ย 15–25 ล้านบาท/ปี หรือประมาณ 0.94–1.57 เท่าของเงินลงทุนเครื่องจักรปี 2568 ที่ 15.96 ล้านบาทต่อปี ไม่ใช่ 2–3 เท่าต่อปี อนุมัติเป็นขั้นเฉพาะสายที่ผ่าน Gate 0–2</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 อ้างอิงข้อมูลการลงทุนจริงปี 2568 [1]</w:t>
            </w:r>
          </w:p>
        </w:tc>
      </w:tr>
      <w:tr>
        <w:trP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P9 พอร์ทัลเติมสินค้าตามสัญญา</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6.0–10.0</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ค่าพัฒนาระบบสั่งซื้อสำหรับลูกค้าองค์กรและเชื่อมต่อกับระบบใน P6</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rP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P10 ขยายงาน ODM ส่งออกเฉพาะกลุ่ม</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8.0–13.0</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ค่างานแสดงสินค้าต่างประเทศ ค่าตัวแทน ใบรับรองเพิ่มเติม และพัฒนาตัวอย่างสำหรับลูกค้าใหม่ 3 ราย</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rP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P11 พัฒนาบุคลากรและตำแหน่งวิกฤต</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5.0–8.0</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ค่าอบรมและพัฒนาทักษะตลอด 5 ปีสำหรับพนักงาน 715 คน เน้นตำแหน่งวิกฤต</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rPr/>
        <w:tc>
          <w:tcPr>
            <w:tcW w:type="dxa" w:w="3272"/>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รวม</w:t>
            </w:r>
          </w:p>
        </w:tc>
        <w:tc>
          <w:tcPr>
            <w:tcW w:type="dxa" w:w="1636"/>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102.5–174.0</w:t>
            </w:r>
          </w:p>
        </w:tc>
        <w:tc>
          <w:tcPr>
            <w:tcW w:type="dxa" w:w="8321"/>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คิดเป็นร้อยละ 7.5–12.7 ของส่วนของผู้ถือหุ้น ณ สิ้นปี 2568 (1,365.54 ล้านบาท) และร้อยละ 11.7–19.9 ของสินทรัพย์ทางการเงินรวม (873.69 ล้านบาท)</w:t>
            </w:r>
          </w:p>
        </w:tc>
        <w:tc>
          <w:tcPr>
            <w:tcW w:type="dxa" w:w="2249"/>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การคำนวณ</w:t>
            </w:r>
          </w:p>
        </w:tc>
      </w:tr>
    </w:tbl>
    <w:p>
      <w:r>
        <w:rPr>
          <w:rFonts w:ascii="TH Sarabun New" w:hAnsi="TH Sarabun New" w:eastAsia="TH Sarabun New"/>
          <w:i/>
          <w:color w:val="666666"/>
          <w:sz w:val="20"/>
        </w:rPr>
        <w:t>ที่มา: PG capex ปี 2568 [1] และสมมติฐานของผู้จัดทำ; P8 45–75 ล้านบาท = 15–25 ล้านบาท/ปีโดยเฉลี่ย</w:t>
      </w:r>
    </w:p>
    <w:p>
      <w:pPr>
        <w:keepNext w:val="false"/>
        <w:spacing w:after="50" w:line="240"/>
        <w:ind w:firstLine="480"/>
        <w:jc w:val="both"/>
      </w:pPr>
      <w:r>
        <w:rPr>
          <w:rFonts w:ascii="TH Sarabun New" w:hAnsi="TH Sarabun New" w:eastAsia="TH Sarabun New"/>
          <w:sz w:val="32"/>
        </w:rPr>
        <w:t>นัยเชิงกลยุทธ์ต่อ PG: กรอบงบ 102.5–174.0 ล้านบาทเป็นสมมติฐานเชิงวางแผน ไม่ใช่งบที่บริษัทประกาศ ฉากทัศน์ให้เงินทุนมาจากกระแสเงินสดดำเนินงาน รายได้จากเงินลงทุน และการครบกำหนด/ปรับสัดส่วนสินทรัพย์ทางการเงินแบบเลือกเฉพาะ โดยไม่ต้องเพิ่มทุนหรือก่อหนี้ใหม่ ทั้งนี้ไม่สมมติว่าต้องขายสินทรัพย์ทางการเงินหลัก และทุกโครงการต้องมีใบเสนอราคา/business case ก่อนอนุมัติ</w:t>
      </w:r>
    </w:p>
    <w:p>
      <w:pPr>
        <w:pStyle w:val="Heading2"/>
        <w:keepNext/>
        <w:spacing w:after="60" w:before="140"/>
      </w:pPr>
      <w:r>
        <w:rPr>
          <w:rFonts w:ascii="TH Sarabun New" w:hAnsi="TH Sarabun New" w:eastAsia="TH Sarabun New"/>
          <w:b/>
          <w:color w:val="2F5597"/>
          <w:sz w:val="32"/>
        </w:rPr>
        <w:t>5.3 Balanced Scorecard และการควบคุมเชิงกลยุทธ์</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ระบบควบคุมใช้ Balanced Scorecard ตามบทเรียนบทที่ 12 ซึ่งผสมตัวชี้วัดทางการเงินที่บอกผลที่เกิดแล้ว เข้ากับตัวชี้วัดเชิงปฏิบัติการที่ขับเคลื่อนผลการเงินในอนาคต ตัวชี้วัดทุกตัวเชื่อมกับวัตถุประสงค์ในตารางที่ 15 และโครงการในตารางที่ 17 โดยตรง ตัวชี้วัดที่ยังไม่มีข้อมูลฐานถูกระบุว่า “ต้องกำหนดค่าฐาน” แทนการใส่ตัวเลขที่ไม่มีหลักฐาน</w:t>
      </w:r>
    </w:p>
    <w:p>
      <w:pPr>
        <w:keepNext/>
        <w:spacing w:after="50" w:before="130"/>
        <w:jc w:val="left"/>
      </w:pPr>
      <w:r>
        <w:rPr>
          <w:rFonts w:ascii="TH Sarabun New" w:cs="TH Sarabun New" w:eastAsia="TH Sarabun New" w:hAnsi="TH Sarabun New"/>
          <w:b/>
          <w:bCs/>
          <w:i w:val="false"/>
          <w:iCs w:val="false"/>
          <w:sz w:val="28"/>
          <w:szCs w:val="28"/>
        </w:rPr>
        <w:t xml:space="preserve">ตารางที่ 19  การควบคุมและประเมินผลด้วย Balanced Scorecard</w:t>
      </w:r>
    </w:p>
    <w:tbl>
      <w:tblPr>
        <w:tblW w:type="dxa" w:w="15478"/>
        <w:jc w:val="center"/>
        <w:tblBorders>
          <w:top w:val="single" w:color="B7B7B7" w:sz="4"/>
          <w:left w:val="single" w:color="B7B7B7" w:sz="4"/>
          <w:bottom w:val="single" w:color="B7B7B7" w:sz="4"/>
          <w:right w:val="single" w:color="B7B7B7" w:sz="4"/>
          <w:insideH w:val="single" w:color="B7B7B7" w:sz="4"/>
          <w:insideV w:val="single" w:color="B7B7B7" w:sz="4"/>
        </w:tblBorders>
        <w:tblLayout w:type="fixed"/>
      </w:tblPr>
      <w:tblGrid>
        <w:gridCol w:w="1050"/>
        <w:gridCol w:w="1900"/>
        <w:gridCol w:w="3200"/>
        <w:gridCol w:w="1900"/>
        <w:gridCol w:w="1900"/>
        <w:gridCol w:w="1600"/>
        <w:gridCol w:w="1100"/>
        <w:gridCol w:w="1350"/>
      </w:tblGrid>
      <w:tr>
        <w:trPr>
          <w:tblHeader w:val="true"/>
        </w:trPr>
        <w:tc>
          <w:tcPr>
            <w:tcW w:type="dxa" w:w="105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มิติ</w:t>
            </w:r>
          </w:p>
        </w:tc>
        <w:tc>
          <w:tcPr>
            <w:tcW w:type="dxa" w:w="19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วัตถุประสงค์เชิงกลยุทธ์</w:t>
            </w:r>
          </w:p>
        </w:tc>
        <w:tc>
          <w:tcPr>
            <w:tcW w:type="dxa" w:w="32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ตัวชี้วัด (KPI)</w:t>
            </w:r>
          </w:p>
        </w:tc>
        <w:tc>
          <w:tcPr>
            <w:tcW w:type="dxa" w:w="19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ค่าฐาน 2568</w:t>
            </w:r>
          </w:p>
        </w:tc>
        <w:tc>
          <w:tcPr>
            <w:tcW w:type="dxa" w:w="19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เป้าหมาย 2574</w:t>
            </w:r>
          </w:p>
        </w:tc>
        <w:tc>
          <w:tcPr>
            <w:tcW w:type="dxa" w:w="16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โครงการที่รองรับ</w:t>
            </w:r>
          </w:p>
        </w:tc>
        <w:tc>
          <w:tcPr>
            <w:tcW w:type="dxa" w:w="11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ความถี่</w:t>
            </w:r>
          </w:p>
        </w:tc>
        <w:tc>
          <w:tcPr>
            <w:tcW w:type="dxa" w:w="135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0"/>
              </w:rPr>
              <w:t>ผู้รับผิดชอบ</w:t>
            </w:r>
          </w:p>
        </w:tc>
      </w:tr>
      <w:tr>
        <w:trPr/>
        <w:tc>
          <w:tcPr>
            <w:tcW w:type="dxa" w:w="1350"/>
            <w:gridSpan w:val="8"/>
            <w:shd w:fill="EDF1F9"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1. มิติการเงิน (Financial Perspective) — เราปรากฏต่อผู้ถือหุ้นอย่างไร</w:t>
            </w:r>
          </w:p>
        </w:tc>
      </w:tr>
      <w:tr>
        <w:trPr/>
        <w:tc>
          <w:tcPr>
            <w:tcW w:type="dxa" w:w="105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การเงิน</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OBJ1</w:t>
            </w:r>
          </w:p>
        </w:tc>
        <w:tc>
          <w:tcPr>
            <w:tcW w:type="dxa" w:w="32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ผลจากธุรกิจหลัก</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-8.02%</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ไม่น้อยกว่า 7%</w:t>
            </w:r>
          </w:p>
        </w:tc>
        <w:tc>
          <w:tcPr>
            <w:tcW w:type="dxa" w:w="1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P1, P2, P8</w:t>
            </w:r>
          </w:p>
        </w:tc>
        <w:tc>
          <w:tcPr>
            <w:tcW w:type="dxa" w:w="11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รายเดือน</w:t>
            </w:r>
          </w:p>
        </w:tc>
        <w:tc>
          <w:tcPr>
            <w:tcW w:type="dxa" w:w="13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บัญชีและการเงิน</w:t>
            </w:r>
          </w:p>
        </w:tc>
      </w:tr>
      <w:tr>
        <w:trPr/>
        <w:tc>
          <w:tcPr>
            <w:tcW w:type="dxa" w:w="105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การเงิน</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OBJ2 และ OBJ3</w:t>
            </w:r>
          </w:p>
        </w:tc>
        <w:tc>
          <w:tcPr>
            <w:tcW w:type="dxa" w:w="32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อัตรากำไรขั้นต้น/SG&amp;A ต่อรายได้</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21.40% / 29.42%</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≥27.5% และ ≤20.0%</w:t>
            </w:r>
          </w:p>
        </w:tc>
        <w:tc>
          <w:tcPr>
            <w:tcW w:type="dxa" w:w="1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P2, P3, P4, P8</w:t>
            </w:r>
          </w:p>
        </w:tc>
        <w:tc>
          <w:tcPr>
            <w:tcW w:type="dxa" w:w="11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รายเดือน</w:t>
            </w:r>
          </w:p>
        </w:tc>
        <w:tc>
          <w:tcPr>
            <w:tcW w:type="dxa" w:w="13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บัญชีและการเงิน</w:t>
            </w:r>
          </w:p>
        </w:tc>
      </w:tr>
      <w:tr>
        <w:trPr/>
        <w:tc>
          <w:tcPr>
            <w:tcW w:type="dxa" w:w="105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การเงิน</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OBJ7 และ OBJ9</w:t>
            </w:r>
          </w:p>
        </w:tc>
        <w:tc>
          <w:tcPr>
            <w:tcW w:type="dxa" w:w="32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ROE ใช้กำไรสุทธิ/ส่วนของผู้ถือหุ้นเฉลี่ย และยอดขาย</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-0.40% / 605.20 ล้านบาท</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ROE ≥6% และยอดขายประมาณ 810 ล้านบาท</w:t>
            </w:r>
          </w:p>
        </w:tc>
        <w:tc>
          <w:tcPr>
            <w:tcW w:type="dxa" w:w="1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ทุกโครงการ</w:t>
            </w:r>
          </w:p>
        </w:tc>
        <w:tc>
          <w:tcPr>
            <w:tcW w:type="dxa" w:w="11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รายไตรมาส</w:t>
            </w:r>
          </w:p>
        </w:tc>
        <w:tc>
          <w:tcPr>
            <w:tcW w:type="dxa" w:w="13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CEO / ผอ.หน่วยธุรกิจ</w:t>
            </w:r>
          </w:p>
        </w:tc>
      </w:tr>
      <w:tr>
        <w:trPr/>
        <w:tc>
          <w:tcPr>
            <w:tcW w:type="dxa" w:w="1350"/>
            <w:gridSpan w:val="8"/>
            <w:shd w:fill="EDF1F9"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2. มิติลูกค้า (Customer Perspective) — ลูกค้ามองเราอย่างไร</w:t>
            </w:r>
          </w:p>
        </w:tc>
      </w:tr>
      <w:tr>
        <w:trPr/>
        <w:tc>
          <w:tcPr>
            <w:tcW w:type="dxa" w:w="105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ลูกค้า</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OBJ4</w:t>
            </w:r>
          </w:p>
        </w:tc>
        <w:tc>
          <w:tcPr>
            <w:tcW w:type="dxa" w:w="32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สัดส่วนลูกค้ารายใหญ่ที่สุด</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40.12%</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ไม่เกิน 30%</w:t>
            </w:r>
          </w:p>
        </w:tc>
        <w:tc>
          <w:tcPr>
            <w:tcW w:type="dxa" w:w="1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P3, P5, P9</w:t>
            </w:r>
          </w:p>
        </w:tc>
        <w:tc>
          <w:tcPr>
            <w:tcW w:type="dxa" w:w="11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รายไตรมาส</w:t>
            </w:r>
          </w:p>
        </w:tc>
        <w:tc>
          <w:tcPr>
            <w:tcW w:type="dxa" w:w="13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พาณิชย์</w:t>
            </w:r>
          </w:p>
        </w:tc>
      </w:tr>
      <w:tr>
        <w:trPr/>
        <w:tc>
          <w:tcPr>
            <w:tcW w:type="dxa" w:w="105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ลูกค้า</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OBJ6</w:t>
            </w:r>
          </w:p>
        </w:tc>
        <w:tc>
          <w:tcPr>
            <w:tcW w:type="dxa" w:w="32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สัดส่วนรายได้ Functional Workwear</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ต้องกำหนดค่าฐานภายใน 90 วัน</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ไม่น้อยกว่า 38%</w:t>
            </w:r>
          </w:p>
        </w:tc>
        <w:tc>
          <w:tcPr>
            <w:tcW w:type="dxa" w:w="1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P3, P4, P5</w:t>
            </w:r>
          </w:p>
        </w:tc>
        <w:tc>
          <w:tcPr>
            <w:tcW w:type="dxa" w:w="11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รายเดือน</w:t>
            </w:r>
          </w:p>
        </w:tc>
        <w:tc>
          <w:tcPr>
            <w:tcW w:type="dxa" w:w="13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ผอ.หน่วยธุรกิจ</w:t>
            </w:r>
          </w:p>
        </w:tc>
      </w:tr>
      <w:tr>
        <w:trPr/>
        <w:tc>
          <w:tcPr>
            <w:tcW w:type="dxa" w:w="105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ลูกค้า</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รักษาฐานลูกค้าองค์กรและสร้างความน่าเชื่อถือด้านการส่งมอบ</w:t>
            </w:r>
          </w:p>
        </w:tc>
        <w:tc>
          <w:tcPr>
            <w:tcW w:type="dxa" w:w="32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อัตราต่อสัญญา / สั่งซื้อซ้ำ / ส่งมอบตรงเวลา / สินค้าขาดส่ง</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ต้องกำหนดค่าฐาน</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ต่อสัญญา ≥85% สั่งซื้อซ้ำ ≥70% ส่งมอบตรงเวลา ≥95% ขาดส่ง ≤2%</w:t>
            </w:r>
          </w:p>
        </w:tc>
        <w:tc>
          <w:tcPr>
            <w:tcW w:type="dxa" w:w="1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P5, P6, P8, P9</w:t>
            </w:r>
          </w:p>
        </w:tc>
        <w:tc>
          <w:tcPr>
            <w:tcW w:type="dxa" w:w="11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รายเดือน</w:t>
            </w:r>
          </w:p>
        </w:tc>
        <w:tc>
          <w:tcPr>
            <w:tcW w:type="dxa" w:w="13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ฝ่ายขาย / ปฏิบัติการ</w:t>
            </w:r>
          </w:p>
        </w:tc>
      </w:tr>
      <w:tr>
        <w:trPr/>
        <w:tc>
          <w:tcPr>
            <w:tcW w:type="dxa" w:w="1350"/>
            <w:gridSpan w:val="8"/>
            <w:shd w:fill="EDF1F9"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3. มิติกระบวนการภายใน (Internal Process Perspective) — เราต้องทำอะไรให้เป็นเลิศ</w:t>
            </w:r>
          </w:p>
        </w:tc>
      </w:tr>
      <w:tr>
        <w:trPr/>
        <w:tc>
          <w:tcPr>
            <w:tcW w:type="dxa" w:w="105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กระบวนการ</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OBJ5</w:t>
            </w:r>
          </w:p>
        </w:tc>
        <w:tc>
          <w:tcPr>
            <w:tcW w:type="dxa" w:w="32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DIO = สินค้าคงเหลือเฉลี่ย/COGS×365; CCC = AR days + DIO − AP days</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DIO แบบจำลอง 267.75 วัน; CCC แบบจำลองประมาณ 287.59 วัน</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DIO ประมาณ 110 วัน; CCC ประมาณ 120 วัน</w:t>
            </w:r>
          </w:p>
        </w:tc>
        <w:tc>
          <w:tcPr>
            <w:tcW w:type="dxa" w:w="1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P6, P9</w:t>
            </w:r>
          </w:p>
        </w:tc>
        <w:tc>
          <w:tcPr>
            <w:tcW w:type="dxa" w:w="11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รายเดือน</w:t>
            </w:r>
          </w:p>
        </w:tc>
        <w:tc>
          <w:tcPr>
            <w:tcW w:type="dxa" w:w="13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ปฏิบัติการ / บัญชีและการเงิน</w:t>
            </w:r>
          </w:p>
        </w:tc>
      </w:tr>
      <w:tr>
        <w:trPr/>
        <w:tc>
          <w:tcPr>
            <w:tcW w:type="dxa" w:w="105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กระบวนการ</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ยกระดับผลิตภาพ เร่งวงจรตัวอย่างถึงคำสั่งซื้อ และบังคับใช้เกณฑ์กำไรก่อนรับงาน</w:t>
            </w:r>
          </w:p>
        </w:tc>
        <w:tc>
          <w:tcPr>
            <w:tcW w:type="dxa" w:w="32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เวลาแรงงานต่อชิ้น / ระยะเวลาเสนอราคาและทำตัวอย่าง / อัตราเปลี่ยนตัวอย่างเป็นคำสั่งซื้อ / สัดส่วนคำสั่งซื้อที่ผ่านเกณฑ์กำไร</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ต้องกำหนดค่าฐาน</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เวลาแรงงานลด ≥15% ระยะเวลาเสนอราคาลด ≥30% อัตราเปลี่ยน ≥25% ผ่านเกณฑ์กำไร ≥95%</w:t>
            </w:r>
          </w:p>
        </w:tc>
        <w:tc>
          <w:tcPr>
            <w:tcW w:type="dxa" w:w="1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P1, P4, P6, P8</w:t>
            </w:r>
          </w:p>
        </w:tc>
        <w:tc>
          <w:tcPr>
            <w:tcW w:type="dxa" w:w="11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รายเดือน</w:t>
            </w:r>
          </w:p>
        </w:tc>
        <w:tc>
          <w:tcPr>
            <w:tcW w:type="dxa" w:w="13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IE / R&amp;D / ฝ่ายขาย / การเงิน</w:t>
            </w:r>
          </w:p>
        </w:tc>
      </w:tr>
      <w:tr>
        <w:trPr/>
        <w:tc>
          <w:tcPr>
            <w:tcW w:type="dxa" w:w="1350"/>
            <w:gridSpan w:val="8"/>
            <w:shd w:fill="EDF1F9"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4. มิติการเรียนรู้และการเติบโต (Learning and Growth Perspective) — เราจะพัฒนาและสร้างคุณค่าต่อไปได้หรือไม่</w:t>
            </w:r>
          </w:p>
        </w:tc>
      </w:tr>
      <w:tr>
        <w:trPr/>
        <w:tc>
          <w:tcPr>
            <w:tcW w:type="dxa" w:w="105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เรียนรู้และเติบโต</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OBJ8</w:t>
            </w:r>
          </w:p>
        </w:tc>
        <w:tc>
          <w:tcPr>
            <w:tcW w:type="dxa" w:w="32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สัดส่วน SKU เชิงกลยุทธ์ที่มีข้อมูล traceability ครบ</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ต้องกำหนดค่าฐาน</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MVP ก่อน 14 ธ.ค. 2570; ครบ 100% ปี 2572 และรักษาระดับ</w:t>
            </w:r>
          </w:p>
        </w:tc>
        <w:tc>
          <w:tcPr>
            <w:tcW w:type="dxa" w:w="1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P7</w:t>
            </w:r>
          </w:p>
        </w:tc>
        <w:tc>
          <w:tcPr>
            <w:tcW w:type="dxa" w:w="11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รายไตรมาส</w:t>
            </w:r>
          </w:p>
        </w:tc>
        <w:tc>
          <w:tcPr>
            <w:tcW w:type="dxa" w:w="13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จัดซื้อ / ควบคุมคุณภาพ</w:t>
            </w:r>
          </w:p>
        </w:tc>
      </w:tr>
      <w:tr>
        <w:trPr/>
        <w:tc>
          <w:tcPr>
            <w:tcW w:type="dxa" w:w="1050"/>
            <w:tcMar>
              <w:top w:type="dxa" w:w="10"/>
              <w:left w:type="dxa" w:w="60"/>
              <w:bottom w:type="dxa" w:w="10"/>
              <w:right w:type="dxa" w:w="60"/>
            </w:tcMar>
            <w:vAlign w:val="center"/>
          </w:tcPr>
          <w:p>
            <w:pPr>
              <w:spacing w:before="0" w:after="0" w:line="240" w:lineRule="auto"/>
              <w:jc w:val="left"/>
            </w:pPr>
            <w:r>
              <w:rPr>
                <w:rFonts w:ascii="TH Sarabun New" w:hAnsi="TH Sarabun New" w:eastAsia="TH Sarabun New"/>
                <w:b w:val="0"/>
                <w:sz w:val="18"/>
              </w:rPr>
              <w:t>เรียนรู้และเติบโต</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สร้างความสามารถใหม่ และรักษาความสามารถระหว่างการฟื้นฟู</w:t>
            </w:r>
          </w:p>
        </w:tc>
        <w:tc>
          <w:tcPr>
            <w:tcW w:type="dxa" w:w="32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จำนวนตำแหน่งวิกฤตที่มีผู้ดำรงตำแหน่งครบและผ่านการพัฒนา / อัตราการลาออกของตำแหน่งวิกฤต</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ยังไม่มีตำแหน่งวิศวกรการขายและนักเทคโนโลยีสิ่งทอเฉพาะทาง</w:t>
            </w:r>
          </w:p>
        </w:tc>
        <w:tc>
          <w:tcPr>
            <w:tcW w:type="dxa" w:w="19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ครบ 100% ภายในปี 2572 และอัตราการลาออกไม่สูงกว่าค่าฐาน</w:t>
            </w:r>
          </w:p>
        </w:tc>
        <w:tc>
          <w:tcPr>
            <w:tcW w:type="dxa" w:w="16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P11</w:t>
            </w:r>
          </w:p>
        </w:tc>
        <w:tc>
          <w:tcPr>
            <w:tcW w:type="dxa" w:w="110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รายไตรมาส</w:t>
            </w:r>
          </w:p>
        </w:tc>
        <w:tc>
          <w:tcPr>
            <w:tcW w:type="dxa" w:w="1350"/>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val="0"/>
                <w:sz w:val="18"/>
              </w:rPr>
              <w:t>ทรัพยากรมนุษย์</w:t>
            </w:r>
          </w:p>
        </w:tc>
      </w:tr>
    </w:tbl>
    <w:p>
      <w:r>
        <w:rPr>
          <w:rFonts w:ascii="TH Sarabun New" w:hAnsi="TH Sarabun New" w:eastAsia="TH Sarabun New"/>
          <w:i/>
          <w:color w:val="666666"/>
          <w:sz w:val="20"/>
        </w:rPr>
        <w:t>ที่มา: OBJ1–OBJ9 และ P1–P11; KPI/targets เป็น management-planning assumptions</w:t>
      </w:r>
    </w:p>
    <w:p>
      <w:pPr>
        <w:keepNext w:val="false"/>
        <w:spacing w:after="50" w:line="240"/>
        <w:ind w:firstLine="480"/>
        <w:jc w:val="both"/>
      </w:pPr>
      <w:r>
        <w:rPr>
          <w:rFonts w:ascii="TH Sarabun New" w:hAnsi="TH Sarabun New" w:eastAsia="TH Sarabun New"/>
          <w:sz w:val="32"/>
        </w:rPr>
        <w:t>นัยเชิงกลยุทธ์ต่อ PG: รายเดือนติดตาม core P&amp;L, margin รายลูกค้า/SKU, DIO/CCC ตามสูตรแบบจำลอง, OTD และ pipeline รายไตรมาสทบทวน SFAS, risk register และ Gate decisions รายปีทบทวน strategy/objectives/competitor benchmark ROE ในฉากทัศน์ใช้ส่วนของผู้ถือหุ้นเฉลี่ยที่สร้างจากงบแสดงฐานะการเงิน ไม่ใช่ยอดปลายงวดโดยไม่ระบุฐาน</w:t>
      </w:r>
    </w:p>
    <w:p>
      <w:pPr>
        <w:pStyle w:val="Heading2"/>
        <w:keepNext/>
        <w:spacing w:after="70" w:before="150"/>
      </w:pPr>
      <w:r>
        <w:rPr>
          <w:rFonts w:ascii="TH Sarabun New" w:hAnsi="TH Sarabun New" w:eastAsia="TH Sarabun New"/>
          <w:b/>
          <w:color w:val="2F5597"/>
          <w:sz w:val="32"/>
        </w:rPr>
        <w:t>5.4 Risk Register / Early Warning / Contingency</w:t>
      </w:r>
    </w:p>
    <w:p>
      <w:pPr>
        <w:keepNext/>
        <w:spacing w:after="50" w:before="130"/>
        <w:jc w:val="left"/>
      </w:pPr>
      <w:r>
        <w:rPr>
          <w:rFonts w:ascii="TH Sarabun New" w:cs="TH Sarabun New" w:eastAsia="TH Sarabun New" w:hAnsi="TH Sarabun New"/>
          <w:b/>
          <w:bCs/>
          <w:i w:val="false"/>
          <w:iCs w:val="false"/>
          <w:sz w:val="28"/>
          <w:szCs w:val="28"/>
        </w:rPr>
        <w:t xml:space="preserve">ตารางที่ 20  ความเสี่ยงของกลยุทธ์ สัญญาณเตือน และแผนรองรับ</w:t>
      </w:r>
    </w:p>
    <w:tbl>
      <w:tblPr>
        <w:tblW w:type="dxa" w:w="15478"/>
        <w:tblBorders>
          <w:top w:val="single" w:color="7F7F7F" w:sz="4"/>
          <w:left w:val="single" w:color="7F7F7F" w:sz="4"/>
          <w:bottom w:val="single" w:color="7F7F7F" w:sz="4"/>
          <w:right w:val="single" w:color="7F7F7F" w:sz="4"/>
          <w:insideH w:val="single" w:color="BFBFBF" w:sz="2"/>
          <w:insideV w:val="single" w:color="BFBFBF" w:sz="2"/>
        </w:tblBorders>
      </w:tblPr>
      <w:tblGrid>
        <w:gridCol w:w="3374"/>
        <w:gridCol w:w="3783"/>
        <w:gridCol w:w="6480"/>
        <w:gridCol w:w="1841"/>
      </w:tblGrid>
      <w:tr>
        <w:trPr>
          <w:tblHeader/>
        </w:trPr>
        <w:tc>
          <w:tcPr>
            <w:tcW w:type="dxa" w:w="3374"/>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ความเสี่ยง</w:t>
            </w:r>
          </w:p>
        </w:tc>
        <w:tc>
          <w:tcPr>
            <w:tcW w:type="dxa" w:w="3783"/>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สัญญาณเตือนที่วัดได้</w:t>
            </w:r>
          </w:p>
        </w:tc>
        <w:tc>
          <w:tcPr>
            <w:tcW w:type="dxa" w:w="648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แผนรองรับ</w:t>
            </w:r>
          </w:p>
        </w:tc>
        <w:tc>
          <w:tcPr>
            <w:tcW w:type="dxa" w:w="184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ผู้รับผิดชอบ</w:t>
            </w:r>
          </w:p>
        </w:tc>
      </w:tr>
      <w:tr>
        <w:trPr/>
        <w:tc>
          <w:tcPr>
            <w:tcW w:type="dxa" w:w="33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ผลการพิสูจน์กำไรใน 90 วันไม่ยืนยันว่ากลุ่มเครื่องแบบมีอัตรากำไรสูงกว่ากลุ่มอื่น</w:t>
            </w:r>
          </w:p>
        </w:tc>
        <w:tc>
          <w:tcPr>
            <w:tcW w:type="dxa" w:w="378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กำไรส่วนเพิ่มของกลุ่มเครื่องแบบและชุดทางการแพทย์ไม่สูงกว่าค่าเฉลี่ยของบริษัท</w:t>
            </w:r>
          </w:p>
        </w:tc>
        <w:tc>
          <w:tcPr>
            <w:tcW w:type="dxa" w:w="6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ชะลอส่วนการเติบโตทั้งหมด ดำเนินเฉพาะส่วนฟื้นฟูต่อไป ทบทวนแพลตฟอร์มผลิตภัณฑ์และกลุ่มลูกค้าใหม่ ไม่เปลี่ยนไปใช้ทางเลือก B ตามเหตุผลในหัวข้อ 4.4.3</w:t>
            </w:r>
          </w:p>
        </w:tc>
        <w:tc>
          <w:tcPr>
            <w:tcW w:type="dxa" w:w="18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CEO / คณะกรรมการบริหาร</w:t>
            </w:r>
          </w:p>
        </w:tc>
      </w:tr>
      <w:tr>
        <w:trPr/>
        <w:tc>
          <w:tcPr>
            <w:tcW w:type="dxa" w:w="33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หน่วยธุรกิจใหม่ขายไม่ได้ตามเป้า</w:t>
            </w:r>
          </w:p>
        </w:tc>
        <w:tc>
          <w:tcPr>
            <w:tcW w:type="dxa" w:w="378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มูลค่าโอกาสการขายต่ำกว่า 2 เท่าของเป้ารายได้ หรืออัตราเปลี่ยนตัวอย่างเป็นคำสั่งซื้อต่ำกว่า 20%</w:t>
            </w:r>
          </w:p>
        </w:tc>
        <w:tc>
          <w:tcPr>
            <w:tcW w:type="dxa" w:w="6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ลดจำนวนแพลตฟอร์มผลิตภัณฑ์จาก 4 เหลือ 2 ที่มีสัญญาณตอบรับดีที่สุด เพิ่มการใช้ลูกค้าอ้างอิง และทบทวนกลุ่มลูกค้าเป้าหมาย</w:t>
            </w:r>
          </w:p>
        </w:tc>
        <w:tc>
          <w:tcPr>
            <w:tcW w:type="dxa" w:w="18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ผอ.หน่วยธุรกิจ</w:t>
            </w:r>
          </w:p>
        </w:tc>
      </w:tr>
      <w:tr>
        <w:trPr/>
        <w:tc>
          <w:tcPr>
            <w:tcW w:type="dxa" w:w="33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อัตรากำไรถูกกดจากการแข่งขันในงานประมูล</w:t>
            </w:r>
          </w:p>
        </w:tc>
        <w:tc>
          <w:tcPr>
            <w:tcW w:type="dxa" w:w="378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กำไรส่วนเพิ่มของงานที่ชนะประมูลต่ำกว่าเกณฑ์ขั้นต่ำ</w:t>
            </w:r>
          </w:p>
        </w:tc>
        <w:tc>
          <w:tcPr>
            <w:tcW w:type="dxa" w:w="6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ใช้กระบวนการตัดสินใจเข้า/ไม่เข้าประมูลอย่างเข้มงวด ใช้วิศวกรรมคุณค่าลดต้นทุนโดยรักษาคุณสมบัติ และกำหนดเงื่อนไขปรับราคาตามต้นทุนวัตถุดิบในสัญญา</w:t>
            </w:r>
          </w:p>
        </w:tc>
        <w:tc>
          <w:tcPr>
            <w:tcW w:type="dxa" w:w="18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พาณิชย์ / การเงิน</w:t>
            </w:r>
          </w:p>
        </w:tc>
      </w:tr>
      <w:tr>
        <w:trPr/>
        <w:tc>
          <w:tcPr>
            <w:tcW w:type="dxa" w:w="33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การลงทุนระบบกึ่งอัตโนมัติไม่ให้ผลตอบแทนตามที่คาด</w:t>
            </w:r>
          </w:p>
        </w:tc>
        <w:tc>
          <w:tcPr>
            <w:tcW w:type="dxa" w:w="378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เวลาแรงงานต่อชิ้นหรือประสิทธิผลโดยรวมของเครื่องจักรไม่ดีขึ้นภายใน 3 เดือนหลังติดตั้ง</w:t>
            </w:r>
          </w:p>
        </w:tc>
        <w:tc>
          <w:tcPr>
            <w:tcW w:type="dxa" w:w="6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หยุดการอนุมัติงบขั้นถัดไป ทบทวนสายการผลิตนำร่องก่อนขยาย และปรับสัดส่วนการจ้างผลิตภายนอกแทน</w:t>
            </w:r>
          </w:p>
        </w:tc>
        <w:tc>
          <w:tcPr>
            <w:tcW w:type="dxa" w:w="18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COO</w:t>
            </w:r>
          </w:p>
        </w:tc>
      </w:tr>
      <w:tr>
        <w:trPr/>
        <w:tc>
          <w:tcPr>
            <w:tcW w:type="dxa" w:w="33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ความขัดแย้งด้านช่องทางกับ I.C.C. และบริษัทในเครือ</w:t>
            </w:r>
          </w:p>
        </w:tc>
        <w:tc>
          <w:tcPr>
            <w:tcW w:type="dxa" w:w="378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เกิดการทับซ้อนของลูกค้าหรือราคาที่ชนกันในกลุ่มลูกค้าเดียวกัน</w:t>
            </w:r>
          </w:p>
        </w:tc>
        <w:tc>
          <w:tcPr>
            <w:tcW w:type="dxa" w:w="6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บังคับใช้ข้อตกลงแบ่งกลุ่มลูกค้าและช่องทางตามกลยุทธ์ WT2 และให้คณะกรรมการบริหารเป็นผู้ชี้ขาดกรณีพิพาท</w:t>
            </w:r>
          </w:p>
        </w:tc>
        <w:tc>
          <w:tcPr>
            <w:tcW w:type="dxa" w:w="18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CEO</w:t>
            </w:r>
          </w:p>
        </w:tc>
      </w:tr>
      <w:tr>
        <w:trPr/>
        <w:tc>
          <w:tcPr>
            <w:tcW w:type="dxa" w:w="33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การลดค่าใช้จ่ายกระทบความสามารถขององค์กร สภาพเศรษฐกิจและภาษีการค้าเลวลงกว่าสมมติฐาน หรือข้อมูลตรวจสอบย้อนกลับไม่ครบตามกำหนดของ EU</w:t>
            </w:r>
          </w:p>
        </w:tc>
        <w:tc>
          <w:tcPr>
            <w:tcW w:type="dxa" w:w="378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อัตราของเสียหรืออัตราการลาออกของตำแหน่งวิกฤตแย่ลง ยอดขายในประเทศลดเกิน 5% ต่อปี คำสั่งซื้อส่งออกถูกเลื่อนเกิน 20% หรือคู่ค้าไม่ส่งข้อมูลวัสดุตามกำหนด</w:t>
            </w:r>
          </w:p>
        </w:tc>
        <w:tc>
          <w:tcPr>
            <w:tcW w:type="dxa" w:w="6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ปกป้องตำแหน่งวิกฤตและเร่งพัฒนาทักษะทดแทน เร่งสัดส่วนงานสัญญาระยะกลาง ชะลองบลงทุนที่ยังไม่ผูกพัน ทบทวนประมาณการเป็นกรณีฐาน และเร่งรับคู่ค้าเข้าระบบพร้อมจัดหาคู่ค้าทดแทนสำหรับวัสดุเสี่ยง</w:t>
            </w:r>
          </w:p>
        </w:tc>
        <w:tc>
          <w:tcPr>
            <w:tcW w:type="dxa" w:w="18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CEO / HR / การเงิน / จัดซื้อ</w:t>
            </w:r>
          </w:p>
        </w:tc>
      </w:tr>
    </w:tbl>
    <w:p>
      <w:r>
        <w:rPr>
          <w:rFonts w:ascii="TH Sarabun New" w:hAnsi="TH Sarabun New" w:eastAsia="TH Sarabun New"/>
          <w:i/>
          <w:color w:val="666666"/>
          <w:sz w:val="20"/>
        </w:rPr>
        <w:t>ที่มา: Risk assessment ของผู้จัดทำ; early-warning thresholds ต้องกำหนดฐานจริงใน Gate 0/1</w:t>
      </w:r>
    </w:p>
    <w:p>
      <w:pPr>
        <w:sectPr>
          <w:footerReference w:type="default" r:id="rId9"/>
          <w:pgSz w:w="16838" w:h="11906" w:orient="landscape"/>
          <w:pgMar w:top="737" w:right="680" w:bottom="680" w:left="680" w:header="708" w:footer="708" w:gutter="0"/>
          <w:pgNumType/>
          <w:docGrid w:linePitch="360"/>
        </w:sectPr>
      </w:pPr>
    </w:p>
    <w:p>
      <w:pPr>
        <w:pStyle w:val="Heading1"/>
        <w:keepNext/>
        <w:spacing w:after="80" w:before="180"/>
      </w:pPr>
      <w:r>
        <w:rPr>
          <w:rFonts w:ascii="TH Sarabun New" w:cs="TH Sarabun New" w:eastAsia="TH Sarabun New" w:hAnsi="TH Sarabun New"/>
          <w:b/>
          <w:bCs/>
          <w:i w:val="false"/>
          <w:iCs w:val="false"/>
          <w:sz w:val="36"/>
          <w:szCs w:val="36"/>
        </w:rPr>
        <w:t xml:space="preserve">6. ประมาณการผลการดำเนินงาน</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ประมาณการในบทนี้ไม่ได้ใช้วิธีคูณอัตราการเติบโตคงที่กับยอดขายปีฐาน แต่สร้างจากสมมติฐานที่ผูกกับกลยุทธ์และแผนปฏิบัติการโดยตรง คือ ยอดขายเปลี่ยนตามการยุติสินค้าที่ไม่ทำกำไรและการเพิ่มขึ้นของงานเครื่องแบบเชิงฟังก์ชัน อัตรากำไรขั้นต้นเปลี่ยนตามส่วนผสมผลิตภัณฑ์และโครงการ P8 และค่าใช้จ่ายขายและบริหารเปลี่ยนตามโครงการ P2 การนำเสนอแบ่งเป็นสองฉากทัศน์ คือ </w:t>
      </w:r>
      <w:r>
        <w:rPr>
          <w:rFonts w:ascii="TH Sarabun New" w:cs="TH Sarabun New" w:eastAsia="TH Sarabun New" w:hAnsi="TH Sarabun New"/>
          <w:b/>
          <w:bCs/>
          <w:i w:val="false"/>
          <w:iCs w:val="false"/>
          <w:sz w:val="32"/>
          <w:szCs w:val="32"/>
        </w:rPr>
        <w:t xml:space="preserve">กรณีฐาน</w:t>
      </w:r>
      <w:r>
        <w:rPr>
          <w:rFonts w:ascii="TH Sarabun New" w:cs="TH Sarabun New" w:eastAsia="TH Sarabun New" w:hAnsi="TH Sarabun New"/>
          <w:b w:val="false"/>
          <w:bCs w:val="false"/>
          <w:i w:val="false"/>
          <w:iCs w:val="false"/>
          <w:sz w:val="32"/>
          <w:szCs w:val="32"/>
        </w:rPr>
        <w:t xml:space="preserve"> ที่ดำเนินกลยุทธ์เดิมต่อไป และ </w:t>
      </w:r>
      <w:r>
        <w:rPr>
          <w:rFonts w:ascii="TH Sarabun New" w:cs="TH Sarabun New" w:eastAsia="TH Sarabun New" w:hAnsi="TH Sarabun New"/>
          <w:b/>
          <w:bCs/>
          <w:i w:val="false"/>
          <w:iCs w:val="false"/>
          <w:sz w:val="32"/>
          <w:szCs w:val="32"/>
        </w:rPr>
        <w:t xml:space="preserve">กรณีกลยุทธ์</w:t>
      </w:r>
      <w:r>
        <w:rPr>
          <w:rFonts w:ascii="TH Sarabun New" w:cs="TH Sarabun New" w:eastAsia="TH Sarabun New" w:hAnsi="TH Sarabun New"/>
          <w:b w:val="false"/>
          <w:bCs w:val="false"/>
          <w:i w:val="false"/>
          <w:iCs w:val="false"/>
          <w:sz w:val="32"/>
          <w:szCs w:val="32"/>
        </w:rPr>
        <w:t xml:space="preserve"> ที่ดำเนินตามแผนในบทที่ 5 ทั้งสองใช้ปี 2568 เป็นปีฐาน และแสดงผลจากธุรกิจหลักแยกจากรายได้อื่น เพราะการรวมสองรายการนี้คือสาเหตุที่ทำให้ปัญหาถูกมองข้ามมาสามปี</w:t>
      </w:r>
    </w:p>
    <w:p>
      <w:pPr>
        <w:pStyle w:val="Heading2"/>
        <w:keepNext/>
        <w:spacing w:after="50" w:before="130"/>
        <w:jc w:val="left"/>
      </w:pPr>
      <w:r>
        <w:rPr>
          <w:rFonts w:ascii="TH Sarabun New" w:hAnsi="TH Sarabun New" w:eastAsia="TH Sarabun New"/>
          <w:b/>
          <w:color w:val="2F5597"/>
          <w:sz w:val="32"/>
        </w:rPr>
        <w:t>6.1 กรณีฐาน (Base Case)</w:t>
      </w:r>
    </w:p>
    <w:p>
      <w:r>
        <w:rPr>
          <w:rFonts w:ascii="TH Sarabun New" w:hAnsi="TH Sarabun New" w:eastAsia="TH Sarabun New"/>
          <w:b/>
          <w:sz w:val="28"/>
        </w:rPr>
        <w:t>ตารางที่ 21 ประมาณการผลการดำเนินงาน กรณีฐาน ปี 2570–2574 (หน่วย: ล้านบาท เว้นแต่ระบุ)</w:t>
      </w:r>
    </w:p>
    <w:tbl>
      <w:tblPr>
        <w:tblW w:type="dxa" w:w="9468"/>
        <w:jc w:val="center"/>
        <w:tblBorders>
          <w:top w:val="single" w:color="B7B7B7" w:sz="4"/>
          <w:left w:val="single" w:color="B7B7B7" w:sz="4"/>
          <w:bottom w:val="single" w:color="B7B7B7" w:sz="4"/>
          <w:right w:val="single" w:color="B7B7B7" w:sz="4"/>
          <w:insideH w:val="single" w:color="B7B7B7" w:sz="4"/>
          <w:insideV w:val="single" w:color="B7B7B7" w:sz="4"/>
        </w:tblBorders>
        <w:tblLayout w:type="fixed"/>
      </w:tblPr>
      <w:tblGrid>
        <w:gridCol w:w="2600"/>
        <w:gridCol w:w="1070"/>
        <w:gridCol w:w="1070"/>
        <w:gridCol w:w="1070"/>
        <w:gridCol w:w="1070"/>
        <w:gridCol w:w="1070"/>
        <w:gridCol w:w="1070"/>
      </w:tblGrid>
      <w:tr>
        <w:trPr>
          <w:tblHeader w:val="true"/>
        </w:trPr>
        <w:tc>
          <w:tcPr>
            <w:tcW w:type="dxa" w:w="26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รายการ</w:t>
            </w:r>
          </w:p>
        </w:tc>
        <w:tc>
          <w:tcPr>
            <w:tcW w:type="dxa" w:w="107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2568 (จริง)</w:t>
            </w:r>
          </w:p>
        </w:tc>
        <w:tc>
          <w:tcPr>
            <w:tcW w:type="dxa" w:w="107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2570</w:t>
            </w:r>
          </w:p>
        </w:tc>
        <w:tc>
          <w:tcPr>
            <w:tcW w:type="dxa" w:w="107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2571</w:t>
            </w:r>
          </w:p>
        </w:tc>
        <w:tc>
          <w:tcPr>
            <w:tcW w:type="dxa" w:w="107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2572</w:t>
            </w:r>
          </w:p>
        </w:tc>
        <w:tc>
          <w:tcPr>
            <w:tcW w:type="dxa" w:w="107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2573</w:t>
            </w:r>
          </w:p>
        </w:tc>
        <w:tc>
          <w:tcPr>
            <w:tcW w:type="dxa" w:w="107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2574</w:t>
            </w:r>
          </w:p>
        </w:tc>
      </w:tr>
      <w:tr>
        <w:trPr/>
        <w:tc>
          <w:tcPr>
            <w:tcW w:type="dxa" w:w="2600"/>
            <w:vAlign w:val="center"/>
          </w:tcPr>
          <w:p>
            <w:pPr>
              <w:spacing w:before="0" w:after="0" w:line="240" w:lineRule="auto"/>
              <w:jc w:val="left"/>
            </w:pPr>
            <w:r>
              <w:rPr>
                <w:rFonts w:ascii="TH Sarabun New" w:hAnsi="TH Sarabun New" w:eastAsia="TH Sarabun New"/>
                <w:b w:val="0"/>
                <w:sz w:val="19"/>
              </w:rPr>
              <w:t>ยอดขาย</w:t>
            </w:r>
          </w:p>
        </w:tc>
        <w:tc>
          <w:tcPr>
            <w:tcW w:type="dxa" w:w="1070"/>
            <w:vAlign w:val="center"/>
          </w:tcPr>
          <w:p>
            <w:pPr>
              <w:spacing w:before="0" w:after="0" w:line="240" w:lineRule="auto"/>
              <w:jc w:val="center"/>
            </w:pPr>
            <w:r>
              <w:rPr>
                <w:rFonts w:ascii="TH Sarabun New" w:hAnsi="TH Sarabun New" w:eastAsia="TH Sarabun New"/>
                <w:b w:val="0"/>
                <w:sz w:val="19"/>
              </w:rPr>
              <w:t>605.20</w:t>
            </w:r>
          </w:p>
        </w:tc>
        <w:tc>
          <w:tcPr>
            <w:tcW w:type="dxa" w:w="1070"/>
            <w:vAlign w:val="center"/>
          </w:tcPr>
          <w:p>
            <w:pPr>
              <w:spacing w:before="0" w:after="0" w:line="240" w:lineRule="auto"/>
              <w:jc w:val="center"/>
            </w:pPr>
            <w:r>
              <w:rPr>
                <w:rFonts w:ascii="TH Sarabun New" w:hAnsi="TH Sarabun New" w:eastAsia="TH Sarabun New"/>
                <w:b w:val="0"/>
                <w:sz w:val="19"/>
              </w:rPr>
              <w:t>592.00</w:t>
            </w:r>
          </w:p>
        </w:tc>
        <w:tc>
          <w:tcPr>
            <w:tcW w:type="dxa" w:w="1070"/>
            <w:vAlign w:val="center"/>
          </w:tcPr>
          <w:p>
            <w:pPr>
              <w:spacing w:before="0" w:after="0" w:line="240" w:lineRule="auto"/>
              <w:jc w:val="center"/>
            </w:pPr>
            <w:r>
              <w:rPr>
                <w:rFonts w:ascii="TH Sarabun New" w:hAnsi="TH Sarabun New" w:eastAsia="TH Sarabun New"/>
                <w:b w:val="0"/>
                <w:sz w:val="19"/>
              </w:rPr>
              <w:t>586.00</w:t>
            </w:r>
          </w:p>
        </w:tc>
        <w:tc>
          <w:tcPr>
            <w:tcW w:type="dxa" w:w="1070"/>
            <w:vAlign w:val="center"/>
          </w:tcPr>
          <w:p>
            <w:pPr>
              <w:spacing w:before="0" w:after="0" w:line="240" w:lineRule="auto"/>
              <w:jc w:val="center"/>
            </w:pPr>
            <w:r>
              <w:rPr>
                <w:rFonts w:ascii="TH Sarabun New" w:hAnsi="TH Sarabun New" w:eastAsia="TH Sarabun New"/>
                <w:b w:val="0"/>
                <w:sz w:val="19"/>
              </w:rPr>
              <w:t>580.00</w:t>
            </w:r>
          </w:p>
        </w:tc>
        <w:tc>
          <w:tcPr>
            <w:tcW w:type="dxa" w:w="1070"/>
            <w:vAlign w:val="center"/>
          </w:tcPr>
          <w:p>
            <w:pPr>
              <w:spacing w:before="0" w:after="0" w:line="240" w:lineRule="auto"/>
              <w:jc w:val="center"/>
            </w:pPr>
            <w:r>
              <w:rPr>
                <w:rFonts w:ascii="TH Sarabun New" w:hAnsi="TH Sarabun New" w:eastAsia="TH Sarabun New"/>
                <w:b w:val="0"/>
                <w:sz w:val="19"/>
              </w:rPr>
              <w:t>574.00</w:t>
            </w:r>
          </w:p>
        </w:tc>
        <w:tc>
          <w:tcPr>
            <w:tcW w:type="dxa" w:w="1070"/>
            <w:vAlign w:val="center"/>
          </w:tcPr>
          <w:p>
            <w:pPr>
              <w:spacing w:before="0" w:after="0" w:line="240" w:lineRule="auto"/>
              <w:jc w:val="center"/>
            </w:pPr>
            <w:r>
              <w:rPr>
                <w:rFonts w:ascii="TH Sarabun New" w:hAnsi="TH Sarabun New" w:eastAsia="TH Sarabun New"/>
                <w:b w:val="0"/>
                <w:sz w:val="19"/>
              </w:rPr>
              <w:t>568.00</w:t>
            </w:r>
          </w:p>
        </w:tc>
      </w:tr>
      <w:tr>
        <w:trPr/>
        <w:tc>
          <w:tcPr>
            <w:tcW w:type="dxa" w:w="2600"/>
            <w:vAlign w:val="center"/>
          </w:tcPr>
          <w:p>
            <w:pPr>
              <w:spacing w:before="0" w:after="0" w:line="240" w:lineRule="auto"/>
              <w:jc w:val="left"/>
            </w:pPr>
            <w:r>
              <w:rPr>
                <w:rFonts w:ascii="TH Sarabun New" w:hAnsi="TH Sarabun New" w:eastAsia="TH Sarabun New"/>
                <w:b w:val="0"/>
                <w:sz w:val="19"/>
              </w:rPr>
              <w:t>อัตรากำไรขั้นต้น (%)</w:t>
            </w:r>
          </w:p>
        </w:tc>
        <w:tc>
          <w:tcPr>
            <w:tcW w:type="dxa" w:w="1070"/>
            <w:vAlign w:val="center"/>
          </w:tcPr>
          <w:p>
            <w:pPr>
              <w:spacing w:before="0" w:after="0" w:line="240" w:lineRule="auto"/>
              <w:jc w:val="center"/>
            </w:pPr>
            <w:r>
              <w:rPr>
                <w:rFonts w:ascii="TH Sarabun New" w:hAnsi="TH Sarabun New" w:eastAsia="TH Sarabun New"/>
                <w:b w:val="0"/>
                <w:sz w:val="19"/>
              </w:rPr>
              <w:t>21.40</w:t>
            </w:r>
          </w:p>
        </w:tc>
        <w:tc>
          <w:tcPr>
            <w:tcW w:type="dxa" w:w="1070"/>
            <w:vAlign w:val="center"/>
          </w:tcPr>
          <w:p>
            <w:pPr>
              <w:spacing w:before="0" w:after="0" w:line="240" w:lineRule="auto"/>
              <w:jc w:val="center"/>
            </w:pPr>
            <w:r>
              <w:rPr>
                <w:rFonts w:ascii="TH Sarabun New" w:hAnsi="TH Sarabun New" w:eastAsia="TH Sarabun New"/>
                <w:b w:val="0"/>
                <w:sz w:val="19"/>
              </w:rPr>
              <w:t>21.00</w:t>
            </w:r>
          </w:p>
        </w:tc>
        <w:tc>
          <w:tcPr>
            <w:tcW w:type="dxa" w:w="1070"/>
            <w:vAlign w:val="center"/>
          </w:tcPr>
          <w:p>
            <w:pPr>
              <w:spacing w:before="0" w:after="0" w:line="240" w:lineRule="auto"/>
              <w:jc w:val="center"/>
            </w:pPr>
            <w:r>
              <w:rPr>
                <w:rFonts w:ascii="TH Sarabun New" w:hAnsi="TH Sarabun New" w:eastAsia="TH Sarabun New"/>
                <w:b w:val="0"/>
                <w:sz w:val="19"/>
              </w:rPr>
              <w:t>20.80</w:t>
            </w:r>
          </w:p>
        </w:tc>
        <w:tc>
          <w:tcPr>
            <w:tcW w:type="dxa" w:w="1070"/>
            <w:vAlign w:val="center"/>
          </w:tcPr>
          <w:p>
            <w:pPr>
              <w:spacing w:before="0" w:after="0" w:line="240" w:lineRule="auto"/>
              <w:jc w:val="center"/>
            </w:pPr>
            <w:r>
              <w:rPr>
                <w:rFonts w:ascii="TH Sarabun New" w:hAnsi="TH Sarabun New" w:eastAsia="TH Sarabun New"/>
                <w:b w:val="0"/>
                <w:sz w:val="19"/>
              </w:rPr>
              <w:t>20.60</w:t>
            </w:r>
          </w:p>
        </w:tc>
        <w:tc>
          <w:tcPr>
            <w:tcW w:type="dxa" w:w="1070"/>
            <w:vAlign w:val="center"/>
          </w:tcPr>
          <w:p>
            <w:pPr>
              <w:spacing w:before="0" w:after="0" w:line="240" w:lineRule="auto"/>
              <w:jc w:val="center"/>
            </w:pPr>
            <w:r>
              <w:rPr>
                <w:rFonts w:ascii="TH Sarabun New" w:hAnsi="TH Sarabun New" w:eastAsia="TH Sarabun New"/>
                <w:b w:val="0"/>
                <w:sz w:val="19"/>
              </w:rPr>
              <w:t>20.40</w:t>
            </w:r>
          </w:p>
        </w:tc>
        <w:tc>
          <w:tcPr>
            <w:tcW w:type="dxa" w:w="1070"/>
            <w:vAlign w:val="center"/>
          </w:tcPr>
          <w:p>
            <w:pPr>
              <w:spacing w:before="0" w:after="0" w:line="240" w:lineRule="auto"/>
              <w:jc w:val="center"/>
            </w:pPr>
            <w:r>
              <w:rPr>
                <w:rFonts w:ascii="TH Sarabun New" w:hAnsi="TH Sarabun New" w:eastAsia="TH Sarabun New"/>
                <w:b w:val="0"/>
                <w:sz w:val="19"/>
              </w:rPr>
              <w:t>20.20</w:t>
            </w:r>
          </w:p>
        </w:tc>
      </w:tr>
      <w:tr>
        <w:trPr/>
        <w:tc>
          <w:tcPr>
            <w:tcW w:type="dxa" w:w="2600"/>
            <w:vAlign w:val="center"/>
          </w:tcPr>
          <w:p>
            <w:pPr>
              <w:spacing w:before="0" w:after="0" w:line="240" w:lineRule="auto"/>
              <w:jc w:val="left"/>
            </w:pPr>
            <w:r>
              <w:rPr>
                <w:rFonts w:ascii="TH Sarabun New" w:hAnsi="TH Sarabun New" w:eastAsia="TH Sarabun New"/>
                <w:b w:val="0"/>
                <w:sz w:val="19"/>
              </w:rPr>
              <w:t>กำไรขั้นต้น</w:t>
            </w:r>
          </w:p>
        </w:tc>
        <w:tc>
          <w:tcPr>
            <w:tcW w:type="dxa" w:w="1070"/>
            <w:vAlign w:val="center"/>
          </w:tcPr>
          <w:p>
            <w:pPr>
              <w:spacing w:before="0" w:after="0" w:line="240" w:lineRule="auto"/>
              <w:jc w:val="center"/>
            </w:pPr>
            <w:r>
              <w:rPr>
                <w:rFonts w:ascii="TH Sarabun New" w:hAnsi="TH Sarabun New" w:eastAsia="TH Sarabun New"/>
                <w:b w:val="0"/>
                <w:sz w:val="19"/>
              </w:rPr>
              <w:t>129.52</w:t>
            </w:r>
          </w:p>
        </w:tc>
        <w:tc>
          <w:tcPr>
            <w:tcW w:type="dxa" w:w="1070"/>
            <w:vAlign w:val="center"/>
          </w:tcPr>
          <w:p>
            <w:pPr>
              <w:spacing w:before="0" w:after="0" w:line="240" w:lineRule="auto"/>
              <w:jc w:val="center"/>
            </w:pPr>
            <w:r>
              <w:rPr>
                <w:rFonts w:ascii="TH Sarabun New" w:hAnsi="TH Sarabun New" w:eastAsia="TH Sarabun New"/>
                <w:b w:val="0"/>
                <w:sz w:val="19"/>
              </w:rPr>
              <w:t>124.32</w:t>
            </w:r>
          </w:p>
        </w:tc>
        <w:tc>
          <w:tcPr>
            <w:tcW w:type="dxa" w:w="1070"/>
            <w:vAlign w:val="center"/>
          </w:tcPr>
          <w:p>
            <w:pPr>
              <w:spacing w:before="0" w:after="0" w:line="240" w:lineRule="auto"/>
              <w:jc w:val="center"/>
            </w:pPr>
            <w:r>
              <w:rPr>
                <w:rFonts w:ascii="TH Sarabun New" w:hAnsi="TH Sarabun New" w:eastAsia="TH Sarabun New"/>
                <w:b w:val="0"/>
                <w:sz w:val="19"/>
              </w:rPr>
              <w:t>121.89</w:t>
            </w:r>
          </w:p>
        </w:tc>
        <w:tc>
          <w:tcPr>
            <w:tcW w:type="dxa" w:w="1070"/>
            <w:vAlign w:val="center"/>
          </w:tcPr>
          <w:p>
            <w:pPr>
              <w:spacing w:before="0" w:after="0" w:line="240" w:lineRule="auto"/>
              <w:jc w:val="center"/>
            </w:pPr>
            <w:r>
              <w:rPr>
                <w:rFonts w:ascii="TH Sarabun New" w:hAnsi="TH Sarabun New" w:eastAsia="TH Sarabun New"/>
                <w:b w:val="0"/>
                <w:sz w:val="19"/>
              </w:rPr>
              <w:t>119.48</w:t>
            </w:r>
          </w:p>
        </w:tc>
        <w:tc>
          <w:tcPr>
            <w:tcW w:type="dxa" w:w="1070"/>
            <w:vAlign w:val="center"/>
          </w:tcPr>
          <w:p>
            <w:pPr>
              <w:spacing w:before="0" w:after="0" w:line="240" w:lineRule="auto"/>
              <w:jc w:val="center"/>
            </w:pPr>
            <w:r>
              <w:rPr>
                <w:rFonts w:ascii="TH Sarabun New" w:hAnsi="TH Sarabun New" w:eastAsia="TH Sarabun New"/>
                <w:b w:val="0"/>
                <w:sz w:val="19"/>
              </w:rPr>
              <w:t>117.10</w:t>
            </w:r>
          </w:p>
        </w:tc>
        <w:tc>
          <w:tcPr>
            <w:tcW w:type="dxa" w:w="1070"/>
            <w:vAlign w:val="center"/>
          </w:tcPr>
          <w:p>
            <w:pPr>
              <w:spacing w:before="0" w:after="0" w:line="240" w:lineRule="auto"/>
              <w:jc w:val="center"/>
            </w:pPr>
            <w:r>
              <w:rPr>
                <w:rFonts w:ascii="TH Sarabun New" w:hAnsi="TH Sarabun New" w:eastAsia="TH Sarabun New"/>
                <w:b w:val="0"/>
                <w:sz w:val="19"/>
              </w:rPr>
              <w:t>114.74</w:t>
            </w:r>
          </w:p>
        </w:tc>
      </w:tr>
      <w:tr>
        <w:trPr/>
        <w:tc>
          <w:tcPr>
            <w:tcW w:type="dxa" w:w="2600"/>
            <w:vAlign w:val="center"/>
          </w:tcPr>
          <w:p>
            <w:pPr>
              <w:spacing w:before="0" w:after="0" w:line="240" w:lineRule="auto"/>
              <w:jc w:val="left"/>
            </w:pPr>
            <w:r>
              <w:rPr>
                <w:rFonts w:ascii="TH Sarabun New" w:hAnsi="TH Sarabun New" w:eastAsia="TH Sarabun New"/>
                <w:b w:val="0"/>
                <w:sz w:val="19"/>
              </w:rPr>
              <w:t>ค่าใช้จ่ายขายและบริหาร</w:t>
            </w:r>
          </w:p>
        </w:tc>
        <w:tc>
          <w:tcPr>
            <w:tcW w:type="dxa" w:w="1070"/>
            <w:vAlign w:val="center"/>
          </w:tcPr>
          <w:p>
            <w:pPr>
              <w:spacing w:before="0" w:after="0" w:line="240" w:lineRule="auto"/>
              <w:jc w:val="center"/>
            </w:pPr>
            <w:r>
              <w:rPr>
                <w:rFonts w:ascii="TH Sarabun New" w:hAnsi="TH Sarabun New" w:eastAsia="TH Sarabun New"/>
                <w:b w:val="0"/>
                <w:sz w:val="19"/>
              </w:rPr>
              <w:t>178.08</w:t>
            </w:r>
          </w:p>
        </w:tc>
        <w:tc>
          <w:tcPr>
            <w:tcW w:type="dxa" w:w="1070"/>
            <w:vAlign w:val="center"/>
          </w:tcPr>
          <w:p>
            <w:pPr>
              <w:spacing w:before="0" w:after="0" w:line="240" w:lineRule="auto"/>
              <w:jc w:val="center"/>
            </w:pPr>
            <w:r>
              <w:rPr>
                <w:rFonts w:ascii="TH Sarabun New" w:hAnsi="TH Sarabun New" w:eastAsia="TH Sarabun New"/>
                <w:b w:val="0"/>
                <w:sz w:val="19"/>
              </w:rPr>
              <w:t>152.00</w:t>
            </w:r>
          </w:p>
        </w:tc>
        <w:tc>
          <w:tcPr>
            <w:tcW w:type="dxa" w:w="1070"/>
            <w:vAlign w:val="center"/>
          </w:tcPr>
          <w:p>
            <w:pPr>
              <w:spacing w:before="0" w:after="0" w:line="240" w:lineRule="auto"/>
              <w:jc w:val="center"/>
            </w:pPr>
            <w:r>
              <w:rPr>
                <w:rFonts w:ascii="TH Sarabun New" w:hAnsi="TH Sarabun New" w:eastAsia="TH Sarabun New"/>
                <w:b w:val="0"/>
                <w:sz w:val="19"/>
              </w:rPr>
              <w:t>151.00</w:t>
            </w:r>
          </w:p>
        </w:tc>
        <w:tc>
          <w:tcPr>
            <w:tcW w:type="dxa" w:w="1070"/>
            <w:vAlign w:val="center"/>
          </w:tcPr>
          <w:p>
            <w:pPr>
              <w:spacing w:before="0" w:after="0" w:line="240" w:lineRule="auto"/>
              <w:jc w:val="center"/>
            </w:pPr>
            <w:r>
              <w:rPr>
                <w:rFonts w:ascii="TH Sarabun New" w:hAnsi="TH Sarabun New" w:eastAsia="TH Sarabun New"/>
                <w:b w:val="0"/>
                <w:sz w:val="19"/>
              </w:rPr>
              <w:t>150.00</w:t>
            </w:r>
          </w:p>
        </w:tc>
        <w:tc>
          <w:tcPr>
            <w:tcW w:type="dxa" w:w="1070"/>
            <w:vAlign w:val="center"/>
          </w:tcPr>
          <w:p>
            <w:pPr>
              <w:spacing w:before="0" w:after="0" w:line="240" w:lineRule="auto"/>
              <w:jc w:val="center"/>
            </w:pPr>
            <w:r>
              <w:rPr>
                <w:rFonts w:ascii="TH Sarabun New" w:hAnsi="TH Sarabun New" w:eastAsia="TH Sarabun New"/>
                <w:b w:val="0"/>
                <w:sz w:val="19"/>
              </w:rPr>
              <w:t>149.00</w:t>
            </w:r>
          </w:p>
        </w:tc>
        <w:tc>
          <w:tcPr>
            <w:tcW w:type="dxa" w:w="1070"/>
            <w:vAlign w:val="center"/>
          </w:tcPr>
          <w:p>
            <w:pPr>
              <w:spacing w:before="0" w:after="0" w:line="240" w:lineRule="auto"/>
              <w:jc w:val="center"/>
            </w:pPr>
            <w:r>
              <w:rPr>
                <w:rFonts w:ascii="TH Sarabun New" w:hAnsi="TH Sarabun New" w:eastAsia="TH Sarabun New"/>
                <w:b w:val="0"/>
                <w:sz w:val="19"/>
              </w:rPr>
              <w:t>148.00</w:t>
            </w:r>
          </w:p>
        </w:tc>
      </w:tr>
      <w:tr>
        <w:trPr/>
        <w:tc>
          <w:tcPr>
            <w:tcW w:type="dxa" w:w="2600"/>
            <w:vAlign w:val="center"/>
          </w:tcPr>
          <w:p>
            <w:pPr>
              <w:spacing w:before="0" w:after="0" w:line="240" w:lineRule="auto"/>
              <w:jc w:val="left"/>
            </w:pPr>
            <w:r>
              <w:rPr>
                <w:rFonts w:ascii="TH Sarabun New" w:hAnsi="TH Sarabun New" w:eastAsia="TH Sarabun New"/>
                <w:b w:val="0"/>
                <w:sz w:val="19"/>
              </w:rPr>
              <w:t>SG&amp;A/ยอดขาย (%)</w:t>
            </w:r>
          </w:p>
        </w:tc>
        <w:tc>
          <w:tcPr>
            <w:tcW w:type="dxa" w:w="1070"/>
            <w:vAlign w:val="center"/>
          </w:tcPr>
          <w:p>
            <w:pPr>
              <w:spacing w:before="0" w:after="0" w:line="240" w:lineRule="auto"/>
              <w:jc w:val="center"/>
            </w:pPr>
            <w:r>
              <w:rPr>
                <w:rFonts w:ascii="TH Sarabun New" w:hAnsi="TH Sarabun New" w:eastAsia="TH Sarabun New"/>
                <w:b w:val="0"/>
                <w:sz w:val="19"/>
              </w:rPr>
              <w:t>29.42</w:t>
            </w:r>
          </w:p>
        </w:tc>
        <w:tc>
          <w:tcPr>
            <w:tcW w:type="dxa" w:w="1070"/>
            <w:vAlign w:val="center"/>
          </w:tcPr>
          <w:p>
            <w:pPr>
              <w:spacing w:before="0" w:after="0" w:line="240" w:lineRule="auto"/>
              <w:jc w:val="center"/>
            </w:pPr>
            <w:r>
              <w:rPr>
                <w:rFonts w:ascii="TH Sarabun New" w:hAnsi="TH Sarabun New" w:eastAsia="TH Sarabun New"/>
                <w:b w:val="0"/>
                <w:sz w:val="19"/>
              </w:rPr>
              <w:t>25.68</w:t>
            </w:r>
          </w:p>
        </w:tc>
        <w:tc>
          <w:tcPr>
            <w:tcW w:type="dxa" w:w="1070"/>
            <w:vAlign w:val="center"/>
          </w:tcPr>
          <w:p>
            <w:pPr>
              <w:spacing w:before="0" w:after="0" w:line="240" w:lineRule="auto"/>
              <w:jc w:val="center"/>
            </w:pPr>
            <w:r>
              <w:rPr>
                <w:rFonts w:ascii="TH Sarabun New" w:hAnsi="TH Sarabun New" w:eastAsia="TH Sarabun New"/>
                <w:b w:val="0"/>
                <w:sz w:val="19"/>
              </w:rPr>
              <w:t>25.77</w:t>
            </w:r>
          </w:p>
        </w:tc>
        <w:tc>
          <w:tcPr>
            <w:tcW w:type="dxa" w:w="1070"/>
            <w:vAlign w:val="center"/>
          </w:tcPr>
          <w:p>
            <w:pPr>
              <w:spacing w:before="0" w:after="0" w:line="240" w:lineRule="auto"/>
              <w:jc w:val="center"/>
            </w:pPr>
            <w:r>
              <w:rPr>
                <w:rFonts w:ascii="TH Sarabun New" w:hAnsi="TH Sarabun New" w:eastAsia="TH Sarabun New"/>
                <w:b w:val="0"/>
                <w:sz w:val="19"/>
              </w:rPr>
              <w:t>25.86</w:t>
            </w:r>
          </w:p>
        </w:tc>
        <w:tc>
          <w:tcPr>
            <w:tcW w:type="dxa" w:w="1070"/>
            <w:vAlign w:val="center"/>
          </w:tcPr>
          <w:p>
            <w:pPr>
              <w:spacing w:before="0" w:after="0" w:line="240" w:lineRule="auto"/>
              <w:jc w:val="center"/>
            </w:pPr>
            <w:r>
              <w:rPr>
                <w:rFonts w:ascii="TH Sarabun New" w:hAnsi="TH Sarabun New" w:eastAsia="TH Sarabun New"/>
                <w:b w:val="0"/>
                <w:sz w:val="19"/>
              </w:rPr>
              <w:t>25.96</w:t>
            </w:r>
          </w:p>
        </w:tc>
        <w:tc>
          <w:tcPr>
            <w:tcW w:type="dxa" w:w="1070"/>
            <w:vAlign w:val="center"/>
          </w:tcPr>
          <w:p>
            <w:pPr>
              <w:spacing w:before="0" w:after="0" w:line="240" w:lineRule="auto"/>
              <w:jc w:val="center"/>
            </w:pPr>
            <w:r>
              <w:rPr>
                <w:rFonts w:ascii="TH Sarabun New" w:hAnsi="TH Sarabun New" w:eastAsia="TH Sarabun New"/>
                <w:b w:val="0"/>
                <w:sz w:val="19"/>
              </w:rPr>
              <w:t>26.06</w:t>
            </w:r>
          </w:p>
        </w:tc>
      </w:tr>
      <w:tr>
        <w:trPr/>
        <w:tc>
          <w:tcPr>
            <w:tcW w:type="dxa" w:w="2600"/>
            <w:vAlign w:val="center"/>
            <w:shd w:fill="FCE4D6"/>
          </w:tcPr>
          <w:p>
            <w:pPr>
              <w:spacing w:before="0" w:after="0" w:line="240" w:lineRule="auto"/>
              <w:jc w:val="left"/>
            </w:pPr>
            <w:r>
              <w:rPr>
                <w:rFonts w:ascii="TH Sarabun New" w:hAnsi="TH Sarabun New" w:eastAsia="TH Sarabun New"/>
                <w:b w:val="0"/>
                <w:sz w:val="19"/>
              </w:rPr>
              <w:t>ผลจากธุรกิจหลักโดยประมาณ</w:t>
            </w:r>
          </w:p>
        </w:tc>
        <w:tc>
          <w:tcPr>
            <w:tcW w:type="dxa" w:w="1070"/>
            <w:vAlign w:val="center"/>
            <w:shd w:fill="FCE4D6"/>
          </w:tcPr>
          <w:p>
            <w:pPr>
              <w:spacing w:before="0" w:after="0" w:line="240" w:lineRule="auto"/>
              <w:jc w:val="center"/>
            </w:pPr>
            <w:r>
              <w:rPr>
                <w:rFonts w:ascii="TH Sarabun New" w:hAnsi="TH Sarabun New" w:eastAsia="TH Sarabun New"/>
                <w:b w:val="0"/>
                <w:sz w:val="19"/>
              </w:rPr>
              <w:t>(48.56)</w:t>
            </w:r>
          </w:p>
        </w:tc>
        <w:tc>
          <w:tcPr>
            <w:tcW w:type="dxa" w:w="1070"/>
            <w:vAlign w:val="center"/>
            <w:shd w:fill="FCE4D6"/>
          </w:tcPr>
          <w:p>
            <w:pPr>
              <w:spacing w:before="0" w:after="0" w:line="240" w:lineRule="auto"/>
              <w:jc w:val="center"/>
            </w:pPr>
            <w:r>
              <w:rPr>
                <w:rFonts w:ascii="TH Sarabun New" w:hAnsi="TH Sarabun New" w:eastAsia="TH Sarabun New"/>
                <w:b w:val="0"/>
                <w:sz w:val="19"/>
              </w:rPr>
              <w:t>(27.68)</w:t>
            </w:r>
          </w:p>
        </w:tc>
        <w:tc>
          <w:tcPr>
            <w:tcW w:type="dxa" w:w="1070"/>
            <w:vAlign w:val="center"/>
            <w:shd w:fill="FCE4D6"/>
          </w:tcPr>
          <w:p>
            <w:pPr>
              <w:spacing w:before="0" w:after="0" w:line="240" w:lineRule="auto"/>
              <w:jc w:val="center"/>
            </w:pPr>
            <w:r>
              <w:rPr>
                <w:rFonts w:ascii="TH Sarabun New" w:hAnsi="TH Sarabun New" w:eastAsia="TH Sarabun New"/>
                <w:b w:val="0"/>
                <w:sz w:val="19"/>
              </w:rPr>
              <w:t>(29.11)</w:t>
            </w:r>
          </w:p>
        </w:tc>
        <w:tc>
          <w:tcPr>
            <w:tcW w:type="dxa" w:w="1070"/>
            <w:vAlign w:val="center"/>
            <w:shd w:fill="FCE4D6"/>
          </w:tcPr>
          <w:p>
            <w:pPr>
              <w:spacing w:before="0" w:after="0" w:line="240" w:lineRule="auto"/>
              <w:jc w:val="center"/>
            </w:pPr>
            <w:r>
              <w:rPr>
                <w:rFonts w:ascii="TH Sarabun New" w:hAnsi="TH Sarabun New" w:eastAsia="TH Sarabun New"/>
                <w:b w:val="0"/>
                <w:sz w:val="19"/>
              </w:rPr>
              <w:t>(30.52)</w:t>
            </w:r>
          </w:p>
        </w:tc>
        <w:tc>
          <w:tcPr>
            <w:tcW w:type="dxa" w:w="1070"/>
            <w:vAlign w:val="center"/>
            <w:shd w:fill="FCE4D6"/>
          </w:tcPr>
          <w:p>
            <w:pPr>
              <w:spacing w:before="0" w:after="0" w:line="240" w:lineRule="auto"/>
              <w:jc w:val="center"/>
            </w:pPr>
            <w:r>
              <w:rPr>
                <w:rFonts w:ascii="TH Sarabun New" w:hAnsi="TH Sarabun New" w:eastAsia="TH Sarabun New"/>
                <w:b w:val="0"/>
                <w:sz w:val="19"/>
              </w:rPr>
              <w:t>(31.90)</w:t>
            </w:r>
          </w:p>
        </w:tc>
        <w:tc>
          <w:tcPr>
            <w:tcW w:type="dxa" w:w="1070"/>
            <w:vAlign w:val="center"/>
            <w:shd w:fill="FCE4D6"/>
          </w:tcPr>
          <w:p>
            <w:pPr>
              <w:spacing w:before="0" w:after="0" w:line="240" w:lineRule="auto"/>
              <w:jc w:val="center"/>
            </w:pPr>
            <w:r>
              <w:rPr>
                <w:rFonts w:ascii="TH Sarabun New" w:hAnsi="TH Sarabun New" w:eastAsia="TH Sarabun New"/>
                <w:b w:val="0"/>
                <w:sz w:val="19"/>
              </w:rPr>
              <w:t>(33.26)</w:t>
            </w:r>
          </w:p>
        </w:tc>
      </w:tr>
      <w:tr>
        <w:trPr/>
        <w:tc>
          <w:tcPr>
            <w:tcW w:type="dxa" w:w="2600"/>
            <w:vAlign w:val="center"/>
            <w:shd w:fill="FCE4D6"/>
          </w:tcPr>
          <w:p>
            <w:pPr>
              <w:spacing w:before="0" w:after="0" w:line="240" w:lineRule="auto"/>
              <w:jc w:val="left"/>
            </w:pPr>
            <w:r>
              <w:rPr>
                <w:rFonts w:ascii="TH Sarabun New" w:hAnsi="TH Sarabun New" w:eastAsia="TH Sarabun New"/>
                <w:b w:val="0"/>
                <w:sz w:val="19"/>
              </w:rPr>
              <w:t>อัตราผลจากธุรกิจหลัก (%)</w:t>
            </w:r>
          </w:p>
        </w:tc>
        <w:tc>
          <w:tcPr>
            <w:tcW w:type="dxa" w:w="1070"/>
            <w:vAlign w:val="center"/>
            <w:shd w:fill="FCE4D6"/>
          </w:tcPr>
          <w:p>
            <w:pPr>
              <w:spacing w:before="0" w:after="0" w:line="240" w:lineRule="auto"/>
              <w:jc w:val="center"/>
            </w:pPr>
            <w:r>
              <w:rPr>
                <w:rFonts w:ascii="TH Sarabun New" w:hAnsi="TH Sarabun New" w:eastAsia="TH Sarabun New"/>
                <w:b w:val="0"/>
                <w:sz w:val="19"/>
              </w:rPr>
              <w:t>(8.02)</w:t>
            </w:r>
          </w:p>
        </w:tc>
        <w:tc>
          <w:tcPr>
            <w:tcW w:type="dxa" w:w="1070"/>
            <w:vAlign w:val="center"/>
            <w:shd w:fill="FCE4D6"/>
          </w:tcPr>
          <w:p>
            <w:pPr>
              <w:spacing w:before="0" w:after="0" w:line="240" w:lineRule="auto"/>
              <w:jc w:val="center"/>
            </w:pPr>
            <w:r>
              <w:rPr>
                <w:rFonts w:ascii="TH Sarabun New" w:hAnsi="TH Sarabun New" w:eastAsia="TH Sarabun New"/>
                <w:b w:val="0"/>
                <w:sz w:val="19"/>
              </w:rPr>
              <w:t>(4.68)</w:t>
            </w:r>
          </w:p>
        </w:tc>
        <w:tc>
          <w:tcPr>
            <w:tcW w:type="dxa" w:w="1070"/>
            <w:vAlign w:val="center"/>
            <w:shd w:fill="FCE4D6"/>
          </w:tcPr>
          <w:p>
            <w:pPr>
              <w:spacing w:before="0" w:after="0" w:line="240" w:lineRule="auto"/>
              <w:jc w:val="center"/>
            </w:pPr>
            <w:r>
              <w:rPr>
                <w:rFonts w:ascii="TH Sarabun New" w:hAnsi="TH Sarabun New" w:eastAsia="TH Sarabun New"/>
                <w:b w:val="0"/>
                <w:sz w:val="19"/>
              </w:rPr>
              <w:t>(4.97)</w:t>
            </w:r>
          </w:p>
        </w:tc>
        <w:tc>
          <w:tcPr>
            <w:tcW w:type="dxa" w:w="1070"/>
            <w:vAlign w:val="center"/>
            <w:shd w:fill="FCE4D6"/>
          </w:tcPr>
          <w:p>
            <w:pPr>
              <w:spacing w:before="0" w:after="0" w:line="240" w:lineRule="auto"/>
              <w:jc w:val="center"/>
            </w:pPr>
            <w:r>
              <w:rPr>
                <w:rFonts w:ascii="TH Sarabun New" w:hAnsi="TH Sarabun New" w:eastAsia="TH Sarabun New"/>
                <w:b w:val="0"/>
                <w:sz w:val="19"/>
              </w:rPr>
              <w:t>(5.26)</w:t>
            </w:r>
          </w:p>
        </w:tc>
        <w:tc>
          <w:tcPr>
            <w:tcW w:type="dxa" w:w="1070"/>
            <w:vAlign w:val="center"/>
            <w:shd w:fill="FCE4D6"/>
          </w:tcPr>
          <w:p>
            <w:pPr>
              <w:spacing w:before="0" w:after="0" w:line="240" w:lineRule="auto"/>
              <w:jc w:val="center"/>
            </w:pPr>
            <w:r>
              <w:rPr>
                <w:rFonts w:ascii="TH Sarabun New" w:hAnsi="TH Sarabun New" w:eastAsia="TH Sarabun New"/>
                <w:b w:val="0"/>
                <w:sz w:val="19"/>
              </w:rPr>
              <w:t>(5.56)</w:t>
            </w:r>
          </w:p>
        </w:tc>
        <w:tc>
          <w:tcPr>
            <w:tcW w:type="dxa" w:w="1070"/>
            <w:vAlign w:val="center"/>
            <w:shd w:fill="FCE4D6"/>
          </w:tcPr>
          <w:p>
            <w:pPr>
              <w:spacing w:before="0" w:after="0" w:line="240" w:lineRule="auto"/>
              <w:jc w:val="center"/>
            </w:pPr>
            <w:r>
              <w:rPr>
                <w:rFonts w:ascii="TH Sarabun New" w:hAnsi="TH Sarabun New" w:eastAsia="TH Sarabun New"/>
                <w:b w:val="0"/>
                <w:sz w:val="19"/>
              </w:rPr>
              <w:t>(5.86)</w:t>
            </w:r>
          </w:p>
        </w:tc>
      </w:tr>
      <w:tr>
        <w:trPr/>
        <w:tc>
          <w:tcPr>
            <w:tcW w:type="dxa" w:w="2600"/>
            <w:vAlign w:val="center"/>
          </w:tcPr>
          <w:p>
            <w:pPr>
              <w:spacing w:before="0" w:after="0" w:line="240" w:lineRule="auto"/>
              <w:jc w:val="left"/>
            </w:pPr>
            <w:r>
              <w:rPr>
                <w:rFonts w:ascii="TH Sarabun New" w:hAnsi="TH Sarabun New" w:eastAsia="TH Sarabun New"/>
                <w:b w:val="0"/>
                <w:sz w:val="19"/>
              </w:rPr>
              <w:t>รายได้อื่น</w:t>
            </w:r>
          </w:p>
        </w:tc>
        <w:tc>
          <w:tcPr>
            <w:tcW w:type="dxa" w:w="1070"/>
            <w:vAlign w:val="center"/>
          </w:tcPr>
          <w:p>
            <w:pPr>
              <w:spacing w:before="0" w:after="0" w:line="240" w:lineRule="auto"/>
              <w:jc w:val="center"/>
            </w:pPr>
            <w:r>
              <w:rPr>
                <w:rFonts w:ascii="TH Sarabun New" w:hAnsi="TH Sarabun New" w:eastAsia="TH Sarabun New"/>
                <w:b w:val="0"/>
                <w:sz w:val="19"/>
              </w:rPr>
              <w:t>62.14</w:t>
            </w:r>
          </w:p>
        </w:tc>
        <w:tc>
          <w:tcPr>
            <w:tcW w:type="dxa" w:w="1070"/>
            <w:vAlign w:val="center"/>
          </w:tcPr>
          <w:p>
            <w:pPr>
              <w:spacing w:before="0" w:after="0" w:line="240" w:lineRule="auto"/>
              <w:jc w:val="center"/>
            </w:pPr>
            <w:r>
              <w:rPr>
                <w:rFonts w:ascii="TH Sarabun New" w:hAnsi="TH Sarabun New" w:eastAsia="TH Sarabun New"/>
                <w:b w:val="0"/>
                <w:sz w:val="19"/>
              </w:rPr>
              <w:t>60.00</w:t>
            </w:r>
          </w:p>
        </w:tc>
        <w:tc>
          <w:tcPr>
            <w:tcW w:type="dxa" w:w="1070"/>
            <w:vAlign w:val="center"/>
          </w:tcPr>
          <w:p>
            <w:pPr>
              <w:spacing w:before="0" w:after="0" w:line="240" w:lineRule="auto"/>
              <w:jc w:val="center"/>
            </w:pPr>
            <w:r>
              <w:rPr>
                <w:rFonts w:ascii="TH Sarabun New" w:hAnsi="TH Sarabun New" w:eastAsia="TH Sarabun New"/>
                <w:b w:val="0"/>
                <w:sz w:val="19"/>
              </w:rPr>
              <w:t>60.00</w:t>
            </w:r>
          </w:p>
        </w:tc>
        <w:tc>
          <w:tcPr>
            <w:tcW w:type="dxa" w:w="1070"/>
            <w:vAlign w:val="center"/>
          </w:tcPr>
          <w:p>
            <w:pPr>
              <w:spacing w:before="0" w:after="0" w:line="240" w:lineRule="auto"/>
              <w:jc w:val="center"/>
            </w:pPr>
            <w:r>
              <w:rPr>
                <w:rFonts w:ascii="TH Sarabun New" w:hAnsi="TH Sarabun New" w:eastAsia="TH Sarabun New"/>
                <w:b w:val="0"/>
                <w:sz w:val="19"/>
              </w:rPr>
              <w:t>60.00</w:t>
            </w:r>
          </w:p>
        </w:tc>
        <w:tc>
          <w:tcPr>
            <w:tcW w:type="dxa" w:w="1070"/>
            <w:vAlign w:val="center"/>
          </w:tcPr>
          <w:p>
            <w:pPr>
              <w:spacing w:before="0" w:after="0" w:line="240" w:lineRule="auto"/>
              <w:jc w:val="center"/>
            </w:pPr>
            <w:r>
              <w:rPr>
                <w:rFonts w:ascii="TH Sarabun New" w:hAnsi="TH Sarabun New" w:eastAsia="TH Sarabun New"/>
                <w:b w:val="0"/>
                <w:sz w:val="19"/>
              </w:rPr>
              <w:t>60.00</w:t>
            </w:r>
          </w:p>
        </w:tc>
        <w:tc>
          <w:tcPr>
            <w:tcW w:type="dxa" w:w="1070"/>
            <w:vAlign w:val="center"/>
          </w:tcPr>
          <w:p>
            <w:pPr>
              <w:spacing w:before="0" w:after="0" w:line="240" w:lineRule="auto"/>
              <w:jc w:val="center"/>
            </w:pPr>
            <w:r>
              <w:rPr>
                <w:rFonts w:ascii="TH Sarabun New" w:hAnsi="TH Sarabun New" w:eastAsia="TH Sarabun New"/>
                <w:b w:val="0"/>
                <w:sz w:val="19"/>
              </w:rPr>
              <w:t>60.00</w:t>
            </w:r>
          </w:p>
        </w:tc>
      </w:tr>
      <w:tr>
        <w:trPr/>
        <w:tc>
          <w:tcPr>
            <w:tcW w:type="dxa" w:w="2600"/>
            <w:vAlign w:val="center"/>
          </w:tcPr>
          <w:p>
            <w:pPr>
              <w:spacing w:before="0" w:after="0" w:line="240" w:lineRule="auto"/>
              <w:jc w:val="left"/>
            </w:pPr>
            <w:r>
              <w:rPr>
                <w:rFonts w:ascii="TH Sarabun New" w:hAnsi="TH Sarabun New" w:eastAsia="TH Sarabun New"/>
                <w:b w:val="0"/>
                <w:sz w:val="19"/>
              </w:rPr>
              <w:t>กำไรสุทธิโดยประมาณ (ภาษี 20%)*</w:t>
            </w:r>
          </w:p>
        </w:tc>
        <w:tc>
          <w:tcPr>
            <w:tcW w:type="dxa" w:w="1070"/>
            <w:vAlign w:val="center"/>
          </w:tcPr>
          <w:p>
            <w:pPr>
              <w:spacing w:before="0" w:after="0" w:line="240" w:lineRule="auto"/>
              <w:jc w:val="center"/>
            </w:pPr>
            <w:r>
              <w:rPr>
                <w:rFonts w:ascii="TH Sarabun New" w:hAnsi="TH Sarabun New" w:eastAsia="TH Sarabun New"/>
                <w:b w:val="0"/>
                <w:sz w:val="19"/>
              </w:rPr>
              <w:t>(5.56)</w:t>
            </w:r>
          </w:p>
        </w:tc>
        <w:tc>
          <w:tcPr>
            <w:tcW w:type="dxa" w:w="1070"/>
            <w:vAlign w:val="center"/>
          </w:tcPr>
          <w:p>
            <w:pPr>
              <w:spacing w:before="0" w:after="0" w:line="240" w:lineRule="auto"/>
              <w:jc w:val="center"/>
            </w:pPr>
            <w:r>
              <w:rPr>
                <w:rFonts w:ascii="TH Sarabun New" w:hAnsi="TH Sarabun New" w:eastAsia="TH Sarabun New"/>
                <w:b w:val="0"/>
                <w:sz w:val="19"/>
              </w:rPr>
              <w:t>25.86</w:t>
            </w:r>
          </w:p>
        </w:tc>
        <w:tc>
          <w:tcPr>
            <w:tcW w:type="dxa" w:w="1070"/>
            <w:vAlign w:val="center"/>
          </w:tcPr>
          <w:p>
            <w:pPr>
              <w:spacing w:before="0" w:after="0" w:line="240" w:lineRule="auto"/>
              <w:jc w:val="center"/>
            </w:pPr>
            <w:r>
              <w:rPr>
                <w:rFonts w:ascii="TH Sarabun New" w:hAnsi="TH Sarabun New" w:eastAsia="TH Sarabun New"/>
                <w:b w:val="0"/>
                <w:sz w:val="19"/>
              </w:rPr>
              <w:t>24.71</w:t>
            </w:r>
          </w:p>
        </w:tc>
        <w:tc>
          <w:tcPr>
            <w:tcW w:type="dxa" w:w="1070"/>
            <w:vAlign w:val="center"/>
          </w:tcPr>
          <w:p>
            <w:pPr>
              <w:spacing w:before="0" w:after="0" w:line="240" w:lineRule="auto"/>
              <w:jc w:val="center"/>
            </w:pPr>
            <w:r>
              <w:rPr>
                <w:rFonts w:ascii="TH Sarabun New" w:hAnsi="TH Sarabun New" w:eastAsia="TH Sarabun New"/>
                <w:b w:val="0"/>
                <w:sz w:val="19"/>
              </w:rPr>
              <w:t>23.58</w:t>
            </w:r>
          </w:p>
        </w:tc>
        <w:tc>
          <w:tcPr>
            <w:tcW w:type="dxa" w:w="1070"/>
            <w:vAlign w:val="center"/>
          </w:tcPr>
          <w:p>
            <w:pPr>
              <w:spacing w:before="0" w:after="0" w:line="240" w:lineRule="auto"/>
              <w:jc w:val="center"/>
            </w:pPr>
            <w:r>
              <w:rPr>
                <w:rFonts w:ascii="TH Sarabun New" w:hAnsi="TH Sarabun New" w:eastAsia="TH Sarabun New"/>
                <w:b w:val="0"/>
                <w:sz w:val="19"/>
              </w:rPr>
              <w:t>22.48</w:t>
            </w:r>
          </w:p>
        </w:tc>
        <w:tc>
          <w:tcPr>
            <w:tcW w:type="dxa" w:w="1070"/>
            <w:vAlign w:val="center"/>
          </w:tcPr>
          <w:p>
            <w:pPr>
              <w:spacing w:before="0" w:after="0" w:line="240" w:lineRule="auto"/>
              <w:jc w:val="center"/>
            </w:pPr>
            <w:r>
              <w:rPr>
                <w:rFonts w:ascii="TH Sarabun New" w:hAnsi="TH Sarabun New" w:eastAsia="TH Sarabun New"/>
                <w:b w:val="0"/>
                <w:sz w:val="19"/>
              </w:rPr>
              <w:t>21.39</w:t>
            </w:r>
          </w:p>
        </w:tc>
      </w:tr>
      <w:tr>
        <w:trPr/>
        <w:tc>
          <w:tcPr>
            <w:tcW w:type="dxa" w:w="2600"/>
            <w:vAlign w:val="center"/>
          </w:tcPr>
          <w:p>
            <w:pPr>
              <w:spacing w:before="0" w:after="0" w:line="240" w:lineRule="auto"/>
              <w:jc w:val="left"/>
            </w:pPr>
            <w:r>
              <w:rPr>
                <w:rFonts w:ascii="TH Sarabun New" w:hAnsi="TH Sarabun New" w:eastAsia="TH Sarabun New"/>
                <w:b w:val="0"/>
                <w:sz w:val="19"/>
              </w:rPr>
              <w:t>สินค้าคงเหลือปลายงวด</w:t>
            </w:r>
          </w:p>
        </w:tc>
        <w:tc>
          <w:tcPr>
            <w:tcW w:type="dxa" w:w="1070"/>
            <w:vAlign w:val="center"/>
          </w:tcPr>
          <w:p>
            <w:pPr>
              <w:spacing w:before="0" w:after="0" w:line="240" w:lineRule="auto"/>
              <w:jc w:val="center"/>
            </w:pPr>
            <w:r>
              <w:rPr>
                <w:rFonts w:ascii="TH Sarabun New" w:hAnsi="TH Sarabun New" w:eastAsia="TH Sarabun New"/>
                <w:b w:val="0"/>
                <w:sz w:val="19"/>
              </w:rPr>
              <w:t>337.11</w:t>
            </w:r>
          </w:p>
        </w:tc>
        <w:tc>
          <w:tcPr>
            <w:tcW w:type="dxa" w:w="1070"/>
            <w:vAlign w:val="center"/>
          </w:tcPr>
          <w:p>
            <w:pPr>
              <w:spacing w:before="0" w:after="0" w:line="240" w:lineRule="auto"/>
              <w:jc w:val="center"/>
            </w:pPr>
            <w:r>
              <w:rPr>
                <w:rFonts w:ascii="TH Sarabun New" w:hAnsi="TH Sarabun New" w:eastAsia="TH Sarabun New"/>
                <w:b w:val="0"/>
                <w:sz w:val="19"/>
              </w:rPr>
              <w:t>340.00</w:t>
            </w:r>
          </w:p>
        </w:tc>
        <w:tc>
          <w:tcPr>
            <w:tcW w:type="dxa" w:w="1070"/>
            <w:vAlign w:val="center"/>
          </w:tcPr>
          <w:p>
            <w:pPr>
              <w:spacing w:before="0" w:after="0" w:line="240" w:lineRule="auto"/>
              <w:jc w:val="center"/>
            </w:pPr>
            <w:r>
              <w:rPr>
                <w:rFonts w:ascii="TH Sarabun New" w:hAnsi="TH Sarabun New" w:eastAsia="TH Sarabun New"/>
                <w:b w:val="0"/>
                <w:sz w:val="19"/>
              </w:rPr>
              <w:t>342.00</w:t>
            </w:r>
          </w:p>
        </w:tc>
        <w:tc>
          <w:tcPr>
            <w:tcW w:type="dxa" w:w="1070"/>
            <w:vAlign w:val="center"/>
          </w:tcPr>
          <w:p>
            <w:pPr>
              <w:spacing w:before="0" w:after="0" w:line="240" w:lineRule="auto"/>
              <w:jc w:val="center"/>
            </w:pPr>
            <w:r>
              <w:rPr>
                <w:rFonts w:ascii="TH Sarabun New" w:hAnsi="TH Sarabun New" w:eastAsia="TH Sarabun New"/>
                <w:b w:val="0"/>
                <w:sz w:val="19"/>
              </w:rPr>
              <w:t>344.00</w:t>
            </w:r>
          </w:p>
        </w:tc>
        <w:tc>
          <w:tcPr>
            <w:tcW w:type="dxa" w:w="1070"/>
            <w:vAlign w:val="center"/>
          </w:tcPr>
          <w:p>
            <w:pPr>
              <w:spacing w:before="0" w:after="0" w:line="240" w:lineRule="auto"/>
              <w:jc w:val="center"/>
            </w:pPr>
            <w:r>
              <w:rPr>
                <w:rFonts w:ascii="TH Sarabun New" w:hAnsi="TH Sarabun New" w:eastAsia="TH Sarabun New"/>
                <w:b w:val="0"/>
                <w:sz w:val="19"/>
              </w:rPr>
              <w:t>346.00</w:t>
            </w:r>
          </w:p>
        </w:tc>
        <w:tc>
          <w:tcPr>
            <w:tcW w:type="dxa" w:w="1070"/>
            <w:vAlign w:val="center"/>
          </w:tcPr>
          <w:p>
            <w:pPr>
              <w:spacing w:before="0" w:after="0" w:line="240" w:lineRule="auto"/>
              <w:jc w:val="center"/>
            </w:pPr>
            <w:r>
              <w:rPr>
                <w:rFonts w:ascii="TH Sarabun New" w:hAnsi="TH Sarabun New" w:eastAsia="TH Sarabun New"/>
                <w:b w:val="0"/>
                <w:sz w:val="19"/>
              </w:rPr>
              <w:t>348.00</w:t>
            </w:r>
          </w:p>
        </w:tc>
      </w:tr>
      <w:tr>
        <w:trPr/>
        <w:tc>
          <w:tcPr>
            <w:tcW w:type="dxa" w:w="2600"/>
            <w:vAlign w:val="center"/>
          </w:tcPr>
          <w:p>
            <w:pPr>
              <w:spacing w:before="0" w:after="0" w:line="240" w:lineRule="auto"/>
              <w:jc w:val="left"/>
            </w:pPr>
            <w:r>
              <w:rPr>
                <w:rFonts w:ascii="TH Sarabun New" w:hAnsi="TH Sarabun New" w:eastAsia="TH Sarabun New"/>
                <w:b w:val="0"/>
                <w:sz w:val="19"/>
              </w:rPr>
              <w:t>DIO: สินค้าคงเหลือเฉลี่ย/COGS×365 (วัน)</w:t>
            </w:r>
          </w:p>
        </w:tc>
        <w:tc>
          <w:tcPr>
            <w:tcW w:type="dxa" w:w="1070"/>
            <w:vAlign w:val="center"/>
          </w:tcPr>
          <w:p>
            <w:pPr>
              <w:spacing w:before="0" w:after="0" w:line="240" w:lineRule="auto"/>
              <w:jc w:val="center"/>
            </w:pPr>
            <w:r>
              <w:rPr>
                <w:rFonts w:ascii="TH Sarabun New" w:hAnsi="TH Sarabun New" w:eastAsia="TH Sarabun New"/>
                <w:b w:val="0"/>
                <w:sz w:val="19"/>
              </w:rPr>
              <w:t>267.75</w:t>
            </w:r>
          </w:p>
        </w:tc>
        <w:tc>
          <w:tcPr>
            <w:tcW w:type="dxa" w:w="1070"/>
            <w:vAlign w:val="center"/>
          </w:tcPr>
          <w:p>
            <w:pPr>
              <w:spacing w:before="0" w:after="0" w:line="240" w:lineRule="auto"/>
              <w:jc w:val="center"/>
            </w:pPr>
            <w:r>
              <w:rPr>
                <w:rFonts w:ascii="TH Sarabun New" w:hAnsi="TH Sarabun New" w:eastAsia="TH Sarabun New"/>
                <w:b w:val="0"/>
                <w:sz w:val="19"/>
              </w:rPr>
              <w:t>264.22</w:t>
            </w:r>
          </w:p>
        </w:tc>
        <w:tc>
          <w:tcPr>
            <w:tcW w:type="dxa" w:w="1070"/>
            <w:vAlign w:val="center"/>
          </w:tcPr>
          <w:p>
            <w:pPr>
              <w:spacing w:before="0" w:after="0" w:line="240" w:lineRule="auto"/>
              <w:jc w:val="center"/>
            </w:pPr>
            <w:r>
              <w:rPr>
                <w:rFonts w:ascii="TH Sarabun New" w:hAnsi="TH Sarabun New" w:eastAsia="TH Sarabun New"/>
                <w:b w:val="0"/>
                <w:sz w:val="19"/>
              </w:rPr>
              <w:t>268.18</w:t>
            </w:r>
          </w:p>
        </w:tc>
        <w:tc>
          <w:tcPr>
            <w:tcW w:type="dxa" w:w="1070"/>
            <w:vAlign w:val="center"/>
          </w:tcPr>
          <w:p>
            <w:pPr>
              <w:spacing w:before="0" w:after="0" w:line="240" w:lineRule="auto"/>
              <w:jc w:val="center"/>
            </w:pPr>
            <w:r>
              <w:rPr>
                <w:rFonts w:ascii="TH Sarabun New" w:hAnsi="TH Sarabun New" w:eastAsia="TH Sarabun New"/>
                <w:b w:val="0"/>
                <w:sz w:val="19"/>
              </w:rPr>
              <w:t>271.86</w:t>
            </w:r>
          </w:p>
        </w:tc>
        <w:tc>
          <w:tcPr>
            <w:tcW w:type="dxa" w:w="1070"/>
            <w:vAlign w:val="center"/>
          </w:tcPr>
          <w:p>
            <w:pPr>
              <w:spacing w:before="0" w:after="0" w:line="240" w:lineRule="auto"/>
              <w:jc w:val="center"/>
            </w:pPr>
            <w:r>
              <w:rPr>
                <w:rFonts w:ascii="TH Sarabun New" w:hAnsi="TH Sarabun New" w:eastAsia="TH Sarabun New"/>
                <w:b w:val="0"/>
                <w:sz w:val="19"/>
              </w:rPr>
              <w:t>275.60</w:t>
            </w:r>
          </w:p>
        </w:tc>
        <w:tc>
          <w:tcPr>
            <w:tcW w:type="dxa" w:w="1070"/>
            <w:vAlign w:val="center"/>
          </w:tcPr>
          <w:p>
            <w:pPr>
              <w:spacing w:before="0" w:after="0" w:line="240" w:lineRule="auto"/>
              <w:jc w:val="center"/>
            </w:pPr>
            <w:r>
              <w:rPr>
                <w:rFonts w:ascii="TH Sarabun New" w:hAnsi="TH Sarabun New" w:eastAsia="TH Sarabun New"/>
                <w:b w:val="0"/>
                <w:sz w:val="19"/>
              </w:rPr>
              <w:t>279.43</w:t>
            </w:r>
          </w:p>
        </w:tc>
      </w:tr>
    </w:tbl>
    <w:p>
      <w:r>
        <w:rPr>
          <w:rFonts w:ascii="TH Sarabun New" w:hAnsi="TH Sarabun New" w:eastAsia="TH Sarabun New"/>
          <w:i/>
          <w:color w:val="666666"/>
          <w:sz w:val="20"/>
        </w:rPr>
        <w:t>ที่มา: ปีฐาน [1][2][3]; ปี 2570–2574 เป็น Base Case assumptions; DIO ใช้ Average Inventory/COGS×365</w:t>
      </w:r>
    </w:p>
    <w:p>
      <w:pPr>
        <w:spacing w:after="110" w:line="228"/>
        <w:jc w:val="left"/>
      </w:pPr>
      <w:r>
        <w:rPr>
          <w:rFonts w:ascii="TH Sarabun New" w:cs="TH Sarabun New" w:eastAsia="TH Sarabun New" w:hAnsi="TH Sarabun New"/>
          <w:b w:val="false"/>
          <w:bCs w:val="false"/>
          <w:i w:val="false"/>
          <w:iCs w:val="false"/>
          <w:sz w:val="26"/>
          <w:szCs w:val="26"/>
        </w:rPr>
        <w:t xml:space="preserve">*ไม่รวมกำไรหรือขาดทุนจากการตีมูลค่าเงินลงทุน ซึ่งผันผวนสูงและไม่เกี่ยวกับการดำเนินงาน  ตัวเลขปี 2570–2574 เป็นประมาณการของผู้จัดทำ ไม่ใช่ประมาณการของบริษัทหรือนักวิเคราะห์หลักทรัพย์</w:t>
      </w:r>
    </w:p>
    <w:p>
      <w:pPr>
        <w:keepNext w:val="false"/>
        <w:spacing w:after="50" w:line="240"/>
        <w:ind w:firstLine="480"/>
        <w:jc w:val="both"/>
      </w:pPr>
      <w:r>
        <w:rPr>
          <w:rFonts w:ascii="TH Sarabun New" w:hAnsi="TH Sarabun New" w:eastAsia="TH Sarabun New"/>
          <w:sz w:val="32"/>
        </w:rPr>
        <w:t>นัยเชิงกลยุทธ์ต่อ PG: กรณีฐานยังแสดงกำไรสุทธิจากรายได้อื่น ขณะที่ core proxy ติดลบเพิ่มเป็นประมาณ 33.26 ล้านบาทในปี 2574 ไม่แสดง ROE เพราะไม่ได้สร้างงบแสดงฐานะการเงินของกรณีฐานครบถ้วน DIO คำนวณจาก average inventory/COGS และเพิ่มจากประมาณ 267.75 เป็น 279.43 วัน จึงสะท้อนการตรึงทุนต่อเนื่องโดยไม่ใช้วิธี scaling ยอดคงเหลือด้วยยอดขาย</w:t>
      </w:r>
    </w:p>
    <w:p>
      <w:pPr>
        <w:pStyle w:val="Heading2"/>
        <w:keepNext/>
        <w:spacing w:after="50" w:before="130"/>
        <w:jc w:val="left"/>
      </w:pPr>
      <w:r>
        <w:rPr>
          <w:rFonts w:ascii="TH Sarabun New" w:hAnsi="TH Sarabun New" w:eastAsia="TH Sarabun New"/>
          <w:b/>
          <w:color w:val="2F5597"/>
          <w:sz w:val="32"/>
        </w:rPr>
        <w:t>6.2 กรณีกลยุทธ์ (Strategic Case)</w:t>
      </w:r>
    </w:p>
    <w:p>
      <w:r>
        <w:rPr>
          <w:rFonts w:ascii="TH Sarabun New" w:hAnsi="TH Sarabun New" w:eastAsia="TH Sarabun New"/>
          <w:b/>
          <w:sz w:val="28"/>
        </w:rPr>
        <w:t>ตารางที่ 22 ประมาณการผลการดำเนินงาน กรณีกลยุทธ์ ปี 2570–2574 (หน่วย: ล้านบาท เว้นแต่ระบุ)</w:t>
      </w:r>
    </w:p>
    <w:tbl>
      <w:tblPr>
        <w:tblW w:type="dxa" w:w="9468"/>
        <w:jc w:val="center"/>
        <w:tblBorders>
          <w:top w:val="single" w:color="B7B7B7" w:sz="4"/>
          <w:left w:val="single" w:color="B7B7B7" w:sz="4"/>
          <w:bottom w:val="single" w:color="B7B7B7" w:sz="4"/>
          <w:right w:val="single" w:color="B7B7B7" w:sz="4"/>
          <w:insideH w:val="single" w:color="B7B7B7" w:sz="4"/>
          <w:insideV w:val="single" w:color="B7B7B7" w:sz="4"/>
        </w:tblBorders>
        <w:tblLayout w:type="fixed"/>
      </w:tblPr>
      <w:tblGrid>
        <w:gridCol w:w="2600"/>
        <w:gridCol w:w="1070"/>
        <w:gridCol w:w="1070"/>
        <w:gridCol w:w="1070"/>
        <w:gridCol w:w="1070"/>
        <w:gridCol w:w="1070"/>
        <w:gridCol w:w="1070"/>
      </w:tblGrid>
      <w:tr>
        <w:trPr>
          <w:tblHeader w:val="true"/>
        </w:trPr>
        <w:tc>
          <w:tcPr>
            <w:tcW w:type="dxa" w:w="26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รายการ</w:t>
            </w:r>
          </w:p>
        </w:tc>
        <w:tc>
          <w:tcPr>
            <w:tcW w:type="dxa" w:w="107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2568 (จริง)</w:t>
            </w:r>
          </w:p>
        </w:tc>
        <w:tc>
          <w:tcPr>
            <w:tcW w:type="dxa" w:w="107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2570</w:t>
            </w:r>
          </w:p>
        </w:tc>
        <w:tc>
          <w:tcPr>
            <w:tcW w:type="dxa" w:w="107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2571</w:t>
            </w:r>
          </w:p>
        </w:tc>
        <w:tc>
          <w:tcPr>
            <w:tcW w:type="dxa" w:w="107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2572</w:t>
            </w:r>
          </w:p>
        </w:tc>
        <w:tc>
          <w:tcPr>
            <w:tcW w:type="dxa" w:w="107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2573</w:t>
            </w:r>
          </w:p>
        </w:tc>
        <w:tc>
          <w:tcPr>
            <w:tcW w:type="dxa" w:w="107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2574</w:t>
            </w:r>
          </w:p>
        </w:tc>
      </w:tr>
      <w:tr>
        <w:trPr/>
        <w:tc>
          <w:tcPr>
            <w:tcW w:type="dxa" w:w="2600"/>
            <w:vAlign w:val="center"/>
          </w:tcPr>
          <w:p>
            <w:pPr>
              <w:spacing w:before="0" w:after="0" w:line="240" w:lineRule="auto"/>
              <w:jc w:val="left"/>
            </w:pPr>
            <w:r>
              <w:rPr>
                <w:rFonts w:ascii="TH Sarabun New" w:hAnsi="TH Sarabun New" w:eastAsia="TH Sarabun New"/>
                <w:b w:val="0"/>
                <w:sz w:val="18"/>
              </w:rPr>
              <w:t>ยอดขาย</w:t>
            </w:r>
          </w:p>
        </w:tc>
        <w:tc>
          <w:tcPr>
            <w:tcW w:type="dxa" w:w="1070"/>
            <w:vAlign w:val="center"/>
          </w:tcPr>
          <w:p>
            <w:pPr>
              <w:spacing w:before="0" w:after="0" w:line="240" w:lineRule="auto"/>
              <w:jc w:val="center"/>
            </w:pPr>
            <w:r>
              <w:rPr>
                <w:rFonts w:ascii="TH Sarabun New" w:hAnsi="TH Sarabun New" w:eastAsia="TH Sarabun New"/>
                <w:b w:val="0"/>
                <w:sz w:val="18"/>
              </w:rPr>
              <w:t>605.20</w:t>
            </w:r>
          </w:p>
        </w:tc>
        <w:tc>
          <w:tcPr>
            <w:tcW w:type="dxa" w:w="1070"/>
            <w:vAlign w:val="center"/>
          </w:tcPr>
          <w:p>
            <w:pPr>
              <w:spacing w:before="0" w:after="0" w:line="240" w:lineRule="auto"/>
              <w:jc w:val="center"/>
            </w:pPr>
            <w:r>
              <w:rPr>
                <w:rFonts w:ascii="TH Sarabun New" w:hAnsi="TH Sarabun New" w:eastAsia="TH Sarabun New"/>
                <w:b w:val="0"/>
                <w:sz w:val="18"/>
              </w:rPr>
              <w:t>600.00</w:t>
            </w:r>
          </w:p>
        </w:tc>
        <w:tc>
          <w:tcPr>
            <w:tcW w:type="dxa" w:w="1070"/>
            <w:vAlign w:val="center"/>
          </w:tcPr>
          <w:p>
            <w:pPr>
              <w:spacing w:before="0" w:after="0" w:line="240" w:lineRule="auto"/>
              <w:jc w:val="center"/>
            </w:pPr>
            <w:r>
              <w:rPr>
                <w:rFonts w:ascii="TH Sarabun New" w:hAnsi="TH Sarabun New" w:eastAsia="TH Sarabun New"/>
                <w:b w:val="0"/>
                <w:sz w:val="18"/>
              </w:rPr>
              <w:t>645.00</w:t>
            </w:r>
          </w:p>
        </w:tc>
        <w:tc>
          <w:tcPr>
            <w:tcW w:type="dxa" w:w="1070"/>
            <w:vAlign w:val="center"/>
          </w:tcPr>
          <w:p>
            <w:pPr>
              <w:spacing w:before="0" w:after="0" w:line="240" w:lineRule="auto"/>
              <w:jc w:val="center"/>
            </w:pPr>
            <w:r>
              <w:rPr>
                <w:rFonts w:ascii="TH Sarabun New" w:hAnsi="TH Sarabun New" w:eastAsia="TH Sarabun New"/>
                <w:b w:val="0"/>
                <w:sz w:val="18"/>
              </w:rPr>
              <w:t>700.00</w:t>
            </w:r>
          </w:p>
        </w:tc>
        <w:tc>
          <w:tcPr>
            <w:tcW w:type="dxa" w:w="1070"/>
            <w:vAlign w:val="center"/>
          </w:tcPr>
          <w:p>
            <w:pPr>
              <w:spacing w:before="0" w:after="0" w:line="240" w:lineRule="auto"/>
              <w:jc w:val="center"/>
            </w:pPr>
            <w:r>
              <w:rPr>
                <w:rFonts w:ascii="TH Sarabun New" w:hAnsi="TH Sarabun New" w:eastAsia="TH Sarabun New"/>
                <w:b w:val="0"/>
                <w:sz w:val="18"/>
              </w:rPr>
              <w:t>755.00</w:t>
            </w:r>
          </w:p>
        </w:tc>
        <w:tc>
          <w:tcPr>
            <w:tcW w:type="dxa" w:w="1070"/>
            <w:vAlign w:val="center"/>
          </w:tcPr>
          <w:p>
            <w:pPr>
              <w:spacing w:before="0" w:after="0" w:line="240" w:lineRule="auto"/>
              <w:jc w:val="center"/>
            </w:pPr>
            <w:r>
              <w:rPr>
                <w:rFonts w:ascii="TH Sarabun New" w:hAnsi="TH Sarabun New" w:eastAsia="TH Sarabun New"/>
                <w:b w:val="0"/>
                <w:sz w:val="18"/>
              </w:rPr>
              <w:t>810.00</w:t>
            </w:r>
          </w:p>
        </w:tc>
      </w:tr>
      <w:tr>
        <w:trPr/>
        <w:tc>
          <w:tcPr>
            <w:tcW w:type="dxa" w:w="2600"/>
            <w:vAlign w:val="center"/>
          </w:tcPr>
          <w:p>
            <w:pPr>
              <w:spacing w:before="0" w:after="0" w:line="240" w:lineRule="auto"/>
              <w:jc w:val="left"/>
            </w:pPr>
            <w:r>
              <w:rPr>
                <w:rFonts w:ascii="TH Sarabun New" w:hAnsi="TH Sarabun New" w:eastAsia="TH Sarabun New"/>
                <w:b w:val="0"/>
                <w:sz w:val="18"/>
              </w:rPr>
              <w:t>อัตราเติบโตยอดขาย (%)</w:t>
            </w:r>
          </w:p>
        </w:tc>
        <w:tc>
          <w:tcPr>
            <w:tcW w:type="dxa" w:w="1070"/>
            <w:vAlign w:val="center"/>
          </w:tcPr>
          <w:p>
            <w:pPr>
              <w:spacing w:before="0" w:after="0" w:line="240" w:lineRule="auto"/>
              <w:jc w:val="center"/>
            </w:pPr>
            <w:r>
              <w:rPr>
                <w:rFonts w:ascii="TH Sarabun New" w:hAnsi="TH Sarabun New" w:eastAsia="TH Sarabun New"/>
                <w:b w:val="0"/>
                <w:sz w:val="18"/>
              </w:rPr>
              <w:t>(21.80)</w:t>
            </w:r>
          </w:p>
        </w:tc>
        <w:tc>
          <w:tcPr>
            <w:tcW w:type="dxa" w:w="1070"/>
            <w:vAlign w:val="center"/>
          </w:tcPr>
          <w:p>
            <w:pPr>
              <w:spacing w:before="0" w:after="0" w:line="240" w:lineRule="auto"/>
              <w:jc w:val="center"/>
            </w:pPr>
            <w:r>
              <w:rPr>
                <w:rFonts w:ascii="TH Sarabun New" w:hAnsi="TH Sarabun New" w:eastAsia="TH Sarabun New"/>
                <w:b w:val="0"/>
                <w:sz w:val="18"/>
              </w:rPr>
              <w:t>(0.86)</w:t>
            </w:r>
          </w:p>
        </w:tc>
        <w:tc>
          <w:tcPr>
            <w:tcW w:type="dxa" w:w="1070"/>
            <w:vAlign w:val="center"/>
          </w:tcPr>
          <w:p>
            <w:pPr>
              <w:spacing w:before="0" w:after="0" w:line="240" w:lineRule="auto"/>
              <w:jc w:val="center"/>
            </w:pPr>
            <w:r>
              <w:rPr>
                <w:rFonts w:ascii="TH Sarabun New" w:hAnsi="TH Sarabun New" w:eastAsia="TH Sarabun New"/>
                <w:b w:val="0"/>
                <w:sz w:val="18"/>
              </w:rPr>
              <w:t>7.50</w:t>
            </w:r>
          </w:p>
        </w:tc>
        <w:tc>
          <w:tcPr>
            <w:tcW w:type="dxa" w:w="1070"/>
            <w:vAlign w:val="center"/>
          </w:tcPr>
          <w:p>
            <w:pPr>
              <w:spacing w:before="0" w:after="0" w:line="240" w:lineRule="auto"/>
              <w:jc w:val="center"/>
            </w:pPr>
            <w:r>
              <w:rPr>
                <w:rFonts w:ascii="TH Sarabun New" w:hAnsi="TH Sarabun New" w:eastAsia="TH Sarabun New"/>
                <w:b w:val="0"/>
                <w:sz w:val="18"/>
              </w:rPr>
              <w:t>8.53</w:t>
            </w:r>
          </w:p>
        </w:tc>
        <w:tc>
          <w:tcPr>
            <w:tcW w:type="dxa" w:w="1070"/>
            <w:vAlign w:val="center"/>
          </w:tcPr>
          <w:p>
            <w:pPr>
              <w:spacing w:before="0" w:after="0" w:line="240" w:lineRule="auto"/>
              <w:jc w:val="center"/>
            </w:pPr>
            <w:r>
              <w:rPr>
                <w:rFonts w:ascii="TH Sarabun New" w:hAnsi="TH Sarabun New" w:eastAsia="TH Sarabun New"/>
                <w:b w:val="0"/>
                <w:sz w:val="18"/>
              </w:rPr>
              <w:t>7.86</w:t>
            </w:r>
          </w:p>
        </w:tc>
        <w:tc>
          <w:tcPr>
            <w:tcW w:type="dxa" w:w="1070"/>
            <w:vAlign w:val="center"/>
          </w:tcPr>
          <w:p>
            <w:pPr>
              <w:spacing w:before="0" w:after="0" w:line="240" w:lineRule="auto"/>
              <w:jc w:val="center"/>
            </w:pPr>
            <w:r>
              <w:rPr>
                <w:rFonts w:ascii="TH Sarabun New" w:hAnsi="TH Sarabun New" w:eastAsia="TH Sarabun New"/>
                <w:b w:val="0"/>
                <w:sz w:val="18"/>
              </w:rPr>
              <w:t>7.28</w:t>
            </w:r>
          </w:p>
        </w:tc>
      </w:tr>
      <w:tr>
        <w:trPr/>
        <w:tc>
          <w:tcPr>
            <w:tcW w:type="dxa" w:w="2600"/>
            <w:vAlign w:val="center"/>
          </w:tcPr>
          <w:p>
            <w:pPr>
              <w:spacing w:before="0" w:after="0" w:line="240" w:lineRule="auto"/>
              <w:jc w:val="left"/>
            </w:pPr>
            <w:r>
              <w:rPr>
                <w:rFonts w:ascii="TH Sarabun New" w:hAnsi="TH Sarabun New" w:eastAsia="TH Sarabun New"/>
                <w:b w:val="0"/>
                <w:sz w:val="18"/>
              </w:rPr>
              <w:t>รายได้ functional uniform/workwear</w:t>
            </w:r>
          </w:p>
        </w:tc>
        <w:tc>
          <w:tcPr>
            <w:tcW w:type="dxa" w:w="1070"/>
            <w:vAlign w:val="center"/>
          </w:tcPr>
          <w:p>
            <w:pPr>
              <w:spacing w:before="0" w:after="0" w:line="240" w:lineRule="auto"/>
              <w:jc w:val="center"/>
            </w:pPr>
            <w:r>
              <w:rPr>
                <w:rFonts w:ascii="TH Sarabun New" w:hAnsi="TH Sarabun New" w:eastAsia="TH Sarabun New"/>
                <w:b w:val="0"/>
                <w:sz w:val="18"/>
              </w:rPr>
              <w:t>ต้องกำหนดฐาน</w:t>
            </w:r>
          </w:p>
        </w:tc>
        <w:tc>
          <w:tcPr>
            <w:tcW w:type="dxa" w:w="1070"/>
            <w:vAlign w:val="center"/>
          </w:tcPr>
          <w:p>
            <w:pPr>
              <w:spacing w:before="0" w:after="0" w:line="240" w:lineRule="auto"/>
              <w:jc w:val="center"/>
            </w:pPr>
            <w:r>
              <w:rPr>
                <w:rFonts w:ascii="TH Sarabun New" w:hAnsi="TH Sarabun New" w:eastAsia="TH Sarabun New"/>
                <w:b w:val="0"/>
                <w:sz w:val="18"/>
              </w:rPr>
              <w:t>130.00</w:t>
            </w:r>
          </w:p>
        </w:tc>
        <w:tc>
          <w:tcPr>
            <w:tcW w:type="dxa" w:w="1070"/>
            <w:vAlign w:val="center"/>
          </w:tcPr>
          <w:p>
            <w:pPr>
              <w:spacing w:before="0" w:after="0" w:line="240" w:lineRule="auto"/>
              <w:jc w:val="center"/>
            </w:pPr>
            <w:r>
              <w:rPr>
                <w:rFonts w:ascii="TH Sarabun New" w:hAnsi="TH Sarabun New" w:eastAsia="TH Sarabun New"/>
                <w:b w:val="0"/>
                <w:sz w:val="18"/>
              </w:rPr>
              <w:t>175.00</w:t>
            </w:r>
          </w:p>
        </w:tc>
        <w:tc>
          <w:tcPr>
            <w:tcW w:type="dxa" w:w="1070"/>
            <w:vAlign w:val="center"/>
          </w:tcPr>
          <w:p>
            <w:pPr>
              <w:spacing w:before="0" w:after="0" w:line="240" w:lineRule="auto"/>
              <w:jc w:val="center"/>
            </w:pPr>
            <w:r>
              <w:rPr>
                <w:rFonts w:ascii="TH Sarabun New" w:hAnsi="TH Sarabun New" w:eastAsia="TH Sarabun New"/>
                <w:b w:val="0"/>
                <w:sz w:val="18"/>
              </w:rPr>
              <w:t>225.00</w:t>
            </w:r>
          </w:p>
        </w:tc>
        <w:tc>
          <w:tcPr>
            <w:tcW w:type="dxa" w:w="1070"/>
            <w:vAlign w:val="center"/>
          </w:tcPr>
          <w:p>
            <w:pPr>
              <w:spacing w:before="0" w:after="0" w:line="240" w:lineRule="auto"/>
              <w:jc w:val="center"/>
            </w:pPr>
            <w:r>
              <w:rPr>
                <w:rFonts w:ascii="TH Sarabun New" w:hAnsi="TH Sarabun New" w:eastAsia="TH Sarabun New"/>
                <w:b w:val="0"/>
                <w:sz w:val="18"/>
              </w:rPr>
              <w:t>275.00</w:t>
            </w:r>
          </w:p>
        </w:tc>
        <w:tc>
          <w:tcPr>
            <w:tcW w:type="dxa" w:w="1070"/>
            <w:vAlign w:val="center"/>
          </w:tcPr>
          <w:p>
            <w:pPr>
              <w:spacing w:before="0" w:after="0" w:line="240" w:lineRule="auto"/>
              <w:jc w:val="center"/>
            </w:pPr>
            <w:r>
              <w:rPr>
                <w:rFonts w:ascii="TH Sarabun New" w:hAnsi="TH Sarabun New" w:eastAsia="TH Sarabun New"/>
                <w:b w:val="0"/>
                <w:sz w:val="18"/>
              </w:rPr>
              <w:t>310.00</w:t>
            </w:r>
          </w:p>
        </w:tc>
      </w:tr>
      <w:tr>
        <w:trPr/>
        <w:tc>
          <w:tcPr>
            <w:tcW w:type="dxa" w:w="2600"/>
            <w:vAlign w:val="center"/>
          </w:tcPr>
          <w:p>
            <w:pPr>
              <w:spacing w:before="0" w:after="0" w:line="240" w:lineRule="auto"/>
              <w:jc w:val="left"/>
            </w:pPr>
            <w:r>
              <w:rPr>
                <w:rFonts w:ascii="TH Sarabun New" w:hAnsi="TH Sarabun New" w:eastAsia="TH Sarabun New"/>
                <w:b w:val="0"/>
                <w:sz w:val="18"/>
              </w:rPr>
              <w:t>สัดส่วนยอดขายรวม (%)</w:t>
            </w:r>
          </w:p>
        </w:tc>
        <w:tc>
          <w:tcPr>
            <w:tcW w:type="dxa" w:w="1070"/>
            <w:vAlign w:val="center"/>
          </w:tcPr>
          <w:p>
            <w:pPr>
              <w:spacing w:before="0" w:after="0" w:line="240" w:lineRule="auto"/>
              <w:jc w:val="center"/>
            </w:pPr>
            <w:r>
              <w:rPr>
                <w:rFonts w:ascii="TH Sarabun New" w:hAnsi="TH Sarabun New" w:eastAsia="TH Sarabun New"/>
                <w:b w:val="0"/>
                <w:sz w:val="18"/>
              </w:rPr>
              <w:t>ต้องกำหนดฐาน</w:t>
            </w:r>
          </w:p>
        </w:tc>
        <w:tc>
          <w:tcPr>
            <w:tcW w:type="dxa" w:w="1070"/>
            <w:vAlign w:val="center"/>
          </w:tcPr>
          <w:p>
            <w:pPr>
              <w:spacing w:before="0" w:after="0" w:line="240" w:lineRule="auto"/>
              <w:jc w:val="center"/>
            </w:pPr>
            <w:r>
              <w:rPr>
                <w:rFonts w:ascii="TH Sarabun New" w:hAnsi="TH Sarabun New" w:eastAsia="TH Sarabun New"/>
                <w:b w:val="0"/>
                <w:sz w:val="18"/>
              </w:rPr>
              <w:t>21.67</w:t>
            </w:r>
          </w:p>
        </w:tc>
        <w:tc>
          <w:tcPr>
            <w:tcW w:type="dxa" w:w="1070"/>
            <w:vAlign w:val="center"/>
          </w:tcPr>
          <w:p>
            <w:pPr>
              <w:spacing w:before="0" w:after="0" w:line="240" w:lineRule="auto"/>
              <w:jc w:val="center"/>
            </w:pPr>
            <w:r>
              <w:rPr>
                <w:rFonts w:ascii="TH Sarabun New" w:hAnsi="TH Sarabun New" w:eastAsia="TH Sarabun New"/>
                <w:b w:val="0"/>
                <w:sz w:val="18"/>
              </w:rPr>
              <w:t>27.13</w:t>
            </w:r>
          </w:p>
        </w:tc>
        <w:tc>
          <w:tcPr>
            <w:tcW w:type="dxa" w:w="1070"/>
            <w:vAlign w:val="center"/>
          </w:tcPr>
          <w:p>
            <w:pPr>
              <w:spacing w:before="0" w:after="0" w:line="240" w:lineRule="auto"/>
              <w:jc w:val="center"/>
            </w:pPr>
            <w:r>
              <w:rPr>
                <w:rFonts w:ascii="TH Sarabun New" w:hAnsi="TH Sarabun New" w:eastAsia="TH Sarabun New"/>
                <w:b w:val="0"/>
                <w:sz w:val="18"/>
              </w:rPr>
              <w:t>32.14</w:t>
            </w:r>
          </w:p>
        </w:tc>
        <w:tc>
          <w:tcPr>
            <w:tcW w:type="dxa" w:w="1070"/>
            <w:vAlign w:val="center"/>
          </w:tcPr>
          <w:p>
            <w:pPr>
              <w:spacing w:before="0" w:after="0" w:line="240" w:lineRule="auto"/>
              <w:jc w:val="center"/>
            </w:pPr>
            <w:r>
              <w:rPr>
                <w:rFonts w:ascii="TH Sarabun New" w:hAnsi="TH Sarabun New" w:eastAsia="TH Sarabun New"/>
                <w:b w:val="0"/>
                <w:sz w:val="18"/>
              </w:rPr>
              <w:t>36.42</w:t>
            </w:r>
          </w:p>
        </w:tc>
        <w:tc>
          <w:tcPr>
            <w:tcW w:type="dxa" w:w="1070"/>
            <w:vAlign w:val="center"/>
          </w:tcPr>
          <w:p>
            <w:pPr>
              <w:spacing w:before="0" w:after="0" w:line="240" w:lineRule="auto"/>
              <w:jc w:val="center"/>
            </w:pPr>
            <w:r>
              <w:rPr>
                <w:rFonts w:ascii="TH Sarabun New" w:hAnsi="TH Sarabun New" w:eastAsia="TH Sarabun New"/>
                <w:b w:val="0"/>
                <w:sz w:val="18"/>
              </w:rPr>
              <w:t>38.27</w:t>
            </w:r>
          </w:p>
        </w:tc>
      </w:tr>
      <w:tr>
        <w:trPr/>
        <w:tc>
          <w:tcPr>
            <w:tcW w:type="dxa" w:w="2600"/>
            <w:vAlign w:val="center"/>
          </w:tcPr>
          <w:p>
            <w:pPr>
              <w:spacing w:before="0" w:after="0" w:line="240" w:lineRule="auto"/>
              <w:jc w:val="left"/>
            </w:pPr>
            <w:r>
              <w:rPr>
                <w:rFonts w:ascii="TH Sarabun New" w:hAnsi="TH Sarabun New" w:eastAsia="TH Sarabun New"/>
                <w:b w:val="0"/>
                <w:sz w:val="18"/>
              </w:rPr>
              <w:t>อัตรากำไรขั้นต้น (%)</w:t>
            </w:r>
          </w:p>
        </w:tc>
        <w:tc>
          <w:tcPr>
            <w:tcW w:type="dxa" w:w="1070"/>
            <w:vAlign w:val="center"/>
          </w:tcPr>
          <w:p>
            <w:pPr>
              <w:spacing w:before="0" w:after="0" w:line="240" w:lineRule="auto"/>
              <w:jc w:val="center"/>
            </w:pPr>
            <w:r>
              <w:rPr>
                <w:rFonts w:ascii="TH Sarabun New" w:hAnsi="TH Sarabun New" w:eastAsia="TH Sarabun New"/>
                <w:b w:val="0"/>
                <w:sz w:val="18"/>
              </w:rPr>
              <w:t>21.40</w:t>
            </w:r>
          </w:p>
        </w:tc>
        <w:tc>
          <w:tcPr>
            <w:tcW w:type="dxa" w:w="1070"/>
            <w:vAlign w:val="center"/>
          </w:tcPr>
          <w:p>
            <w:pPr>
              <w:spacing w:before="0" w:after="0" w:line="240" w:lineRule="auto"/>
              <w:jc w:val="center"/>
            </w:pPr>
            <w:r>
              <w:rPr>
                <w:rFonts w:ascii="TH Sarabun New" w:hAnsi="TH Sarabun New" w:eastAsia="TH Sarabun New"/>
                <w:b w:val="0"/>
                <w:sz w:val="18"/>
              </w:rPr>
              <w:t>22.50</w:t>
            </w:r>
          </w:p>
        </w:tc>
        <w:tc>
          <w:tcPr>
            <w:tcW w:type="dxa" w:w="1070"/>
            <w:vAlign w:val="center"/>
          </w:tcPr>
          <w:p>
            <w:pPr>
              <w:spacing w:before="0" w:after="0" w:line="240" w:lineRule="auto"/>
              <w:jc w:val="center"/>
            </w:pPr>
            <w:r>
              <w:rPr>
                <w:rFonts w:ascii="TH Sarabun New" w:hAnsi="TH Sarabun New" w:eastAsia="TH Sarabun New"/>
                <w:b w:val="0"/>
                <w:sz w:val="18"/>
              </w:rPr>
              <w:t>24.00</w:t>
            </w:r>
          </w:p>
        </w:tc>
        <w:tc>
          <w:tcPr>
            <w:tcW w:type="dxa" w:w="1070"/>
            <w:vAlign w:val="center"/>
          </w:tcPr>
          <w:p>
            <w:pPr>
              <w:spacing w:before="0" w:after="0" w:line="240" w:lineRule="auto"/>
              <w:jc w:val="center"/>
            </w:pPr>
            <w:r>
              <w:rPr>
                <w:rFonts w:ascii="TH Sarabun New" w:hAnsi="TH Sarabun New" w:eastAsia="TH Sarabun New"/>
                <w:b w:val="0"/>
                <w:sz w:val="18"/>
              </w:rPr>
              <w:t>25.50</w:t>
            </w:r>
          </w:p>
        </w:tc>
        <w:tc>
          <w:tcPr>
            <w:tcW w:type="dxa" w:w="1070"/>
            <w:vAlign w:val="center"/>
          </w:tcPr>
          <w:p>
            <w:pPr>
              <w:spacing w:before="0" w:after="0" w:line="240" w:lineRule="auto"/>
              <w:jc w:val="center"/>
            </w:pPr>
            <w:r>
              <w:rPr>
                <w:rFonts w:ascii="TH Sarabun New" w:hAnsi="TH Sarabun New" w:eastAsia="TH Sarabun New"/>
                <w:b w:val="0"/>
                <w:sz w:val="18"/>
              </w:rPr>
              <w:t>26.50</w:t>
            </w:r>
          </w:p>
        </w:tc>
        <w:tc>
          <w:tcPr>
            <w:tcW w:type="dxa" w:w="1070"/>
            <w:vAlign w:val="center"/>
          </w:tcPr>
          <w:p>
            <w:pPr>
              <w:spacing w:before="0" w:after="0" w:line="240" w:lineRule="auto"/>
              <w:jc w:val="center"/>
            </w:pPr>
            <w:r>
              <w:rPr>
                <w:rFonts w:ascii="TH Sarabun New" w:hAnsi="TH Sarabun New" w:eastAsia="TH Sarabun New"/>
                <w:b w:val="0"/>
                <w:sz w:val="18"/>
              </w:rPr>
              <w:t>27.50</w:t>
            </w:r>
          </w:p>
        </w:tc>
      </w:tr>
      <w:tr>
        <w:trPr/>
        <w:tc>
          <w:tcPr>
            <w:tcW w:type="dxa" w:w="2600"/>
            <w:vAlign w:val="center"/>
          </w:tcPr>
          <w:p>
            <w:pPr>
              <w:spacing w:before="0" w:after="0" w:line="240" w:lineRule="auto"/>
              <w:jc w:val="left"/>
            </w:pPr>
            <w:r>
              <w:rPr>
                <w:rFonts w:ascii="TH Sarabun New" w:hAnsi="TH Sarabun New" w:eastAsia="TH Sarabun New"/>
                <w:b w:val="0"/>
                <w:sz w:val="18"/>
              </w:rPr>
              <w:t>กำไรขั้นต้น</w:t>
            </w:r>
          </w:p>
        </w:tc>
        <w:tc>
          <w:tcPr>
            <w:tcW w:type="dxa" w:w="1070"/>
            <w:vAlign w:val="center"/>
          </w:tcPr>
          <w:p>
            <w:pPr>
              <w:spacing w:before="0" w:after="0" w:line="240" w:lineRule="auto"/>
              <w:jc w:val="center"/>
            </w:pPr>
            <w:r>
              <w:rPr>
                <w:rFonts w:ascii="TH Sarabun New" w:hAnsi="TH Sarabun New" w:eastAsia="TH Sarabun New"/>
                <w:b w:val="0"/>
                <w:sz w:val="18"/>
              </w:rPr>
              <w:t>129.52</w:t>
            </w:r>
          </w:p>
        </w:tc>
        <w:tc>
          <w:tcPr>
            <w:tcW w:type="dxa" w:w="1070"/>
            <w:vAlign w:val="center"/>
          </w:tcPr>
          <w:p>
            <w:pPr>
              <w:spacing w:before="0" w:after="0" w:line="240" w:lineRule="auto"/>
              <w:jc w:val="center"/>
            </w:pPr>
            <w:r>
              <w:rPr>
                <w:rFonts w:ascii="TH Sarabun New" w:hAnsi="TH Sarabun New" w:eastAsia="TH Sarabun New"/>
                <w:b w:val="0"/>
                <w:sz w:val="18"/>
              </w:rPr>
              <w:t>135.00</w:t>
            </w:r>
          </w:p>
        </w:tc>
        <w:tc>
          <w:tcPr>
            <w:tcW w:type="dxa" w:w="1070"/>
            <w:vAlign w:val="center"/>
          </w:tcPr>
          <w:p>
            <w:pPr>
              <w:spacing w:before="0" w:after="0" w:line="240" w:lineRule="auto"/>
              <w:jc w:val="center"/>
            </w:pPr>
            <w:r>
              <w:rPr>
                <w:rFonts w:ascii="TH Sarabun New" w:hAnsi="TH Sarabun New" w:eastAsia="TH Sarabun New"/>
                <w:b w:val="0"/>
                <w:sz w:val="18"/>
              </w:rPr>
              <w:t>154.80</w:t>
            </w:r>
          </w:p>
        </w:tc>
        <w:tc>
          <w:tcPr>
            <w:tcW w:type="dxa" w:w="1070"/>
            <w:vAlign w:val="center"/>
          </w:tcPr>
          <w:p>
            <w:pPr>
              <w:spacing w:before="0" w:after="0" w:line="240" w:lineRule="auto"/>
              <w:jc w:val="center"/>
            </w:pPr>
            <w:r>
              <w:rPr>
                <w:rFonts w:ascii="TH Sarabun New" w:hAnsi="TH Sarabun New" w:eastAsia="TH Sarabun New"/>
                <w:b w:val="0"/>
                <w:sz w:val="18"/>
              </w:rPr>
              <w:t>178.50</w:t>
            </w:r>
          </w:p>
        </w:tc>
        <w:tc>
          <w:tcPr>
            <w:tcW w:type="dxa" w:w="1070"/>
            <w:vAlign w:val="center"/>
          </w:tcPr>
          <w:p>
            <w:pPr>
              <w:spacing w:before="0" w:after="0" w:line="240" w:lineRule="auto"/>
              <w:jc w:val="center"/>
            </w:pPr>
            <w:r>
              <w:rPr>
                <w:rFonts w:ascii="TH Sarabun New" w:hAnsi="TH Sarabun New" w:eastAsia="TH Sarabun New"/>
                <w:b w:val="0"/>
                <w:sz w:val="18"/>
              </w:rPr>
              <w:t>200.07</w:t>
            </w:r>
          </w:p>
        </w:tc>
        <w:tc>
          <w:tcPr>
            <w:tcW w:type="dxa" w:w="1070"/>
            <w:vAlign w:val="center"/>
          </w:tcPr>
          <w:p>
            <w:pPr>
              <w:spacing w:before="0" w:after="0" w:line="240" w:lineRule="auto"/>
              <w:jc w:val="center"/>
            </w:pPr>
            <w:r>
              <w:rPr>
                <w:rFonts w:ascii="TH Sarabun New" w:hAnsi="TH Sarabun New" w:eastAsia="TH Sarabun New"/>
                <w:b w:val="0"/>
                <w:sz w:val="18"/>
              </w:rPr>
              <w:t>222.75</w:t>
            </w:r>
          </w:p>
        </w:tc>
      </w:tr>
      <w:tr>
        <w:trPr/>
        <w:tc>
          <w:tcPr>
            <w:tcW w:type="dxa" w:w="2600"/>
            <w:vAlign w:val="center"/>
          </w:tcPr>
          <w:p>
            <w:pPr>
              <w:spacing w:before="0" w:after="0" w:line="240" w:lineRule="auto"/>
              <w:jc w:val="left"/>
            </w:pPr>
            <w:r>
              <w:rPr>
                <w:rFonts w:ascii="TH Sarabun New" w:hAnsi="TH Sarabun New" w:eastAsia="TH Sarabun New"/>
                <w:b w:val="0"/>
                <w:sz w:val="18"/>
              </w:rPr>
              <w:t>ค่าใช้จ่ายขายและบริหาร</w:t>
            </w:r>
          </w:p>
        </w:tc>
        <w:tc>
          <w:tcPr>
            <w:tcW w:type="dxa" w:w="1070"/>
            <w:vAlign w:val="center"/>
          </w:tcPr>
          <w:p>
            <w:pPr>
              <w:spacing w:before="0" w:after="0" w:line="240" w:lineRule="auto"/>
              <w:jc w:val="center"/>
            </w:pPr>
            <w:r>
              <w:rPr>
                <w:rFonts w:ascii="TH Sarabun New" w:hAnsi="TH Sarabun New" w:eastAsia="TH Sarabun New"/>
                <w:b w:val="0"/>
                <w:sz w:val="18"/>
              </w:rPr>
              <w:t>178.08</w:t>
            </w:r>
          </w:p>
        </w:tc>
        <w:tc>
          <w:tcPr>
            <w:tcW w:type="dxa" w:w="1070"/>
            <w:vAlign w:val="center"/>
          </w:tcPr>
          <w:p>
            <w:pPr>
              <w:spacing w:before="0" w:after="0" w:line="240" w:lineRule="auto"/>
              <w:jc w:val="center"/>
            </w:pPr>
            <w:r>
              <w:rPr>
                <w:rFonts w:ascii="TH Sarabun New" w:hAnsi="TH Sarabun New" w:eastAsia="TH Sarabun New"/>
                <w:b w:val="0"/>
                <w:sz w:val="18"/>
              </w:rPr>
              <w:t>150.00</w:t>
            </w:r>
          </w:p>
        </w:tc>
        <w:tc>
          <w:tcPr>
            <w:tcW w:type="dxa" w:w="1070"/>
            <w:vAlign w:val="center"/>
          </w:tcPr>
          <w:p>
            <w:pPr>
              <w:spacing w:before="0" w:after="0" w:line="240" w:lineRule="auto"/>
              <w:jc w:val="center"/>
            </w:pPr>
            <w:r>
              <w:rPr>
                <w:rFonts w:ascii="TH Sarabun New" w:hAnsi="TH Sarabun New" w:eastAsia="TH Sarabun New"/>
                <w:b w:val="0"/>
                <w:sz w:val="18"/>
              </w:rPr>
              <w:t>148.35</w:t>
            </w:r>
          </w:p>
        </w:tc>
        <w:tc>
          <w:tcPr>
            <w:tcW w:type="dxa" w:w="1070"/>
            <w:vAlign w:val="center"/>
          </w:tcPr>
          <w:p>
            <w:pPr>
              <w:spacing w:before="0" w:after="0" w:line="240" w:lineRule="auto"/>
              <w:jc w:val="center"/>
            </w:pPr>
            <w:r>
              <w:rPr>
                <w:rFonts w:ascii="TH Sarabun New" w:hAnsi="TH Sarabun New" w:eastAsia="TH Sarabun New"/>
                <w:b w:val="0"/>
                <w:sz w:val="18"/>
              </w:rPr>
              <w:t>154.00</w:t>
            </w:r>
          </w:p>
        </w:tc>
        <w:tc>
          <w:tcPr>
            <w:tcW w:type="dxa" w:w="1070"/>
            <w:vAlign w:val="center"/>
          </w:tcPr>
          <w:p>
            <w:pPr>
              <w:spacing w:before="0" w:after="0" w:line="240" w:lineRule="auto"/>
              <w:jc w:val="center"/>
            </w:pPr>
            <w:r>
              <w:rPr>
                <w:rFonts w:ascii="TH Sarabun New" w:hAnsi="TH Sarabun New" w:eastAsia="TH Sarabun New"/>
                <w:b w:val="0"/>
                <w:sz w:val="18"/>
              </w:rPr>
              <w:t>158.55</w:t>
            </w:r>
          </w:p>
        </w:tc>
        <w:tc>
          <w:tcPr>
            <w:tcW w:type="dxa" w:w="1070"/>
            <w:vAlign w:val="center"/>
          </w:tcPr>
          <w:p>
            <w:pPr>
              <w:spacing w:before="0" w:after="0" w:line="240" w:lineRule="auto"/>
              <w:jc w:val="center"/>
            </w:pPr>
            <w:r>
              <w:rPr>
                <w:rFonts w:ascii="TH Sarabun New" w:hAnsi="TH Sarabun New" w:eastAsia="TH Sarabun New"/>
                <w:b w:val="0"/>
                <w:sz w:val="18"/>
              </w:rPr>
              <w:t>162.00</w:t>
            </w:r>
          </w:p>
        </w:tc>
      </w:tr>
      <w:tr>
        <w:trPr/>
        <w:tc>
          <w:tcPr>
            <w:tcW w:type="dxa" w:w="2600"/>
            <w:vAlign w:val="center"/>
          </w:tcPr>
          <w:p>
            <w:pPr>
              <w:spacing w:before="0" w:after="0" w:line="240" w:lineRule="auto"/>
              <w:jc w:val="left"/>
            </w:pPr>
            <w:r>
              <w:rPr>
                <w:rFonts w:ascii="TH Sarabun New" w:hAnsi="TH Sarabun New" w:eastAsia="TH Sarabun New"/>
                <w:b w:val="0"/>
                <w:sz w:val="18"/>
              </w:rPr>
              <w:t>SG&amp;A/ยอดขาย (%)</w:t>
            </w:r>
          </w:p>
        </w:tc>
        <w:tc>
          <w:tcPr>
            <w:tcW w:type="dxa" w:w="1070"/>
            <w:vAlign w:val="center"/>
          </w:tcPr>
          <w:p>
            <w:pPr>
              <w:spacing w:before="0" w:after="0" w:line="240" w:lineRule="auto"/>
              <w:jc w:val="center"/>
            </w:pPr>
            <w:r>
              <w:rPr>
                <w:rFonts w:ascii="TH Sarabun New" w:hAnsi="TH Sarabun New" w:eastAsia="TH Sarabun New"/>
                <w:b w:val="0"/>
                <w:sz w:val="18"/>
              </w:rPr>
              <w:t>29.42</w:t>
            </w:r>
          </w:p>
        </w:tc>
        <w:tc>
          <w:tcPr>
            <w:tcW w:type="dxa" w:w="1070"/>
            <w:vAlign w:val="center"/>
          </w:tcPr>
          <w:p>
            <w:pPr>
              <w:spacing w:before="0" w:after="0" w:line="240" w:lineRule="auto"/>
              <w:jc w:val="center"/>
            </w:pPr>
            <w:r>
              <w:rPr>
                <w:rFonts w:ascii="TH Sarabun New" w:hAnsi="TH Sarabun New" w:eastAsia="TH Sarabun New"/>
                <w:b w:val="0"/>
                <w:sz w:val="18"/>
              </w:rPr>
              <w:t>25.00</w:t>
            </w:r>
          </w:p>
        </w:tc>
        <w:tc>
          <w:tcPr>
            <w:tcW w:type="dxa" w:w="1070"/>
            <w:vAlign w:val="center"/>
          </w:tcPr>
          <w:p>
            <w:pPr>
              <w:spacing w:before="0" w:after="0" w:line="240" w:lineRule="auto"/>
              <w:jc w:val="center"/>
            </w:pPr>
            <w:r>
              <w:rPr>
                <w:rFonts w:ascii="TH Sarabun New" w:hAnsi="TH Sarabun New" w:eastAsia="TH Sarabun New"/>
                <w:b w:val="0"/>
                <w:sz w:val="18"/>
              </w:rPr>
              <w:t>23.00</w:t>
            </w:r>
          </w:p>
        </w:tc>
        <w:tc>
          <w:tcPr>
            <w:tcW w:type="dxa" w:w="1070"/>
            <w:vAlign w:val="center"/>
          </w:tcPr>
          <w:p>
            <w:pPr>
              <w:spacing w:before="0" w:after="0" w:line="240" w:lineRule="auto"/>
              <w:jc w:val="center"/>
            </w:pPr>
            <w:r>
              <w:rPr>
                <w:rFonts w:ascii="TH Sarabun New" w:hAnsi="TH Sarabun New" w:eastAsia="TH Sarabun New"/>
                <w:b w:val="0"/>
                <w:sz w:val="18"/>
              </w:rPr>
              <w:t>22.00</w:t>
            </w:r>
          </w:p>
        </w:tc>
        <w:tc>
          <w:tcPr>
            <w:tcW w:type="dxa" w:w="1070"/>
            <w:vAlign w:val="center"/>
          </w:tcPr>
          <w:p>
            <w:pPr>
              <w:spacing w:before="0" w:after="0" w:line="240" w:lineRule="auto"/>
              <w:jc w:val="center"/>
            </w:pPr>
            <w:r>
              <w:rPr>
                <w:rFonts w:ascii="TH Sarabun New" w:hAnsi="TH Sarabun New" w:eastAsia="TH Sarabun New"/>
                <w:b w:val="0"/>
                <w:sz w:val="18"/>
              </w:rPr>
              <w:t>21.00</w:t>
            </w:r>
          </w:p>
        </w:tc>
        <w:tc>
          <w:tcPr>
            <w:tcW w:type="dxa" w:w="1070"/>
            <w:vAlign w:val="center"/>
          </w:tcPr>
          <w:p>
            <w:pPr>
              <w:spacing w:before="0" w:after="0" w:line="240" w:lineRule="auto"/>
              <w:jc w:val="center"/>
            </w:pPr>
            <w:r>
              <w:rPr>
                <w:rFonts w:ascii="TH Sarabun New" w:hAnsi="TH Sarabun New" w:eastAsia="TH Sarabun New"/>
                <w:b w:val="0"/>
                <w:sz w:val="18"/>
              </w:rPr>
              <w:t>20.00</w:t>
            </w:r>
          </w:p>
        </w:tc>
      </w:tr>
      <w:tr>
        <w:trPr/>
        <w:tc>
          <w:tcPr>
            <w:tcW w:type="dxa" w:w="2600"/>
            <w:vAlign w:val="center"/>
            <w:shd w:fill="FCE4D6"/>
          </w:tcPr>
          <w:p>
            <w:pPr>
              <w:spacing w:before="0" w:after="0" w:line="240" w:lineRule="auto"/>
              <w:jc w:val="left"/>
            </w:pPr>
            <w:r>
              <w:rPr>
                <w:rFonts w:ascii="TH Sarabun New" w:hAnsi="TH Sarabun New" w:eastAsia="TH Sarabun New"/>
                <w:b w:val="0"/>
                <w:sz w:val="18"/>
              </w:rPr>
              <w:t>ผลจากธุรกิจหลักโดยประมาณ</w:t>
            </w:r>
          </w:p>
        </w:tc>
        <w:tc>
          <w:tcPr>
            <w:tcW w:type="dxa" w:w="1070"/>
            <w:vAlign w:val="center"/>
            <w:shd w:fill="FCE4D6"/>
          </w:tcPr>
          <w:p>
            <w:pPr>
              <w:spacing w:before="0" w:after="0" w:line="240" w:lineRule="auto"/>
              <w:jc w:val="center"/>
            </w:pPr>
            <w:r>
              <w:rPr>
                <w:rFonts w:ascii="TH Sarabun New" w:hAnsi="TH Sarabun New" w:eastAsia="TH Sarabun New"/>
                <w:b w:val="0"/>
                <w:sz w:val="18"/>
              </w:rPr>
              <w:t>(48.56)</w:t>
            </w:r>
          </w:p>
        </w:tc>
        <w:tc>
          <w:tcPr>
            <w:tcW w:type="dxa" w:w="1070"/>
            <w:vAlign w:val="center"/>
            <w:shd w:fill="FCE4D6"/>
          </w:tcPr>
          <w:p>
            <w:pPr>
              <w:spacing w:before="0" w:after="0" w:line="240" w:lineRule="auto"/>
              <w:jc w:val="center"/>
            </w:pPr>
            <w:r>
              <w:rPr>
                <w:rFonts w:ascii="TH Sarabun New" w:hAnsi="TH Sarabun New" w:eastAsia="TH Sarabun New"/>
                <w:b w:val="0"/>
                <w:sz w:val="18"/>
              </w:rPr>
              <w:t>(15.00)</w:t>
            </w:r>
          </w:p>
        </w:tc>
        <w:tc>
          <w:tcPr>
            <w:tcW w:type="dxa" w:w="1070"/>
            <w:vAlign w:val="center"/>
            <w:shd w:fill="FCE4D6"/>
          </w:tcPr>
          <w:p>
            <w:pPr>
              <w:spacing w:before="0" w:after="0" w:line="240" w:lineRule="auto"/>
              <w:jc w:val="center"/>
            </w:pPr>
            <w:r>
              <w:rPr>
                <w:rFonts w:ascii="TH Sarabun New" w:hAnsi="TH Sarabun New" w:eastAsia="TH Sarabun New"/>
                <w:b w:val="0"/>
                <w:sz w:val="18"/>
              </w:rPr>
              <w:t>6.45</w:t>
            </w:r>
          </w:p>
        </w:tc>
        <w:tc>
          <w:tcPr>
            <w:tcW w:type="dxa" w:w="1070"/>
            <w:vAlign w:val="center"/>
            <w:shd w:fill="FCE4D6"/>
          </w:tcPr>
          <w:p>
            <w:pPr>
              <w:spacing w:before="0" w:after="0" w:line="240" w:lineRule="auto"/>
              <w:jc w:val="center"/>
            </w:pPr>
            <w:r>
              <w:rPr>
                <w:rFonts w:ascii="TH Sarabun New" w:hAnsi="TH Sarabun New" w:eastAsia="TH Sarabun New"/>
                <w:b w:val="0"/>
                <w:sz w:val="18"/>
              </w:rPr>
              <w:t>24.50</w:t>
            </w:r>
          </w:p>
        </w:tc>
        <w:tc>
          <w:tcPr>
            <w:tcW w:type="dxa" w:w="1070"/>
            <w:vAlign w:val="center"/>
            <w:shd w:fill="FCE4D6"/>
          </w:tcPr>
          <w:p>
            <w:pPr>
              <w:spacing w:before="0" w:after="0" w:line="240" w:lineRule="auto"/>
              <w:jc w:val="center"/>
            </w:pPr>
            <w:r>
              <w:rPr>
                <w:rFonts w:ascii="TH Sarabun New" w:hAnsi="TH Sarabun New" w:eastAsia="TH Sarabun New"/>
                <w:b w:val="0"/>
                <w:sz w:val="18"/>
              </w:rPr>
              <w:t>41.52</w:t>
            </w:r>
          </w:p>
        </w:tc>
        <w:tc>
          <w:tcPr>
            <w:tcW w:type="dxa" w:w="1070"/>
            <w:vAlign w:val="center"/>
            <w:shd w:fill="FCE4D6"/>
          </w:tcPr>
          <w:p>
            <w:pPr>
              <w:spacing w:before="0" w:after="0" w:line="240" w:lineRule="auto"/>
              <w:jc w:val="center"/>
            </w:pPr>
            <w:r>
              <w:rPr>
                <w:rFonts w:ascii="TH Sarabun New" w:hAnsi="TH Sarabun New" w:eastAsia="TH Sarabun New"/>
                <w:b w:val="0"/>
                <w:sz w:val="18"/>
              </w:rPr>
              <w:t>60.75</w:t>
            </w:r>
          </w:p>
        </w:tc>
      </w:tr>
      <w:tr>
        <w:trPr/>
        <w:tc>
          <w:tcPr>
            <w:tcW w:type="dxa" w:w="2600"/>
            <w:vAlign w:val="center"/>
            <w:shd w:fill="FCE4D6"/>
          </w:tcPr>
          <w:p>
            <w:pPr>
              <w:spacing w:before="0" w:after="0" w:line="240" w:lineRule="auto"/>
              <w:jc w:val="left"/>
            </w:pPr>
            <w:r>
              <w:rPr>
                <w:rFonts w:ascii="TH Sarabun New" w:hAnsi="TH Sarabun New" w:eastAsia="TH Sarabun New"/>
                <w:b w:val="0"/>
                <w:sz w:val="18"/>
              </w:rPr>
              <w:t>อัตราผลจากธุรกิจหลัก (%)</w:t>
            </w:r>
          </w:p>
        </w:tc>
        <w:tc>
          <w:tcPr>
            <w:tcW w:type="dxa" w:w="1070"/>
            <w:vAlign w:val="center"/>
            <w:shd w:fill="FCE4D6"/>
          </w:tcPr>
          <w:p>
            <w:pPr>
              <w:spacing w:before="0" w:after="0" w:line="240" w:lineRule="auto"/>
              <w:jc w:val="center"/>
            </w:pPr>
            <w:r>
              <w:rPr>
                <w:rFonts w:ascii="TH Sarabun New" w:hAnsi="TH Sarabun New" w:eastAsia="TH Sarabun New"/>
                <w:b w:val="0"/>
                <w:sz w:val="18"/>
              </w:rPr>
              <w:t>(8.02)</w:t>
            </w:r>
          </w:p>
        </w:tc>
        <w:tc>
          <w:tcPr>
            <w:tcW w:type="dxa" w:w="1070"/>
            <w:vAlign w:val="center"/>
            <w:shd w:fill="FCE4D6"/>
          </w:tcPr>
          <w:p>
            <w:pPr>
              <w:spacing w:before="0" w:after="0" w:line="240" w:lineRule="auto"/>
              <w:jc w:val="center"/>
            </w:pPr>
            <w:r>
              <w:rPr>
                <w:rFonts w:ascii="TH Sarabun New" w:hAnsi="TH Sarabun New" w:eastAsia="TH Sarabun New"/>
                <w:b w:val="0"/>
                <w:sz w:val="18"/>
              </w:rPr>
              <w:t>(2.50)</w:t>
            </w:r>
          </w:p>
        </w:tc>
        <w:tc>
          <w:tcPr>
            <w:tcW w:type="dxa" w:w="1070"/>
            <w:vAlign w:val="center"/>
            <w:shd w:fill="FCE4D6"/>
          </w:tcPr>
          <w:p>
            <w:pPr>
              <w:spacing w:before="0" w:after="0" w:line="240" w:lineRule="auto"/>
              <w:jc w:val="center"/>
            </w:pPr>
            <w:r>
              <w:rPr>
                <w:rFonts w:ascii="TH Sarabun New" w:hAnsi="TH Sarabun New" w:eastAsia="TH Sarabun New"/>
                <w:b w:val="0"/>
                <w:sz w:val="18"/>
              </w:rPr>
              <w:t>1.00</w:t>
            </w:r>
          </w:p>
        </w:tc>
        <w:tc>
          <w:tcPr>
            <w:tcW w:type="dxa" w:w="1070"/>
            <w:vAlign w:val="center"/>
            <w:shd w:fill="FCE4D6"/>
          </w:tcPr>
          <w:p>
            <w:pPr>
              <w:spacing w:before="0" w:after="0" w:line="240" w:lineRule="auto"/>
              <w:jc w:val="center"/>
            </w:pPr>
            <w:r>
              <w:rPr>
                <w:rFonts w:ascii="TH Sarabun New" w:hAnsi="TH Sarabun New" w:eastAsia="TH Sarabun New"/>
                <w:b w:val="0"/>
                <w:sz w:val="18"/>
              </w:rPr>
              <w:t>3.50</w:t>
            </w:r>
          </w:p>
        </w:tc>
        <w:tc>
          <w:tcPr>
            <w:tcW w:type="dxa" w:w="1070"/>
            <w:vAlign w:val="center"/>
            <w:shd w:fill="FCE4D6"/>
          </w:tcPr>
          <w:p>
            <w:pPr>
              <w:spacing w:before="0" w:after="0" w:line="240" w:lineRule="auto"/>
              <w:jc w:val="center"/>
            </w:pPr>
            <w:r>
              <w:rPr>
                <w:rFonts w:ascii="TH Sarabun New" w:hAnsi="TH Sarabun New" w:eastAsia="TH Sarabun New"/>
                <w:b w:val="0"/>
                <w:sz w:val="18"/>
              </w:rPr>
              <w:t>5.50</w:t>
            </w:r>
          </w:p>
        </w:tc>
        <w:tc>
          <w:tcPr>
            <w:tcW w:type="dxa" w:w="1070"/>
            <w:vAlign w:val="center"/>
            <w:shd w:fill="FCE4D6"/>
          </w:tcPr>
          <w:p>
            <w:pPr>
              <w:spacing w:before="0" w:after="0" w:line="240" w:lineRule="auto"/>
              <w:jc w:val="center"/>
            </w:pPr>
            <w:r>
              <w:rPr>
                <w:rFonts w:ascii="TH Sarabun New" w:hAnsi="TH Sarabun New" w:eastAsia="TH Sarabun New"/>
                <w:b w:val="0"/>
                <w:sz w:val="18"/>
              </w:rPr>
              <w:t>7.50</w:t>
            </w:r>
          </w:p>
        </w:tc>
      </w:tr>
      <w:tr>
        <w:trPr/>
        <w:tc>
          <w:tcPr>
            <w:tcW w:type="dxa" w:w="2600"/>
            <w:vAlign w:val="center"/>
          </w:tcPr>
          <w:p>
            <w:pPr>
              <w:spacing w:before="0" w:after="0" w:line="240" w:lineRule="auto"/>
              <w:jc w:val="left"/>
            </w:pPr>
            <w:r>
              <w:rPr>
                <w:rFonts w:ascii="TH Sarabun New" w:hAnsi="TH Sarabun New" w:eastAsia="TH Sarabun New"/>
                <w:b w:val="0"/>
                <w:sz w:val="18"/>
              </w:rPr>
              <w:t>รายได้อื่น</w:t>
            </w:r>
          </w:p>
        </w:tc>
        <w:tc>
          <w:tcPr>
            <w:tcW w:type="dxa" w:w="1070"/>
            <w:vAlign w:val="center"/>
          </w:tcPr>
          <w:p>
            <w:pPr>
              <w:spacing w:before="0" w:after="0" w:line="240" w:lineRule="auto"/>
              <w:jc w:val="center"/>
            </w:pPr>
            <w:r>
              <w:rPr>
                <w:rFonts w:ascii="TH Sarabun New" w:hAnsi="TH Sarabun New" w:eastAsia="TH Sarabun New"/>
                <w:b w:val="0"/>
                <w:sz w:val="18"/>
              </w:rPr>
              <w:t>62.14</w:t>
            </w:r>
          </w:p>
        </w:tc>
        <w:tc>
          <w:tcPr>
            <w:tcW w:type="dxa" w:w="1070"/>
            <w:vAlign w:val="center"/>
          </w:tcPr>
          <w:p>
            <w:pPr>
              <w:spacing w:before="0" w:after="0" w:line="240" w:lineRule="auto"/>
              <w:jc w:val="center"/>
            </w:pPr>
            <w:r>
              <w:rPr>
                <w:rFonts w:ascii="TH Sarabun New" w:hAnsi="TH Sarabun New" w:eastAsia="TH Sarabun New"/>
                <w:b w:val="0"/>
                <w:sz w:val="18"/>
              </w:rPr>
              <w:t>58.00</w:t>
            </w:r>
          </w:p>
        </w:tc>
        <w:tc>
          <w:tcPr>
            <w:tcW w:type="dxa" w:w="1070"/>
            <w:vAlign w:val="center"/>
          </w:tcPr>
          <w:p>
            <w:pPr>
              <w:spacing w:before="0" w:after="0" w:line="240" w:lineRule="auto"/>
              <w:jc w:val="center"/>
            </w:pPr>
            <w:r>
              <w:rPr>
                <w:rFonts w:ascii="TH Sarabun New" w:hAnsi="TH Sarabun New" w:eastAsia="TH Sarabun New"/>
                <w:b w:val="0"/>
                <w:sz w:val="18"/>
              </w:rPr>
              <w:t>56.00</w:t>
            </w:r>
          </w:p>
        </w:tc>
        <w:tc>
          <w:tcPr>
            <w:tcW w:type="dxa" w:w="1070"/>
            <w:vAlign w:val="center"/>
          </w:tcPr>
          <w:p>
            <w:pPr>
              <w:spacing w:before="0" w:after="0" w:line="240" w:lineRule="auto"/>
              <w:jc w:val="center"/>
            </w:pPr>
            <w:r>
              <w:rPr>
                <w:rFonts w:ascii="TH Sarabun New" w:hAnsi="TH Sarabun New" w:eastAsia="TH Sarabun New"/>
                <w:b w:val="0"/>
                <w:sz w:val="18"/>
              </w:rPr>
              <w:t>54.00</w:t>
            </w:r>
          </w:p>
        </w:tc>
        <w:tc>
          <w:tcPr>
            <w:tcW w:type="dxa" w:w="1070"/>
            <w:vAlign w:val="center"/>
          </w:tcPr>
          <w:p>
            <w:pPr>
              <w:spacing w:before="0" w:after="0" w:line="240" w:lineRule="auto"/>
              <w:jc w:val="center"/>
            </w:pPr>
            <w:r>
              <w:rPr>
                <w:rFonts w:ascii="TH Sarabun New" w:hAnsi="TH Sarabun New" w:eastAsia="TH Sarabun New"/>
                <w:b w:val="0"/>
                <w:sz w:val="18"/>
              </w:rPr>
              <w:t>54.00</w:t>
            </w:r>
          </w:p>
        </w:tc>
        <w:tc>
          <w:tcPr>
            <w:tcW w:type="dxa" w:w="1070"/>
            <w:vAlign w:val="center"/>
          </w:tcPr>
          <w:p>
            <w:pPr>
              <w:spacing w:before="0" w:after="0" w:line="240" w:lineRule="auto"/>
              <w:jc w:val="center"/>
            </w:pPr>
            <w:r>
              <w:rPr>
                <w:rFonts w:ascii="TH Sarabun New" w:hAnsi="TH Sarabun New" w:eastAsia="TH Sarabun New"/>
                <w:b w:val="0"/>
                <w:sz w:val="18"/>
              </w:rPr>
              <w:t>54.00</w:t>
            </w:r>
          </w:p>
        </w:tc>
      </w:tr>
      <w:tr>
        <w:trPr/>
        <w:tc>
          <w:tcPr>
            <w:tcW w:type="dxa" w:w="2600"/>
            <w:vAlign w:val="center"/>
          </w:tcPr>
          <w:p>
            <w:pPr>
              <w:spacing w:before="0" w:after="0" w:line="240" w:lineRule="auto"/>
              <w:jc w:val="left"/>
            </w:pPr>
            <w:r>
              <w:rPr>
                <w:rFonts w:ascii="TH Sarabun New" w:hAnsi="TH Sarabun New" w:eastAsia="TH Sarabun New"/>
                <w:b w:val="0"/>
                <w:sz w:val="18"/>
              </w:rPr>
              <w:t>กำไรสุทธิโดยประมาณ (ภาษี 20%)*</w:t>
            </w:r>
          </w:p>
        </w:tc>
        <w:tc>
          <w:tcPr>
            <w:tcW w:type="dxa" w:w="1070"/>
            <w:vAlign w:val="center"/>
          </w:tcPr>
          <w:p>
            <w:pPr>
              <w:spacing w:before="0" w:after="0" w:line="240" w:lineRule="auto"/>
              <w:jc w:val="center"/>
            </w:pPr>
            <w:r>
              <w:rPr>
                <w:rFonts w:ascii="TH Sarabun New" w:hAnsi="TH Sarabun New" w:eastAsia="TH Sarabun New"/>
                <w:b w:val="0"/>
                <w:sz w:val="18"/>
              </w:rPr>
              <w:t>(5.56)</w:t>
            </w:r>
          </w:p>
        </w:tc>
        <w:tc>
          <w:tcPr>
            <w:tcW w:type="dxa" w:w="1070"/>
            <w:vAlign w:val="center"/>
          </w:tcPr>
          <w:p>
            <w:pPr>
              <w:spacing w:before="0" w:after="0" w:line="240" w:lineRule="auto"/>
              <w:jc w:val="center"/>
            </w:pPr>
            <w:r>
              <w:rPr>
                <w:rFonts w:ascii="TH Sarabun New" w:hAnsi="TH Sarabun New" w:eastAsia="TH Sarabun New"/>
                <w:b w:val="0"/>
                <w:sz w:val="18"/>
              </w:rPr>
              <w:t>34.40</w:t>
            </w:r>
          </w:p>
        </w:tc>
        <w:tc>
          <w:tcPr>
            <w:tcW w:type="dxa" w:w="1070"/>
            <w:vAlign w:val="center"/>
          </w:tcPr>
          <w:p>
            <w:pPr>
              <w:spacing w:before="0" w:after="0" w:line="240" w:lineRule="auto"/>
              <w:jc w:val="center"/>
            </w:pPr>
            <w:r>
              <w:rPr>
                <w:rFonts w:ascii="TH Sarabun New" w:hAnsi="TH Sarabun New" w:eastAsia="TH Sarabun New"/>
                <w:b w:val="0"/>
                <w:sz w:val="18"/>
              </w:rPr>
              <w:t>49.96</w:t>
            </w:r>
          </w:p>
        </w:tc>
        <w:tc>
          <w:tcPr>
            <w:tcW w:type="dxa" w:w="1070"/>
            <w:vAlign w:val="center"/>
          </w:tcPr>
          <w:p>
            <w:pPr>
              <w:spacing w:before="0" w:after="0" w:line="240" w:lineRule="auto"/>
              <w:jc w:val="center"/>
            </w:pPr>
            <w:r>
              <w:rPr>
                <w:rFonts w:ascii="TH Sarabun New" w:hAnsi="TH Sarabun New" w:eastAsia="TH Sarabun New"/>
                <w:b w:val="0"/>
                <w:sz w:val="18"/>
              </w:rPr>
              <w:t>62.80</w:t>
            </w:r>
          </w:p>
        </w:tc>
        <w:tc>
          <w:tcPr>
            <w:tcW w:type="dxa" w:w="1070"/>
            <w:vAlign w:val="center"/>
          </w:tcPr>
          <w:p>
            <w:pPr>
              <w:spacing w:before="0" w:after="0" w:line="240" w:lineRule="auto"/>
              <w:jc w:val="center"/>
            </w:pPr>
            <w:r>
              <w:rPr>
                <w:rFonts w:ascii="TH Sarabun New" w:hAnsi="TH Sarabun New" w:eastAsia="TH Sarabun New"/>
                <w:b w:val="0"/>
                <w:sz w:val="18"/>
              </w:rPr>
              <w:t>76.42</w:t>
            </w:r>
          </w:p>
        </w:tc>
        <w:tc>
          <w:tcPr>
            <w:tcW w:type="dxa" w:w="1070"/>
            <w:vAlign w:val="center"/>
          </w:tcPr>
          <w:p>
            <w:pPr>
              <w:spacing w:before="0" w:after="0" w:line="240" w:lineRule="auto"/>
              <w:jc w:val="center"/>
            </w:pPr>
            <w:r>
              <w:rPr>
                <w:rFonts w:ascii="TH Sarabun New" w:hAnsi="TH Sarabun New" w:eastAsia="TH Sarabun New"/>
                <w:b w:val="0"/>
                <w:sz w:val="18"/>
              </w:rPr>
              <w:t>91.80</w:t>
            </w:r>
          </w:p>
        </w:tc>
      </w:tr>
      <w:tr>
        <w:trPr/>
        <w:tc>
          <w:tcPr>
            <w:tcW w:type="dxa" w:w="2600"/>
            <w:vAlign w:val="center"/>
          </w:tcPr>
          <w:p>
            <w:pPr>
              <w:spacing w:before="0" w:after="0" w:line="240" w:lineRule="auto"/>
              <w:jc w:val="left"/>
            </w:pPr>
            <w:r>
              <w:rPr>
                <w:rFonts w:ascii="TH Sarabun New" w:hAnsi="TH Sarabun New" w:eastAsia="TH Sarabun New"/>
                <w:b w:val="0"/>
                <w:sz w:val="18"/>
              </w:rPr>
              <w:t>สินค้าคงเหลือปลายงวด</w:t>
            </w:r>
          </w:p>
        </w:tc>
        <w:tc>
          <w:tcPr>
            <w:tcW w:type="dxa" w:w="1070"/>
            <w:vAlign w:val="center"/>
          </w:tcPr>
          <w:p>
            <w:pPr>
              <w:spacing w:before="0" w:after="0" w:line="240" w:lineRule="auto"/>
              <w:jc w:val="center"/>
            </w:pPr>
            <w:r>
              <w:rPr>
                <w:rFonts w:ascii="TH Sarabun New" w:hAnsi="TH Sarabun New" w:eastAsia="TH Sarabun New"/>
                <w:b w:val="0"/>
                <w:sz w:val="18"/>
              </w:rPr>
              <w:t>337.11</w:t>
            </w:r>
          </w:p>
        </w:tc>
        <w:tc>
          <w:tcPr>
            <w:tcW w:type="dxa" w:w="1070"/>
            <w:vAlign w:val="center"/>
          </w:tcPr>
          <w:p>
            <w:pPr>
              <w:spacing w:before="0" w:after="0" w:line="240" w:lineRule="auto"/>
              <w:jc w:val="center"/>
            </w:pPr>
            <w:r>
              <w:rPr>
                <w:rFonts w:ascii="TH Sarabun New" w:hAnsi="TH Sarabun New" w:eastAsia="TH Sarabun New"/>
                <w:b w:val="0"/>
                <w:sz w:val="18"/>
              </w:rPr>
              <w:t>300.00</w:t>
            </w:r>
          </w:p>
        </w:tc>
        <w:tc>
          <w:tcPr>
            <w:tcW w:type="dxa" w:w="1070"/>
            <w:vAlign w:val="center"/>
          </w:tcPr>
          <w:p>
            <w:pPr>
              <w:spacing w:before="0" w:after="0" w:line="240" w:lineRule="auto"/>
              <w:jc w:val="center"/>
            </w:pPr>
            <w:r>
              <w:rPr>
                <w:rFonts w:ascii="TH Sarabun New" w:hAnsi="TH Sarabun New" w:eastAsia="TH Sarabun New"/>
                <w:b w:val="0"/>
                <w:sz w:val="18"/>
              </w:rPr>
              <w:t>260.00</w:t>
            </w:r>
          </w:p>
        </w:tc>
        <w:tc>
          <w:tcPr>
            <w:tcW w:type="dxa" w:w="1070"/>
            <w:vAlign w:val="center"/>
          </w:tcPr>
          <w:p>
            <w:pPr>
              <w:spacing w:before="0" w:after="0" w:line="240" w:lineRule="auto"/>
              <w:jc w:val="center"/>
            </w:pPr>
            <w:r>
              <w:rPr>
                <w:rFonts w:ascii="TH Sarabun New" w:hAnsi="TH Sarabun New" w:eastAsia="TH Sarabun New"/>
                <w:b w:val="0"/>
                <w:sz w:val="18"/>
              </w:rPr>
              <w:t>220.00</w:t>
            </w:r>
          </w:p>
        </w:tc>
        <w:tc>
          <w:tcPr>
            <w:tcW w:type="dxa" w:w="1070"/>
            <w:vAlign w:val="center"/>
          </w:tcPr>
          <w:p>
            <w:pPr>
              <w:spacing w:before="0" w:after="0" w:line="240" w:lineRule="auto"/>
              <w:jc w:val="center"/>
            </w:pPr>
            <w:r>
              <w:rPr>
                <w:rFonts w:ascii="TH Sarabun New" w:hAnsi="TH Sarabun New" w:eastAsia="TH Sarabun New"/>
                <w:b w:val="0"/>
                <w:sz w:val="18"/>
              </w:rPr>
              <w:t>190.00</w:t>
            </w:r>
          </w:p>
        </w:tc>
        <w:tc>
          <w:tcPr>
            <w:tcW w:type="dxa" w:w="1070"/>
            <w:vAlign w:val="center"/>
          </w:tcPr>
          <w:p>
            <w:pPr>
              <w:spacing w:before="0" w:after="0" w:line="240" w:lineRule="auto"/>
              <w:jc w:val="center"/>
            </w:pPr>
            <w:r>
              <w:rPr>
                <w:rFonts w:ascii="TH Sarabun New" w:hAnsi="TH Sarabun New" w:eastAsia="TH Sarabun New"/>
                <w:b w:val="0"/>
                <w:sz w:val="18"/>
              </w:rPr>
              <w:t>165.00</w:t>
            </w:r>
          </w:p>
        </w:tc>
      </w:tr>
      <w:tr>
        <w:trPr/>
        <w:tc>
          <w:tcPr>
            <w:tcW w:type="dxa" w:w="2600"/>
            <w:vAlign w:val="center"/>
          </w:tcPr>
          <w:p>
            <w:pPr>
              <w:spacing w:before="0" w:after="0" w:line="240" w:lineRule="auto"/>
              <w:jc w:val="left"/>
            </w:pPr>
            <w:r>
              <w:rPr>
                <w:rFonts w:ascii="TH Sarabun New" w:hAnsi="TH Sarabun New" w:eastAsia="TH Sarabun New"/>
                <w:b w:val="0"/>
                <w:sz w:val="18"/>
              </w:rPr>
              <w:t>DIO: สินค้าคงเหลือเฉลี่ย/COGS×365 (วัน)</w:t>
            </w:r>
          </w:p>
        </w:tc>
        <w:tc>
          <w:tcPr>
            <w:tcW w:type="dxa" w:w="1070"/>
            <w:vAlign w:val="center"/>
          </w:tcPr>
          <w:p>
            <w:pPr>
              <w:spacing w:before="0" w:after="0" w:line="240" w:lineRule="auto"/>
              <w:jc w:val="center"/>
            </w:pPr>
            <w:r>
              <w:rPr>
                <w:rFonts w:ascii="TH Sarabun New" w:hAnsi="TH Sarabun New" w:eastAsia="TH Sarabun New"/>
                <w:b w:val="0"/>
                <w:sz w:val="18"/>
              </w:rPr>
              <w:t>267.75</w:t>
            </w:r>
          </w:p>
        </w:tc>
        <w:tc>
          <w:tcPr>
            <w:tcW w:type="dxa" w:w="1070"/>
            <w:vAlign w:val="center"/>
          </w:tcPr>
          <w:p>
            <w:pPr>
              <w:spacing w:before="0" w:after="0" w:line="240" w:lineRule="auto"/>
              <w:jc w:val="center"/>
            </w:pPr>
            <w:r>
              <w:rPr>
                <w:rFonts w:ascii="TH Sarabun New" w:hAnsi="TH Sarabun New" w:eastAsia="TH Sarabun New"/>
                <w:b w:val="0"/>
                <w:sz w:val="18"/>
              </w:rPr>
              <w:t>250.05</w:t>
            </w:r>
          </w:p>
        </w:tc>
        <w:tc>
          <w:tcPr>
            <w:tcW w:type="dxa" w:w="1070"/>
            <w:vAlign w:val="center"/>
          </w:tcPr>
          <w:p>
            <w:pPr>
              <w:spacing w:before="0" w:after="0" w:line="240" w:lineRule="auto"/>
              <w:jc w:val="center"/>
            </w:pPr>
            <w:r>
              <w:rPr>
                <w:rFonts w:ascii="TH Sarabun New" w:hAnsi="TH Sarabun New" w:eastAsia="TH Sarabun New"/>
                <w:b w:val="0"/>
                <w:sz w:val="18"/>
              </w:rPr>
              <w:t>208.49</w:t>
            </w:r>
          </w:p>
        </w:tc>
        <w:tc>
          <w:tcPr>
            <w:tcW w:type="dxa" w:w="1070"/>
            <w:vAlign w:val="center"/>
          </w:tcPr>
          <w:p>
            <w:pPr>
              <w:spacing w:before="0" w:after="0" w:line="240" w:lineRule="auto"/>
              <w:jc w:val="center"/>
            </w:pPr>
            <w:r>
              <w:rPr>
                <w:rFonts w:ascii="TH Sarabun New" w:hAnsi="TH Sarabun New" w:eastAsia="TH Sarabun New"/>
                <w:b w:val="0"/>
                <w:sz w:val="18"/>
              </w:rPr>
              <w:t>167.98</w:t>
            </w:r>
          </w:p>
        </w:tc>
        <w:tc>
          <w:tcPr>
            <w:tcW w:type="dxa" w:w="1070"/>
            <w:vAlign w:val="center"/>
          </w:tcPr>
          <w:p>
            <w:pPr>
              <w:spacing w:before="0" w:after="0" w:line="240" w:lineRule="auto"/>
              <w:jc w:val="center"/>
            </w:pPr>
            <w:r>
              <w:rPr>
                <w:rFonts w:ascii="TH Sarabun New" w:hAnsi="TH Sarabun New" w:eastAsia="TH Sarabun New"/>
                <w:b w:val="0"/>
                <w:sz w:val="18"/>
              </w:rPr>
              <w:t>134.84</w:t>
            </w:r>
          </w:p>
        </w:tc>
        <w:tc>
          <w:tcPr>
            <w:tcW w:type="dxa" w:w="1070"/>
            <w:vAlign w:val="center"/>
          </w:tcPr>
          <w:p>
            <w:pPr>
              <w:spacing w:before="0" w:after="0" w:line="240" w:lineRule="auto"/>
              <w:jc w:val="center"/>
            </w:pPr>
            <w:r>
              <w:rPr>
                <w:rFonts w:ascii="TH Sarabun New" w:hAnsi="TH Sarabun New" w:eastAsia="TH Sarabun New"/>
                <w:b w:val="0"/>
                <w:sz w:val="18"/>
              </w:rPr>
              <w:t>110.32</w:t>
            </w:r>
          </w:p>
        </w:tc>
      </w:tr>
      <w:tr>
        <w:trPr/>
        <w:tc>
          <w:tcPr>
            <w:tcW w:type="dxa" w:w="2600"/>
            <w:vAlign w:val="center"/>
            <w:shd w:fill="FCE4D6"/>
          </w:tcPr>
          <w:p>
            <w:pPr>
              <w:spacing w:before="0" w:after="0" w:line="240" w:lineRule="auto"/>
              <w:jc w:val="left"/>
            </w:pPr>
            <w:r>
              <w:rPr>
                <w:rFonts w:ascii="TH Sarabun New" w:hAnsi="TH Sarabun New" w:eastAsia="TH Sarabun New"/>
                <w:b w:val="0"/>
                <w:sz w:val="18"/>
              </w:rPr>
              <w:t>ROE: กำไรสุทธิ/ส่วนของผู้ถือหุ้นเฉลี่ย (%)</w:t>
            </w:r>
          </w:p>
        </w:tc>
        <w:tc>
          <w:tcPr>
            <w:tcW w:type="dxa" w:w="1070"/>
            <w:vAlign w:val="center"/>
            <w:shd w:fill="FCE4D6"/>
          </w:tcPr>
          <w:p>
            <w:pPr>
              <w:spacing w:before="0" w:after="0" w:line="240" w:lineRule="auto"/>
              <w:jc w:val="center"/>
            </w:pPr>
            <w:r>
              <w:rPr>
                <w:rFonts w:ascii="TH Sarabun New" w:hAnsi="TH Sarabun New" w:eastAsia="TH Sarabun New"/>
                <w:b w:val="0"/>
                <w:sz w:val="18"/>
              </w:rPr>
              <w:t>(0.40)</w:t>
            </w:r>
          </w:p>
        </w:tc>
        <w:tc>
          <w:tcPr>
            <w:tcW w:type="dxa" w:w="1070"/>
            <w:vAlign w:val="center"/>
            <w:shd w:fill="FCE4D6"/>
          </w:tcPr>
          <w:p>
            <w:pPr>
              <w:spacing w:before="0" w:after="0" w:line="240" w:lineRule="auto"/>
              <w:jc w:val="center"/>
            </w:pPr>
            <w:r>
              <w:rPr>
                <w:rFonts w:ascii="TH Sarabun New" w:hAnsi="TH Sarabun New" w:eastAsia="TH Sarabun New"/>
                <w:b w:val="0"/>
                <w:sz w:val="18"/>
              </w:rPr>
              <w:t>2.48</w:t>
            </w:r>
          </w:p>
        </w:tc>
        <w:tc>
          <w:tcPr>
            <w:tcW w:type="dxa" w:w="1070"/>
            <w:vAlign w:val="center"/>
            <w:shd w:fill="FCE4D6"/>
          </w:tcPr>
          <w:p>
            <w:pPr>
              <w:spacing w:before="0" w:after="0" w:line="240" w:lineRule="auto"/>
              <w:jc w:val="center"/>
            </w:pPr>
            <w:r>
              <w:rPr>
                <w:rFonts w:ascii="TH Sarabun New" w:hAnsi="TH Sarabun New" w:eastAsia="TH Sarabun New"/>
                <w:b w:val="0"/>
                <w:sz w:val="18"/>
              </w:rPr>
              <w:t>3.51</w:t>
            </w:r>
          </w:p>
        </w:tc>
        <w:tc>
          <w:tcPr>
            <w:tcW w:type="dxa" w:w="1070"/>
            <w:vAlign w:val="center"/>
            <w:shd w:fill="FCE4D6"/>
          </w:tcPr>
          <w:p>
            <w:pPr>
              <w:spacing w:before="0" w:after="0" w:line="240" w:lineRule="auto"/>
              <w:jc w:val="center"/>
            </w:pPr>
            <w:r>
              <w:rPr>
                <w:rFonts w:ascii="TH Sarabun New" w:hAnsi="TH Sarabun New" w:eastAsia="TH Sarabun New"/>
                <w:b w:val="0"/>
                <w:sz w:val="18"/>
              </w:rPr>
              <w:t>4.32</w:t>
            </w:r>
          </w:p>
        </w:tc>
        <w:tc>
          <w:tcPr>
            <w:tcW w:type="dxa" w:w="1070"/>
            <w:vAlign w:val="center"/>
            <w:shd w:fill="FCE4D6"/>
          </w:tcPr>
          <w:p>
            <w:pPr>
              <w:spacing w:before="0" w:after="0" w:line="240" w:lineRule="auto"/>
              <w:jc w:val="center"/>
            </w:pPr>
            <w:r>
              <w:rPr>
                <w:rFonts w:ascii="TH Sarabun New" w:hAnsi="TH Sarabun New" w:eastAsia="TH Sarabun New"/>
                <w:b w:val="0"/>
                <w:sz w:val="18"/>
              </w:rPr>
              <w:t>5.14</w:t>
            </w:r>
          </w:p>
        </w:tc>
        <w:tc>
          <w:tcPr>
            <w:tcW w:type="dxa" w:w="1070"/>
            <w:vAlign w:val="center"/>
            <w:shd w:fill="FCE4D6"/>
          </w:tcPr>
          <w:p>
            <w:pPr>
              <w:spacing w:before="0" w:after="0" w:line="240" w:lineRule="auto"/>
              <w:jc w:val="center"/>
            </w:pPr>
            <w:r>
              <w:rPr>
                <w:rFonts w:ascii="TH Sarabun New" w:hAnsi="TH Sarabun New" w:eastAsia="TH Sarabun New"/>
                <w:b w:val="0"/>
                <w:sz w:val="18"/>
              </w:rPr>
              <w:t>6.01</w:t>
            </w:r>
          </w:p>
        </w:tc>
      </w:tr>
      <w:tr>
        <w:trPr/>
        <w:tc>
          <w:tcPr>
            <w:tcW w:type="dxa" w:w="2600"/>
            <w:vAlign w:val="center"/>
          </w:tcPr>
          <w:p>
            <w:pPr>
              <w:spacing w:before="0" w:after="0" w:line="240" w:lineRule="auto"/>
              <w:jc w:val="left"/>
            </w:pPr>
            <w:r>
              <w:rPr>
                <w:rFonts w:ascii="TH Sarabun New" w:hAnsi="TH Sarabun New" w:eastAsia="TH Sarabun New"/>
                <w:b w:val="0"/>
                <w:sz w:val="18"/>
              </w:rPr>
              <w:t>ส่วนต่างกำไรสุทธิเทียบกรณีฐาน</w:t>
            </w:r>
          </w:p>
        </w:tc>
        <w:tc>
          <w:tcPr>
            <w:tcW w:type="dxa" w:w="1070"/>
            <w:vAlign w:val="center"/>
          </w:tcPr>
          <w:p>
            <w:pPr>
              <w:spacing w:before="0" w:after="0" w:line="240" w:lineRule="auto"/>
              <w:jc w:val="center"/>
            </w:pPr>
            <w:r>
              <w:rPr>
                <w:rFonts w:ascii="TH Sarabun New" w:hAnsi="TH Sarabun New" w:eastAsia="TH Sarabun New"/>
                <w:b w:val="0"/>
                <w:sz w:val="18"/>
              </w:rPr>
              <w:t>–</w:t>
            </w:r>
          </w:p>
        </w:tc>
        <w:tc>
          <w:tcPr>
            <w:tcW w:type="dxa" w:w="1070"/>
            <w:vAlign w:val="center"/>
          </w:tcPr>
          <w:p>
            <w:pPr>
              <w:spacing w:before="0" w:after="0" w:line="240" w:lineRule="auto"/>
              <w:jc w:val="center"/>
            </w:pPr>
            <w:r>
              <w:rPr>
                <w:rFonts w:ascii="TH Sarabun New" w:hAnsi="TH Sarabun New" w:eastAsia="TH Sarabun New"/>
                <w:b w:val="0"/>
                <w:sz w:val="18"/>
              </w:rPr>
              <w:t>8.54</w:t>
            </w:r>
          </w:p>
        </w:tc>
        <w:tc>
          <w:tcPr>
            <w:tcW w:type="dxa" w:w="1070"/>
            <w:vAlign w:val="center"/>
          </w:tcPr>
          <w:p>
            <w:pPr>
              <w:spacing w:before="0" w:after="0" w:line="240" w:lineRule="auto"/>
              <w:jc w:val="center"/>
            </w:pPr>
            <w:r>
              <w:rPr>
                <w:rFonts w:ascii="TH Sarabun New" w:hAnsi="TH Sarabun New" w:eastAsia="TH Sarabun New"/>
                <w:b w:val="0"/>
                <w:sz w:val="18"/>
              </w:rPr>
              <w:t>25.25</w:t>
            </w:r>
          </w:p>
        </w:tc>
        <w:tc>
          <w:tcPr>
            <w:tcW w:type="dxa" w:w="1070"/>
            <w:vAlign w:val="center"/>
          </w:tcPr>
          <w:p>
            <w:pPr>
              <w:spacing w:before="0" w:after="0" w:line="240" w:lineRule="auto"/>
              <w:jc w:val="center"/>
            </w:pPr>
            <w:r>
              <w:rPr>
                <w:rFonts w:ascii="TH Sarabun New" w:hAnsi="TH Sarabun New" w:eastAsia="TH Sarabun New"/>
                <w:b w:val="0"/>
                <w:sz w:val="18"/>
              </w:rPr>
              <w:t>39.22</w:t>
            </w:r>
          </w:p>
        </w:tc>
        <w:tc>
          <w:tcPr>
            <w:tcW w:type="dxa" w:w="1070"/>
            <w:vAlign w:val="center"/>
          </w:tcPr>
          <w:p>
            <w:pPr>
              <w:spacing w:before="0" w:after="0" w:line="240" w:lineRule="auto"/>
              <w:jc w:val="center"/>
            </w:pPr>
            <w:r>
              <w:rPr>
                <w:rFonts w:ascii="TH Sarabun New" w:hAnsi="TH Sarabun New" w:eastAsia="TH Sarabun New"/>
                <w:b w:val="0"/>
                <w:sz w:val="18"/>
              </w:rPr>
              <w:t>53.94</w:t>
            </w:r>
          </w:p>
        </w:tc>
        <w:tc>
          <w:tcPr>
            <w:tcW w:type="dxa" w:w="1070"/>
            <w:vAlign w:val="center"/>
          </w:tcPr>
          <w:p>
            <w:pPr>
              <w:spacing w:before="0" w:after="0" w:line="240" w:lineRule="auto"/>
              <w:jc w:val="center"/>
            </w:pPr>
            <w:r>
              <w:rPr>
                <w:rFonts w:ascii="TH Sarabun New" w:hAnsi="TH Sarabun New" w:eastAsia="TH Sarabun New"/>
                <w:b w:val="0"/>
                <w:sz w:val="18"/>
              </w:rPr>
              <w:t>70.41</w:t>
            </w:r>
          </w:p>
        </w:tc>
      </w:tr>
    </w:tbl>
    <w:p>
      <w:r>
        <w:rPr>
          <w:rFonts w:ascii="TH Sarabun New" w:hAnsi="TH Sarabun New" w:eastAsia="TH Sarabun New"/>
          <w:i/>
          <w:color w:val="666666"/>
          <w:sz w:val="20"/>
        </w:rPr>
        <w:t>ที่มา: ปีฐาน [1][2][3]; ปี 2570–2574 เป็น Strategic Case assumptions; ROE ใช้ average equity จากตาราง 24</w:t>
      </w:r>
    </w:p>
    <w:p>
      <w:pPr>
        <w:spacing w:after="110" w:line="228"/>
        <w:jc w:val="left"/>
      </w:pPr>
      <w:r>
        <w:rPr>
          <w:rFonts w:ascii="TH Sarabun New" w:cs="TH Sarabun New" w:eastAsia="TH Sarabun New" w:hAnsi="TH Sarabun New"/>
          <w:b w:val="false"/>
          <w:bCs w:val="false"/>
          <w:i w:val="false"/>
          <w:iCs w:val="false"/>
          <w:sz w:val="26"/>
          <w:szCs w:val="26"/>
        </w:rPr>
        <w:t xml:space="preserve">*ไม่รวมกำไรหรือขาดทุนจากการตีมูลค่าเงินลงทุน  ตัวเลขเป็นประมาณการของผู้จัดทำภายใต้สมมติฐานในตารางที่ 23</w:t>
      </w:r>
    </w:p>
    <w:p>
      <w:pPr>
        <w:spacing w:after="60" w:before="60" w:line="240" w:lineRule="auto"/>
        <w:jc w:val="center"/>
      </w:pPr>
      <w:r>
        <w:drawing>
          <wp:inline distT="0" distB="0" distL="0" distR="0">
            <wp:extent cx="4762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000250"/>
                    </a:xfrm>
                    <a:prstGeom prst="rect">
                      <a:avLst/>
                    </a:prstGeom>
                  </pic:spPr>
                </pic:pic>
              </a:graphicData>
            </a:graphic>
          </wp:inline>
        </w:drawing>
      </w:r>
    </w:p>
    <w:p>
      <w:pPr>
        <w:spacing w:after="110" w:line="228"/>
        <w:jc w:val="left"/>
      </w:pPr>
      <w:r>
        <w:rPr>
          <w:rFonts w:ascii="TH Sarabun New" w:cs="TH Sarabun New" w:eastAsia="TH Sarabun New" w:hAnsi="TH Sarabun New"/>
          <w:b w:val="false"/>
          <w:bCs w:val="false"/>
          <w:i w:val="false"/>
          <w:iCs w:val="false"/>
          <w:sz w:val="26"/>
          <w:szCs w:val="26"/>
        </w:rPr>
        <w:t xml:space="preserve">รูปที่ 4  เปรียบเทียบอัตราผลจากธุรกิจหลัก กรณีฐานและกรณีกลยุทธ์ ปี 2568–2574  หมายเหตุ: ปี 2569 เป็นปีเปลี่ยนผ่านก่อนเริ่มแผน ค่าประมาณ -5.05% คำนวณจากผลจริงงวดหกเดือนแรก (กำไรขั้นต้น 59.35 หักค่าใช้จ่ายขายและบริหาร 76.21 เท่ากับ -16.86 ล้านบาท คิดเป็น -5.91% ของยอดขาย) แล้วประมาณครึ่งปีหลังตามแนวโน้มเดียวกัน</w:t>
      </w:r>
    </w:p>
    <w:p>
      <w:pPr>
        <w:pStyle w:val="Heading2"/>
        <w:keepNext/>
        <w:spacing w:after="50" w:before="130"/>
        <w:jc w:val="left"/>
      </w:pPr>
      <w:r>
        <w:rPr>
          <w:rFonts w:ascii="TH Sarabun New" w:hAnsi="TH Sarabun New" w:eastAsia="TH Sarabun New"/>
          <w:b/>
          <w:color w:val="2F5597"/>
          <w:sz w:val="32"/>
        </w:rPr>
        <w:t>6.3 สมมติฐานของประมาณการ</w:t>
      </w:r>
    </w:p>
    <w:p>
      <w:r>
        <w:rPr>
          <w:rFonts w:ascii="TH Sarabun New" w:hAnsi="TH Sarabun New" w:eastAsia="TH Sarabun New"/>
          <w:b/>
          <w:sz w:val="28"/>
        </w:rPr>
        <w:t>ตารางที่ 23 ตารางสมมติฐานฉากทัศน์เป้าหมายเชิงบริหาร (Management Target Scenario – not company guidance)</w:t>
      </w:r>
    </w:p>
    <w:tbl>
      <w:tblPr>
        <w:tblW w:type="dxa" w:w="9468"/>
        <w:jc w:val="center"/>
        <w:tblBorders>
          <w:top w:val="single" w:color="B7B7B7" w:sz="4"/>
          <w:left w:val="single" w:color="B7B7B7" w:sz="4"/>
          <w:bottom w:val="single" w:color="B7B7B7" w:sz="4"/>
          <w:right w:val="single" w:color="B7B7B7" w:sz="4"/>
          <w:insideH w:val="single" w:color="B7B7B7" w:sz="4"/>
          <w:insideV w:val="single" w:color="B7B7B7" w:sz="4"/>
        </w:tblBorders>
        <w:tblLayout w:type="fixed"/>
      </w:tblPr>
      <w:tblGrid>
        <w:gridCol w:w="1700"/>
        <w:gridCol w:w="1900"/>
        <w:gridCol w:w="4200"/>
        <w:gridCol w:w="1220"/>
      </w:tblGrid>
      <w:tr>
        <w:trPr>
          <w:tblHeader w:val="true"/>
        </w:trPr>
        <w:tc>
          <w:tcPr>
            <w:tcW w:type="dxa" w:w="17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สมมติฐาน</w:t>
            </w:r>
          </w:p>
        </w:tc>
        <w:tc>
          <w:tcPr>
            <w:tcW w:type="dxa" w:w="19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ค่าที่ใช้ 2570–2574</w:t>
            </w:r>
          </w:p>
        </w:tc>
        <w:tc>
          <w:tcPr>
            <w:tcW w:type="dxa" w:w="42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ฐาน/สูตรและข้อจำกัด</w:t>
            </w:r>
          </w:p>
        </w:tc>
        <w:tc>
          <w:tcPr>
            <w:tcW w:type="dxa" w:w="122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เชื่อมโยง</w:t>
            </w:r>
          </w:p>
        </w:tc>
      </w:tr>
      <w:tr>
        <w:trPr/>
        <w:tc>
          <w:tcPr>
            <w:tcW w:type="dxa" w:w="1700"/>
            <w:vAlign w:val="center"/>
          </w:tcPr>
          <w:p>
            <w:pPr>
              <w:spacing w:before="0" w:after="0" w:line="240" w:lineRule="auto"/>
              <w:jc w:val="left"/>
            </w:pPr>
            <w:r>
              <w:rPr>
                <w:rFonts w:ascii="TH Sarabun New" w:hAnsi="TH Sarabun New" w:eastAsia="TH Sarabun New"/>
                <w:b w:val="0"/>
                <w:sz w:val="18"/>
              </w:rPr>
              <w:t>รายได้</w:t>
            </w:r>
          </w:p>
        </w:tc>
        <w:tc>
          <w:tcPr>
            <w:tcW w:type="dxa" w:w="1900"/>
            <w:vAlign w:val="center"/>
          </w:tcPr>
          <w:p>
            <w:pPr>
              <w:spacing w:before="0" w:after="0" w:line="240" w:lineRule="auto"/>
              <w:jc w:val="center"/>
            </w:pPr>
            <w:r>
              <w:rPr>
                <w:rFonts w:ascii="TH Sarabun New" w:hAnsi="TH Sarabun New" w:eastAsia="TH Sarabun New"/>
                <w:b w:val="0"/>
                <w:sz w:val="18"/>
              </w:rPr>
              <w:t>600 / 645 / 700 / 755 / 810</w:t>
            </w:r>
          </w:p>
        </w:tc>
        <w:tc>
          <w:tcPr>
            <w:tcW w:type="dxa" w:w="4200"/>
            <w:vAlign w:val="center"/>
          </w:tcPr>
          <w:p>
            <w:pPr>
              <w:spacing w:before="0" w:after="0" w:line="240" w:lineRule="auto"/>
              <w:jc w:val="center"/>
            </w:pPr>
            <w:r>
              <w:rPr>
                <w:rFonts w:ascii="TH Sarabun New" w:hAnsi="TH Sarabun New" w:eastAsia="TH Sarabun New"/>
                <w:b w:val="0"/>
                <w:sz w:val="18"/>
              </w:rPr>
              <w:t>สมมติฐานเชิงวางแผนจาก mix; CAGR 2568–2574 = 4.98% อยู่ในช่วงเดียวกับกรอบเดิมของบริษัท แต่ไม่ใช่ company guidance</w:t>
            </w:r>
          </w:p>
        </w:tc>
        <w:tc>
          <w:tcPr>
            <w:tcW w:type="dxa" w:w="1220"/>
            <w:vAlign w:val="center"/>
          </w:tcPr>
          <w:p>
            <w:pPr>
              <w:spacing w:before="0" w:after="0" w:line="240" w:lineRule="auto"/>
              <w:jc w:val="center"/>
            </w:pPr>
            <w:r>
              <w:rPr>
                <w:rFonts w:ascii="TH Sarabun New" w:hAnsi="TH Sarabun New" w:eastAsia="TH Sarabun New"/>
                <w:b w:val="0"/>
                <w:sz w:val="18"/>
              </w:rPr>
              <w:t>P1–P5, P9–P10</w:t>
            </w:r>
          </w:p>
        </w:tc>
      </w:tr>
      <w:tr>
        <w:trPr/>
        <w:tc>
          <w:tcPr>
            <w:tcW w:type="dxa" w:w="1700"/>
            <w:vAlign w:val="center"/>
          </w:tcPr>
          <w:p>
            <w:pPr>
              <w:spacing w:before="0" w:after="0" w:line="240" w:lineRule="auto"/>
              <w:jc w:val="left"/>
            </w:pPr>
            <w:r>
              <w:rPr>
                <w:rFonts w:ascii="TH Sarabun New" w:hAnsi="TH Sarabun New" w:eastAsia="TH Sarabun New"/>
                <w:b w:val="0"/>
                <w:sz w:val="18"/>
              </w:rPr>
              <w:t>COGS</w:t>
            </w:r>
          </w:p>
        </w:tc>
        <w:tc>
          <w:tcPr>
            <w:tcW w:type="dxa" w:w="1900"/>
            <w:vAlign w:val="center"/>
          </w:tcPr>
          <w:p>
            <w:pPr>
              <w:spacing w:before="0" w:after="0" w:line="240" w:lineRule="auto"/>
              <w:jc w:val="center"/>
            </w:pPr>
            <w:r>
              <w:rPr>
                <w:rFonts w:ascii="TH Sarabun New" w:hAnsi="TH Sarabun New" w:eastAsia="TH Sarabun New"/>
                <w:b w:val="0"/>
                <w:sz w:val="18"/>
              </w:rPr>
              <w:t>465.00 / 490.20 / 521.50 / 554.93 / 587.25</w:t>
            </w:r>
          </w:p>
        </w:tc>
        <w:tc>
          <w:tcPr>
            <w:tcW w:type="dxa" w:w="4200"/>
            <w:vAlign w:val="center"/>
          </w:tcPr>
          <w:p>
            <w:pPr>
              <w:spacing w:before="0" w:after="0" w:line="240" w:lineRule="auto"/>
              <w:jc w:val="center"/>
            </w:pPr>
            <w:r>
              <w:rPr>
                <w:rFonts w:ascii="TH Sarabun New" w:hAnsi="TH Sarabun New" w:eastAsia="TH Sarabun New"/>
                <w:b w:val="0"/>
                <w:sz w:val="18"/>
              </w:rPr>
              <w:t>Revenue × (1 − Gross Margin); Gross Profit = Revenue × Gross Margin</w:t>
            </w:r>
          </w:p>
        </w:tc>
        <w:tc>
          <w:tcPr>
            <w:tcW w:type="dxa" w:w="1220"/>
            <w:vAlign w:val="center"/>
          </w:tcPr>
          <w:p>
            <w:pPr>
              <w:spacing w:before="0" w:after="0" w:line="240" w:lineRule="auto"/>
              <w:jc w:val="center"/>
            </w:pPr>
            <w:r>
              <w:rPr>
                <w:rFonts w:ascii="TH Sarabun New" w:hAnsi="TH Sarabun New" w:eastAsia="TH Sarabun New"/>
                <w:b w:val="0"/>
                <w:sz w:val="18"/>
              </w:rPr>
              <w:t>P2, P4, P8</w:t>
            </w:r>
          </w:p>
        </w:tc>
      </w:tr>
      <w:tr>
        <w:trPr/>
        <w:tc>
          <w:tcPr>
            <w:tcW w:type="dxa" w:w="1700"/>
            <w:vAlign w:val="center"/>
          </w:tcPr>
          <w:p>
            <w:pPr>
              <w:spacing w:before="0" w:after="0" w:line="240" w:lineRule="auto"/>
              <w:jc w:val="left"/>
            </w:pPr>
            <w:r>
              <w:rPr>
                <w:rFonts w:ascii="TH Sarabun New" w:hAnsi="TH Sarabun New" w:eastAsia="TH Sarabun New"/>
                <w:b w:val="0"/>
                <w:sz w:val="18"/>
              </w:rPr>
              <w:t>AR days</w:t>
            </w:r>
          </w:p>
        </w:tc>
        <w:tc>
          <w:tcPr>
            <w:tcW w:type="dxa" w:w="1900"/>
            <w:vAlign w:val="center"/>
          </w:tcPr>
          <w:p>
            <w:pPr>
              <w:spacing w:before="0" w:after="0" w:line="240" w:lineRule="auto"/>
              <w:jc w:val="center"/>
            </w:pPr>
            <w:r>
              <w:rPr>
                <w:rFonts w:ascii="TH Sarabun New" w:hAnsi="TH Sarabun New" w:eastAsia="TH Sarabun New"/>
                <w:b w:val="0"/>
                <w:sz w:val="18"/>
              </w:rPr>
              <w:t>58 / 56 / 54 / 52 / 50</w:t>
            </w:r>
          </w:p>
        </w:tc>
        <w:tc>
          <w:tcPr>
            <w:tcW w:type="dxa" w:w="4200"/>
            <w:vAlign w:val="center"/>
          </w:tcPr>
          <w:p>
            <w:pPr>
              <w:spacing w:before="0" w:after="0" w:line="240" w:lineRule="auto"/>
              <w:jc w:val="center"/>
            </w:pPr>
            <w:r>
              <w:rPr>
                <w:rFonts w:ascii="TH Sarabun New" w:hAnsi="TH Sarabun New" w:eastAsia="TH Sarabun New"/>
                <w:b w:val="0"/>
                <w:sz w:val="18"/>
              </w:rPr>
              <w:t>Receivables = Revenue × AR days/365; ใช้ trade and other receivables เป็น proxy เพราะไม่พบการแยกอื่นเพียงพอ</w:t>
            </w:r>
          </w:p>
        </w:tc>
        <w:tc>
          <w:tcPr>
            <w:tcW w:type="dxa" w:w="1220"/>
            <w:vAlign w:val="center"/>
          </w:tcPr>
          <w:p>
            <w:pPr>
              <w:spacing w:before="0" w:after="0" w:line="240" w:lineRule="auto"/>
              <w:jc w:val="center"/>
            </w:pPr>
            <w:r>
              <w:rPr>
                <w:rFonts w:ascii="TH Sarabun New" w:hAnsi="TH Sarabun New" w:eastAsia="TH Sarabun New"/>
                <w:b w:val="0"/>
                <w:sz w:val="18"/>
              </w:rPr>
              <w:t>P3, P6</w:t>
            </w:r>
          </w:p>
        </w:tc>
      </w:tr>
      <w:tr>
        <w:trPr/>
        <w:tc>
          <w:tcPr>
            <w:tcW w:type="dxa" w:w="1700"/>
            <w:vAlign w:val="center"/>
          </w:tcPr>
          <w:p>
            <w:pPr>
              <w:spacing w:before="0" w:after="0" w:line="240" w:lineRule="auto"/>
              <w:jc w:val="left"/>
            </w:pPr>
            <w:r>
              <w:rPr>
                <w:rFonts w:ascii="TH Sarabun New" w:hAnsi="TH Sarabun New" w:eastAsia="TH Sarabun New"/>
                <w:b w:val="0"/>
                <w:sz w:val="18"/>
              </w:rPr>
              <w:t>Inventory / DIO</w:t>
            </w:r>
          </w:p>
        </w:tc>
        <w:tc>
          <w:tcPr>
            <w:tcW w:type="dxa" w:w="1900"/>
            <w:vAlign w:val="center"/>
          </w:tcPr>
          <w:p>
            <w:pPr>
              <w:spacing w:before="0" w:after="0" w:line="240" w:lineRule="auto"/>
              <w:jc w:val="center"/>
            </w:pPr>
            <w:r>
              <w:rPr>
                <w:rFonts w:ascii="TH Sarabun New" w:hAnsi="TH Sarabun New" w:eastAsia="TH Sarabun New"/>
                <w:b w:val="0"/>
                <w:sz w:val="18"/>
              </w:rPr>
              <w:t>Ending inventory 300 / 260 / 220 / 190 / 165; DIO 250.05 / 208.49 / 167.98 / 134.84 / 110.32</w:t>
            </w:r>
          </w:p>
        </w:tc>
        <w:tc>
          <w:tcPr>
            <w:tcW w:type="dxa" w:w="4200"/>
            <w:vAlign w:val="center"/>
          </w:tcPr>
          <w:p>
            <w:pPr>
              <w:spacing w:before="0" w:after="0" w:line="240" w:lineRule="auto"/>
              <w:jc w:val="center"/>
            </w:pPr>
            <w:r>
              <w:rPr>
                <w:rFonts w:ascii="TH Sarabun New" w:hAnsi="TH Sarabun New" w:eastAsia="TH Sarabun New"/>
                <w:b w:val="0"/>
                <w:sz w:val="18"/>
              </w:rPr>
              <w:t>DIO = Average Inventory/COGS×365 โดย Average = (Beginning+Ending)/2; ไม่ scaling ending inventory ด้วยยอดขาย</w:t>
            </w:r>
          </w:p>
        </w:tc>
        <w:tc>
          <w:tcPr>
            <w:tcW w:type="dxa" w:w="1220"/>
            <w:vAlign w:val="center"/>
          </w:tcPr>
          <w:p>
            <w:pPr>
              <w:spacing w:before="0" w:after="0" w:line="240" w:lineRule="auto"/>
              <w:jc w:val="center"/>
            </w:pPr>
            <w:r>
              <w:rPr>
                <w:rFonts w:ascii="TH Sarabun New" w:hAnsi="TH Sarabun New" w:eastAsia="TH Sarabun New"/>
                <w:b w:val="0"/>
                <w:sz w:val="18"/>
              </w:rPr>
              <w:t>P2, P6, P9</w:t>
            </w:r>
          </w:p>
        </w:tc>
      </w:tr>
      <w:tr>
        <w:trPr/>
        <w:tc>
          <w:tcPr>
            <w:tcW w:type="dxa" w:w="1700"/>
            <w:vAlign w:val="center"/>
          </w:tcPr>
          <w:p>
            <w:pPr>
              <w:spacing w:before="0" w:after="0" w:line="240" w:lineRule="auto"/>
              <w:jc w:val="left"/>
            </w:pPr>
            <w:r>
              <w:rPr>
                <w:rFonts w:ascii="TH Sarabun New" w:hAnsi="TH Sarabun New" w:eastAsia="TH Sarabun New"/>
                <w:b w:val="0"/>
                <w:sz w:val="18"/>
              </w:rPr>
              <w:t>AP days</w:t>
            </w:r>
          </w:p>
        </w:tc>
        <w:tc>
          <w:tcPr>
            <w:tcW w:type="dxa" w:w="1900"/>
            <w:vAlign w:val="center"/>
          </w:tcPr>
          <w:p>
            <w:pPr>
              <w:spacing w:before="0" w:after="0" w:line="240" w:lineRule="auto"/>
              <w:jc w:val="center"/>
            </w:pPr>
            <w:r>
              <w:rPr>
                <w:rFonts w:ascii="TH Sarabun New" w:hAnsi="TH Sarabun New" w:eastAsia="TH Sarabun New"/>
                <w:b w:val="0"/>
                <w:sz w:val="18"/>
              </w:rPr>
              <w:t>38 / 39 / 40 / 40 / 40</w:t>
            </w:r>
          </w:p>
        </w:tc>
        <w:tc>
          <w:tcPr>
            <w:tcW w:type="dxa" w:w="4200"/>
            <w:vAlign w:val="center"/>
          </w:tcPr>
          <w:p>
            <w:pPr>
              <w:spacing w:before="0" w:after="0" w:line="240" w:lineRule="auto"/>
              <w:jc w:val="center"/>
            </w:pPr>
            <w:r>
              <w:rPr>
                <w:rFonts w:ascii="TH Sarabun New" w:hAnsi="TH Sarabun New" w:eastAsia="TH Sarabun New"/>
                <w:b w:val="0"/>
                <w:sz w:val="18"/>
              </w:rPr>
              <w:t>Trade payables = COGS × AP days/365; เป็น management proxy</w:t>
            </w:r>
          </w:p>
        </w:tc>
        <w:tc>
          <w:tcPr>
            <w:tcW w:type="dxa" w:w="1220"/>
            <w:vAlign w:val="center"/>
          </w:tcPr>
          <w:p>
            <w:pPr>
              <w:spacing w:before="0" w:after="0" w:line="240" w:lineRule="auto"/>
              <w:jc w:val="center"/>
            </w:pPr>
            <w:r>
              <w:rPr>
                <w:rFonts w:ascii="TH Sarabun New" w:hAnsi="TH Sarabun New" w:eastAsia="TH Sarabun New"/>
                <w:b w:val="0"/>
                <w:sz w:val="18"/>
              </w:rPr>
              <w:t>Supply chain</w:t>
            </w:r>
          </w:p>
        </w:tc>
      </w:tr>
      <w:tr>
        <w:trPr/>
        <w:tc>
          <w:tcPr>
            <w:tcW w:type="dxa" w:w="1700"/>
            <w:vAlign w:val="center"/>
          </w:tcPr>
          <w:p>
            <w:pPr>
              <w:spacing w:before="0" w:after="0" w:line="240" w:lineRule="auto"/>
              <w:jc w:val="left"/>
            </w:pPr>
            <w:r>
              <w:rPr>
                <w:rFonts w:ascii="TH Sarabun New" w:hAnsi="TH Sarabun New" w:eastAsia="TH Sarabun New"/>
                <w:b w:val="0"/>
                <w:sz w:val="18"/>
              </w:rPr>
              <w:t>Capex</w:t>
            </w:r>
          </w:p>
        </w:tc>
        <w:tc>
          <w:tcPr>
            <w:tcW w:type="dxa" w:w="1900"/>
            <w:vAlign w:val="center"/>
          </w:tcPr>
          <w:p>
            <w:pPr>
              <w:spacing w:before="0" w:after="0" w:line="240" w:lineRule="auto"/>
              <w:jc w:val="center"/>
            </w:pPr>
            <w:r>
              <w:rPr>
                <w:rFonts w:ascii="TH Sarabun New" w:hAnsi="TH Sarabun New" w:eastAsia="TH Sarabun New"/>
                <w:b w:val="0"/>
                <w:sz w:val="18"/>
              </w:rPr>
              <w:t>16 / 16 / 36 / 41 / 31</w:t>
            </w:r>
          </w:p>
        </w:tc>
        <w:tc>
          <w:tcPr>
            <w:tcW w:type="dxa" w:w="4200"/>
            <w:vAlign w:val="center"/>
          </w:tcPr>
          <w:p>
            <w:pPr>
              <w:spacing w:before="0" w:after="0" w:line="240" w:lineRule="auto"/>
              <w:jc w:val="center"/>
            </w:pPr>
            <w:r>
              <w:rPr>
                <w:rFonts w:ascii="TH Sarabun New" w:hAnsi="TH Sarabun New" w:eastAsia="TH Sarabun New"/>
                <w:b w:val="0"/>
                <w:sz w:val="18"/>
              </w:rPr>
              <w:t>maintenance ใกล้ฐานเครื่องจักรปี 2568; selective P8 ส่วนเพิ่มเฉพาะ 2572–2574 หลัง Gate 3</w:t>
            </w:r>
          </w:p>
        </w:tc>
        <w:tc>
          <w:tcPr>
            <w:tcW w:type="dxa" w:w="1220"/>
            <w:vAlign w:val="center"/>
          </w:tcPr>
          <w:p>
            <w:pPr>
              <w:spacing w:before="0" w:after="0" w:line="240" w:lineRule="auto"/>
              <w:jc w:val="center"/>
            </w:pPr>
            <w:r>
              <w:rPr>
                <w:rFonts w:ascii="TH Sarabun New" w:hAnsi="TH Sarabun New" w:eastAsia="TH Sarabun New"/>
                <w:b w:val="0"/>
                <w:sz w:val="18"/>
              </w:rPr>
              <w:t>P8</w:t>
            </w:r>
          </w:p>
        </w:tc>
      </w:tr>
      <w:tr>
        <w:trPr/>
        <w:tc>
          <w:tcPr>
            <w:tcW w:type="dxa" w:w="1700"/>
            <w:vAlign w:val="center"/>
          </w:tcPr>
          <w:p>
            <w:pPr>
              <w:spacing w:before="0" w:after="0" w:line="240" w:lineRule="auto"/>
              <w:jc w:val="left"/>
            </w:pPr>
            <w:r>
              <w:rPr>
                <w:rFonts w:ascii="TH Sarabun New" w:hAnsi="TH Sarabun New" w:eastAsia="TH Sarabun New"/>
                <w:b w:val="0"/>
                <w:sz w:val="18"/>
              </w:rPr>
              <w:t>Depreciation</w:t>
            </w:r>
          </w:p>
        </w:tc>
        <w:tc>
          <w:tcPr>
            <w:tcW w:type="dxa" w:w="1900"/>
            <w:vAlign w:val="center"/>
          </w:tcPr>
          <w:p>
            <w:pPr>
              <w:spacing w:before="0" w:after="0" w:line="240" w:lineRule="auto"/>
              <w:jc w:val="center"/>
            </w:pPr>
            <w:r>
              <w:rPr>
                <w:rFonts w:ascii="TH Sarabun New" w:hAnsi="TH Sarabun New" w:eastAsia="TH Sarabun New"/>
                <w:b w:val="0"/>
                <w:sz w:val="18"/>
              </w:rPr>
              <w:t>12 / 13 / 15 / 18 / 20</w:t>
            </w:r>
          </w:p>
        </w:tc>
        <w:tc>
          <w:tcPr>
            <w:tcW w:type="dxa" w:w="4200"/>
            <w:vAlign w:val="center"/>
          </w:tcPr>
          <w:p>
            <w:pPr>
              <w:spacing w:before="0" w:after="0" w:line="240" w:lineRule="auto"/>
              <w:jc w:val="center"/>
            </w:pPr>
            <w:r>
              <w:rPr>
                <w:rFonts w:ascii="TH Sarabun New" w:hAnsi="TH Sarabun New" w:eastAsia="TH Sarabun New"/>
                <w:b w:val="0"/>
                <w:sz w:val="18"/>
              </w:rPr>
              <w:t>สมมติฐานเชิงวางแผนสัมพันธ์กับ opening PPE และ capex; ต้องแทนด้วย asset register จริงก่อนอนุมัติ</w:t>
            </w:r>
          </w:p>
        </w:tc>
        <w:tc>
          <w:tcPr>
            <w:tcW w:type="dxa" w:w="1220"/>
            <w:vAlign w:val="center"/>
          </w:tcPr>
          <w:p>
            <w:pPr>
              <w:spacing w:before="0" w:after="0" w:line="240" w:lineRule="auto"/>
              <w:jc w:val="center"/>
            </w:pPr>
            <w:r>
              <w:rPr>
                <w:rFonts w:ascii="TH Sarabun New" w:hAnsi="TH Sarabun New" w:eastAsia="TH Sarabun New"/>
                <w:b w:val="0"/>
                <w:sz w:val="18"/>
              </w:rPr>
              <w:t>P8</w:t>
            </w:r>
          </w:p>
        </w:tc>
      </w:tr>
      <w:tr>
        <w:trPr/>
        <w:tc>
          <w:tcPr>
            <w:tcW w:type="dxa" w:w="1700"/>
            <w:vAlign w:val="center"/>
          </w:tcPr>
          <w:p>
            <w:pPr>
              <w:spacing w:before="0" w:after="0" w:line="240" w:lineRule="auto"/>
              <w:jc w:val="left"/>
            </w:pPr>
            <w:r>
              <w:rPr>
                <w:rFonts w:ascii="TH Sarabun New" w:hAnsi="TH Sarabun New" w:eastAsia="TH Sarabun New"/>
                <w:b w:val="0"/>
                <w:sz w:val="18"/>
              </w:rPr>
              <w:t>Financial assets</w:t>
            </w:r>
          </w:p>
        </w:tc>
        <w:tc>
          <w:tcPr>
            <w:tcW w:type="dxa" w:w="1900"/>
            <w:vAlign w:val="center"/>
          </w:tcPr>
          <w:p>
            <w:pPr>
              <w:spacing w:before="0" w:after="0" w:line="240" w:lineRule="auto"/>
              <w:jc w:val="center"/>
            </w:pPr>
            <w:r>
              <w:rPr>
                <w:rFonts w:ascii="TH Sarabun New" w:hAnsi="TH Sarabun New" w:eastAsia="TH Sarabun New"/>
                <w:b w:val="0"/>
                <w:sz w:val="18"/>
              </w:rPr>
              <w:t>ยอดปลายงวดเป็น residual liquidity; current/non-current = 27.5%/72.5%</w:t>
            </w:r>
          </w:p>
        </w:tc>
        <w:tc>
          <w:tcPr>
            <w:tcW w:type="dxa" w:w="4200"/>
            <w:vAlign w:val="center"/>
          </w:tcPr>
          <w:p>
            <w:pPr>
              <w:spacing w:before="0" w:after="0" w:line="240" w:lineRule="auto"/>
              <w:jc w:val="center"/>
            </w:pPr>
            <w:r>
              <w:rPr>
                <w:rFonts w:ascii="TH Sarabun New" w:hAnsi="TH Sarabun New" w:eastAsia="TH Sarabun New"/>
                <w:b w:val="0"/>
                <w:sz w:val="18"/>
              </w:rPr>
              <w:t>อาจใช้กระแสเงินสด รายได้ลงทุน และ selective maturity/reallocation โดยไม่บังคับขายหลักทรัพย์; residual เพิ่มได้เมื่อกำไร/ลด inventory สูงกว่าการใช้เงิน</w:t>
            </w:r>
          </w:p>
        </w:tc>
        <w:tc>
          <w:tcPr>
            <w:tcW w:type="dxa" w:w="1220"/>
            <w:vAlign w:val="center"/>
          </w:tcPr>
          <w:p>
            <w:pPr>
              <w:spacing w:before="0" w:after="0" w:line="240" w:lineRule="auto"/>
              <w:jc w:val="center"/>
            </w:pPr>
            <w:r>
              <w:rPr>
                <w:rFonts w:ascii="TH Sarabun New" w:hAnsi="TH Sarabun New" w:eastAsia="TH Sarabun New"/>
                <w:b w:val="0"/>
                <w:sz w:val="18"/>
              </w:rPr>
              <w:t>Finance</w:t>
            </w:r>
          </w:p>
        </w:tc>
      </w:tr>
      <w:tr>
        <w:trPr/>
        <w:tc>
          <w:tcPr>
            <w:tcW w:type="dxa" w:w="1700"/>
            <w:vAlign w:val="center"/>
          </w:tcPr>
          <w:p>
            <w:pPr>
              <w:spacing w:before="0" w:after="0" w:line="240" w:lineRule="auto"/>
              <w:jc w:val="left"/>
            </w:pPr>
            <w:r>
              <w:rPr>
                <w:rFonts w:ascii="TH Sarabun New" w:hAnsi="TH Sarabun New" w:eastAsia="TH Sarabun New"/>
                <w:b w:val="0"/>
                <w:sz w:val="18"/>
              </w:rPr>
              <w:t>Debt / lease</w:t>
            </w:r>
          </w:p>
        </w:tc>
        <w:tc>
          <w:tcPr>
            <w:tcW w:type="dxa" w:w="1900"/>
            <w:vAlign w:val="center"/>
          </w:tcPr>
          <w:p>
            <w:pPr>
              <w:spacing w:before="0" w:after="0" w:line="240" w:lineRule="auto"/>
              <w:jc w:val="center"/>
            </w:pPr>
            <w:r>
              <w:rPr>
                <w:rFonts w:ascii="TH Sarabun New" w:hAnsi="TH Sarabun New" w:eastAsia="TH Sarabun New"/>
                <w:b w:val="0"/>
                <w:sz w:val="18"/>
              </w:rPr>
              <w:t>ไม่มี bank debt ใหม่; lease total 16 / 14 / 12 / 10 / 8</w:t>
            </w:r>
          </w:p>
        </w:tc>
        <w:tc>
          <w:tcPr>
            <w:tcW w:type="dxa" w:w="4200"/>
            <w:vAlign w:val="center"/>
          </w:tcPr>
          <w:p>
            <w:pPr>
              <w:spacing w:before="0" w:after="0" w:line="240" w:lineRule="auto"/>
              <w:jc w:val="center"/>
            </w:pPr>
            <w:r>
              <w:rPr>
                <w:rFonts w:ascii="TH Sarabun New" w:hAnsi="TH Sarabun New" w:eastAsia="TH Sarabun New"/>
                <w:b w:val="0"/>
                <w:sz w:val="18"/>
              </w:rPr>
              <w:t>planning assumption; ไม่มี new equity/new debt ภายใต้ scenario</w:t>
            </w:r>
          </w:p>
        </w:tc>
        <w:tc>
          <w:tcPr>
            <w:tcW w:type="dxa" w:w="1220"/>
            <w:vAlign w:val="center"/>
          </w:tcPr>
          <w:p>
            <w:pPr>
              <w:spacing w:before="0" w:after="0" w:line="240" w:lineRule="auto"/>
              <w:jc w:val="center"/>
            </w:pPr>
            <w:r>
              <w:rPr>
                <w:rFonts w:ascii="TH Sarabun New" w:hAnsi="TH Sarabun New" w:eastAsia="TH Sarabun New"/>
                <w:b w:val="0"/>
                <w:sz w:val="18"/>
              </w:rPr>
              <w:t>Gate 3</w:t>
            </w:r>
          </w:p>
        </w:tc>
      </w:tr>
      <w:tr>
        <w:trPr/>
        <w:tc>
          <w:tcPr>
            <w:tcW w:type="dxa" w:w="1700"/>
            <w:vAlign w:val="center"/>
          </w:tcPr>
          <w:p>
            <w:pPr>
              <w:spacing w:before="0" w:after="0" w:line="240" w:lineRule="auto"/>
              <w:jc w:val="left"/>
            </w:pPr>
            <w:r>
              <w:rPr>
                <w:rFonts w:ascii="TH Sarabun New" w:hAnsi="TH Sarabun New" w:eastAsia="TH Sarabun New"/>
                <w:b w:val="0"/>
                <w:sz w:val="18"/>
              </w:rPr>
              <w:t>Dividends</w:t>
            </w:r>
          </w:p>
        </w:tc>
        <w:tc>
          <w:tcPr>
            <w:tcW w:type="dxa" w:w="1900"/>
            <w:vAlign w:val="center"/>
          </w:tcPr>
          <w:p>
            <w:pPr>
              <w:spacing w:before="0" w:after="0" w:line="240" w:lineRule="auto"/>
              <w:jc w:val="center"/>
            </w:pPr>
            <w:r>
              <w:rPr>
                <w:rFonts w:ascii="TH Sarabun New" w:hAnsi="TH Sarabun New" w:eastAsia="TH Sarabun New"/>
                <w:b w:val="0"/>
                <w:sz w:val="18"/>
              </w:rPr>
              <w:t>0 / 20 / 30 / 40 / 50</w:t>
            </w:r>
          </w:p>
        </w:tc>
        <w:tc>
          <w:tcPr>
            <w:tcW w:type="dxa" w:w="4200"/>
            <w:vAlign w:val="center"/>
          </w:tcPr>
          <w:p>
            <w:pPr>
              <w:spacing w:before="0" w:after="0" w:line="240" w:lineRule="auto"/>
              <w:jc w:val="center"/>
            </w:pPr>
            <w:r>
              <w:rPr>
                <w:rFonts w:ascii="TH Sarabun New" w:hAnsi="TH Sarabun New" w:eastAsia="TH Sarabun New"/>
                <w:b w:val="0"/>
                <w:sz w:val="18"/>
              </w:rPr>
              <w:t>สมมติให้พักปันผลปีแรกและจ่ายแบบมีเงื่อนไขตาม liquidity/gate; ไม่ใช่นโยบายบริษัท</w:t>
            </w:r>
          </w:p>
        </w:tc>
        <w:tc>
          <w:tcPr>
            <w:tcW w:type="dxa" w:w="1220"/>
            <w:vAlign w:val="center"/>
          </w:tcPr>
          <w:p>
            <w:pPr>
              <w:spacing w:before="0" w:after="0" w:line="240" w:lineRule="auto"/>
              <w:jc w:val="center"/>
            </w:pPr>
            <w:r>
              <w:rPr>
                <w:rFonts w:ascii="TH Sarabun New" w:hAnsi="TH Sarabun New" w:eastAsia="TH Sarabun New"/>
                <w:b w:val="0"/>
                <w:sz w:val="18"/>
              </w:rPr>
              <w:t>Board decision</w:t>
            </w:r>
          </w:p>
        </w:tc>
      </w:tr>
      <w:tr>
        <w:trPr/>
        <w:tc>
          <w:tcPr>
            <w:tcW w:type="dxa" w:w="1700"/>
            <w:vAlign w:val="center"/>
          </w:tcPr>
          <w:p>
            <w:pPr>
              <w:spacing w:before="0" w:after="0" w:line="240" w:lineRule="auto"/>
              <w:jc w:val="left"/>
            </w:pPr>
            <w:r>
              <w:rPr>
                <w:rFonts w:ascii="TH Sarabun New" w:hAnsi="TH Sarabun New" w:eastAsia="TH Sarabun New"/>
                <w:b w:val="0"/>
                <w:sz w:val="18"/>
              </w:rPr>
              <w:t>Retained earnings</w:t>
            </w:r>
          </w:p>
        </w:tc>
        <w:tc>
          <w:tcPr>
            <w:tcW w:type="dxa" w:w="1900"/>
            <w:vAlign w:val="center"/>
          </w:tcPr>
          <w:p>
            <w:pPr>
              <w:spacing w:before="0" w:after="0" w:line="240" w:lineRule="auto"/>
              <w:jc w:val="center"/>
            </w:pPr>
            <w:r>
              <w:rPr>
                <w:rFonts w:ascii="TH Sarabun New" w:hAnsi="TH Sarabun New" w:eastAsia="TH Sarabun New"/>
                <w:b w:val="0"/>
                <w:sz w:val="18"/>
              </w:rPr>
              <w:t>กำไรสะสมไม่จัดสรรเพิ่มด้วย Net Profit − Dividend</w:t>
            </w:r>
          </w:p>
        </w:tc>
        <w:tc>
          <w:tcPr>
            <w:tcW w:type="dxa" w:w="4200"/>
            <w:vAlign w:val="center"/>
          </w:tcPr>
          <w:p>
            <w:pPr>
              <w:spacing w:before="0" w:after="0" w:line="240" w:lineRule="auto"/>
              <w:jc w:val="center"/>
            </w:pPr>
            <w:r>
              <w:rPr>
                <w:rFonts w:ascii="TH Sarabun New" w:hAnsi="TH Sarabun New" w:eastAsia="TH Sarabun New"/>
                <w:b w:val="0"/>
                <w:sz w:val="18"/>
              </w:rPr>
              <w:t>bridge 2569 ใช้ FY2569 net profit assumption 30, dividend paid 48, H1 OCI +25.14 และไม่สมมติ OCI เพิ่มใน H2</w:t>
            </w:r>
          </w:p>
        </w:tc>
        <w:tc>
          <w:tcPr>
            <w:tcW w:type="dxa" w:w="1220"/>
            <w:vAlign w:val="center"/>
          </w:tcPr>
          <w:p>
            <w:pPr>
              <w:spacing w:before="0" w:after="0" w:line="240" w:lineRule="auto"/>
              <w:jc w:val="center"/>
            </w:pPr>
            <w:r>
              <w:rPr>
                <w:rFonts w:ascii="TH Sarabun New" w:hAnsi="TH Sarabun New" w:eastAsia="TH Sarabun New"/>
                <w:b w:val="0"/>
                <w:sz w:val="18"/>
              </w:rPr>
              <w:t>SFP / ROE</w:t>
            </w:r>
          </w:p>
        </w:tc>
      </w:tr>
      <w:tr>
        <w:trPr/>
        <w:tc>
          <w:tcPr>
            <w:tcW w:type="dxa" w:w="1700"/>
            <w:vAlign w:val="center"/>
          </w:tcPr>
          <w:p>
            <w:pPr>
              <w:spacing w:before="0" w:after="0" w:line="240" w:lineRule="auto"/>
              <w:jc w:val="left"/>
            </w:pPr>
            <w:r>
              <w:rPr>
                <w:rFonts w:ascii="TH Sarabun New" w:hAnsi="TH Sarabun New" w:eastAsia="TH Sarabun New"/>
                <w:b w:val="0"/>
                <w:sz w:val="18"/>
              </w:rPr>
              <w:t>Cash/liquidity</w:t>
            </w:r>
          </w:p>
        </w:tc>
        <w:tc>
          <w:tcPr>
            <w:tcW w:type="dxa" w:w="1900"/>
            <w:vAlign w:val="center"/>
          </w:tcPr>
          <w:p>
            <w:pPr>
              <w:spacing w:before="0" w:after="0" w:line="240" w:lineRule="auto"/>
              <w:jc w:val="center"/>
            </w:pPr>
            <w:r>
              <w:rPr>
                <w:rFonts w:ascii="TH Sarabun New" w:hAnsi="TH Sarabun New" w:eastAsia="TH Sarabun New"/>
                <w:b w:val="0"/>
                <w:sz w:val="18"/>
              </w:rPr>
              <w:t>25 / 30 / 35 / 40 / 45</w:t>
            </w:r>
          </w:p>
        </w:tc>
        <w:tc>
          <w:tcPr>
            <w:tcW w:type="dxa" w:w="4200"/>
            <w:vAlign w:val="center"/>
          </w:tcPr>
          <w:p>
            <w:pPr>
              <w:spacing w:before="0" w:after="0" w:line="240" w:lineRule="auto"/>
              <w:jc w:val="center"/>
            </w:pPr>
            <w:r>
              <w:rPr>
                <w:rFonts w:ascii="TH Sarabun New" w:hAnsi="TH Sarabun New" w:eastAsia="TH Sarabun New"/>
                <w:b w:val="0"/>
                <w:sz w:val="18"/>
              </w:rPr>
              <w:t>minimum management cash buffer; financial assets เป็น residual หลังรักษา buffer</w:t>
            </w:r>
          </w:p>
        </w:tc>
        <w:tc>
          <w:tcPr>
            <w:tcW w:type="dxa" w:w="1220"/>
            <w:vAlign w:val="center"/>
          </w:tcPr>
          <w:p>
            <w:pPr>
              <w:spacing w:before="0" w:after="0" w:line="240" w:lineRule="auto"/>
              <w:jc w:val="center"/>
            </w:pPr>
            <w:r>
              <w:rPr>
                <w:rFonts w:ascii="TH Sarabun New" w:hAnsi="TH Sarabun New" w:eastAsia="TH Sarabun New"/>
                <w:b w:val="0"/>
                <w:sz w:val="18"/>
              </w:rPr>
              <w:t>Finance</w:t>
            </w:r>
          </w:p>
        </w:tc>
      </w:tr>
      <w:tr>
        <w:trPr/>
        <w:tc>
          <w:tcPr>
            <w:tcW w:type="dxa" w:w="1700"/>
            <w:vAlign w:val="center"/>
          </w:tcPr>
          <w:p>
            <w:pPr>
              <w:spacing w:before="0" w:after="0" w:line="240" w:lineRule="auto"/>
              <w:jc w:val="left"/>
            </w:pPr>
            <w:r>
              <w:rPr>
                <w:rFonts w:ascii="TH Sarabun New" w:hAnsi="TH Sarabun New" w:eastAsia="TH Sarabun New"/>
                <w:b w:val="0"/>
                <w:sz w:val="18"/>
              </w:rPr>
              <w:t>Other income</w:t>
            </w:r>
          </w:p>
        </w:tc>
        <w:tc>
          <w:tcPr>
            <w:tcW w:type="dxa" w:w="1900"/>
            <w:vAlign w:val="center"/>
          </w:tcPr>
          <w:p>
            <w:pPr>
              <w:spacing w:before="0" w:after="0" w:line="240" w:lineRule="auto"/>
              <w:jc w:val="center"/>
            </w:pPr>
            <w:r>
              <w:rPr>
                <w:rFonts w:ascii="TH Sarabun New" w:hAnsi="TH Sarabun New" w:eastAsia="TH Sarabun New"/>
                <w:b w:val="0"/>
                <w:sz w:val="18"/>
              </w:rPr>
              <w:t>58 / 56 / 54 / 54 / 54</w:t>
            </w:r>
          </w:p>
        </w:tc>
        <w:tc>
          <w:tcPr>
            <w:tcW w:type="dxa" w:w="4200"/>
            <w:vAlign w:val="center"/>
          </w:tcPr>
          <w:p>
            <w:pPr>
              <w:spacing w:before="0" w:after="0" w:line="240" w:lineRule="auto"/>
              <w:jc w:val="center"/>
            </w:pPr>
            <w:r>
              <w:rPr>
                <w:rFonts w:ascii="TH Sarabun New" w:hAnsi="TH Sarabun New" w:eastAsia="TH Sarabun New"/>
                <w:b w:val="0"/>
                <w:sz w:val="18"/>
              </w:rPr>
              <w:t>conservative yield/mix assumption; ไม่ตีความว่าต้องขาย financial assets และไม่รวม valuation gain</w:t>
            </w:r>
          </w:p>
        </w:tc>
        <w:tc>
          <w:tcPr>
            <w:tcW w:type="dxa" w:w="1220"/>
            <w:vAlign w:val="center"/>
          </w:tcPr>
          <w:p>
            <w:pPr>
              <w:spacing w:before="0" w:after="0" w:line="240" w:lineRule="auto"/>
              <w:jc w:val="center"/>
            </w:pPr>
            <w:r>
              <w:rPr>
                <w:rFonts w:ascii="TH Sarabun New" w:hAnsi="TH Sarabun New" w:eastAsia="TH Sarabun New"/>
                <w:b w:val="0"/>
                <w:sz w:val="18"/>
              </w:rPr>
              <w:t>Income statement</w:t>
            </w:r>
          </w:p>
        </w:tc>
      </w:tr>
      <w:tr>
        <w:trPr/>
        <w:tc>
          <w:tcPr>
            <w:tcW w:type="dxa" w:w="1700"/>
            <w:vAlign w:val="center"/>
          </w:tcPr>
          <w:p>
            <w:pPr>
              <w:spacing w:before="0" w:after="0" w:line="240" w:lineRule="auto"/>
              <w:jc w:val="left"/>
            </w:pPr>
            <w:r>
              <w:rPr>
                <w:rFonts w:ascii="TH Sarabun New" w:hAnsi="TH Sarabun New" w:eastAsia="TH Sarabun New"/>
                <w:b w:val="0"/>
                <w:sz w:val="18"/>
              </w:rPr>
              <w:t>Tax / net profit</w:t>
            </w:r>
          </w:p>
        </w:tc>
        <w:tc>
          <w:tcPr>
            <w:tcW w:type="dxa" w:w="1900"/>
            <w:vAlign w:val="center"/>
          </w:tcPr>
          <w:p>
            <w:pPr>
              <w:spacing w:before="0" w:after="0" w:line="240" w:lineRule="auto"/>
              <w:jc w:val="center"/>
            </w:pPr>
            <w:r>
              <w:rPr>
                <w:rFonts w:ascii="TH Sarabun New" w:hAnsi="TH Sarabun New" w:eastAsia="TH Sarabun New"/>
                <w:b w:val="0"/>
                <w:sz w:val="18"/>
              </w:rPr>
              <w:t>20% ของ core proxy + other income</w:t>
            </w:r>
          </w:p>
        </w:tc>
        <w:tc>
          <w:tcPr>
            <w:tcW w:type="dxa" w:w="4200"/>
            <w:vAlign w:val="center"/>
          </w:tcPr>
          <w:p>
            <w:pPr>
              <w:spacing w:before="0" w:after="0" w:line="240" w:lineRule="auto"/>
              <w:jc w:val="center"/>
            </w:pPr>
            <w:r>
              <w:rPr>
                <w:rFonts w:ascii="TH Sarabun New" w:hAnsi="TH Sarabun New" w:eastAsia="TH Sarabun New"/>
                <w:b w:val="0"/>
                <w:sz w:val="18"/>
              </w:rPr>
              <w:t>ประมาณการเชิงบริหาร ไม่ใช่ audited tax forecast; ไม่รวม valuation gain/loss</w:t>
            </w:r>
          </w:p>
        </w:tc>
        <w:tc>
          <w:tcPr>
            <w:tcW w:type="dxa" w:w="1220"/>
            <w:vAlign w:val="center"/>
          </w:tcPr>
          <w:p>
            <w:pPr>
              <w:spacing w:before="0" w:after="0" w:line="240" w:lineRule="auto"/>
              <w:jc w:val="center"/>
            </w:pPr>
            <w:r>
              <w:rPr>
                <w:rFonts w:ascii="TH Sarabun New" w:hAnsi="TH Sarabun New" w:eastAsia="TH Sarabun New"/>
                <w:b w:val="0"/>
                <w:sz w:val="18"/>
              </w:rPr>
              <w:t>Strategic case</w:t>
            </w:r>
          </w:p>
        </w:tc>
      </w:tr>
    </w:tbl>
    <w:p>
      <w:r>
        <w:rPr>
          <w:rFonts w:ascii="TH Sarabun New" w:hAnsi="TH Sarabun New" w:eastAsia="TH Sarabun New"/>
          <w:i/>
          <w:color w:val="666666"/>
          <w:sz w:val="20"/>
        </w:rPr>
        <w:t>ที่มา: สมมติฐาน/สูตรของผู้จัดทำ; Management Target Scenario – not company guidance</w:t>
      </w:r>
    </w:p>
    <w:p>
      <w:pPr>
        <w:keepNext w:val="false"/>
        <w:spacing w:after="50" w:line="240"/>
        <w:ind w:firstLine="480"/>
        <w:jc w:val="both"/>
      </w:pPr>
      <w:r>
        <w:rPr>
          <w:rFonts w:ascii="TH Sarabun New" w:hAnsi="TH Sarabun New" w:eastAsia="TH Sarabun New"/>
          <w:sz w:val="32"/>
        </w:rPr>
        <w:t>นัยเชิงกลยุทธ์ต่อ PG: สมมติฐาน inventory ถูกสร้างจาก COGS และค่าเฉลี่ย ไม่แสดง claim ว่าจะปล่อยเงิน 181 ล้านบาทจากการ scaling ยอดคงเหลือแบบเดิม ส่วนต่างสินค้าคงเหลือปลายงวด 337.11 เป็น 165.00 ล้านบาทเป็นเพียงผลของ management target และต้องยืนยันด้วยข้อมูล SKU/S&amp;OP การจัดหาเงินทุนไม่ขัดแย้งกัน: scenario อาจใช้ operating cash, investment income และ selective maturity/reallocation โดยไม่บังคับขายสินทรัพย์หลัก</w:t>
      </w:r>
    </w:p>
    <w:p>
      <w:pPr>
        <w:pStyle w:val="Heading2"/>
      </w:pPr>
      <w:r>
        <w:rPr>
          <w:rFonts w:ascii="TH Sarabun New" w:hAnsi="TH Sarabun New" w:eastAsia="TH Sarabun New"/>
          <w:b/>
          <w:color w:val="2F5597"/>
          <w:sz w:val="32"/>
        </w:rPr>
        <w:t>6.4 งบแสดงฐานะการเงินประมาณการ</w:t>
      </w:r>
    </w:p>
    <w:p>
      <w:r>
        <w:rPr>
          <w:rFonts w:ascii="TH Sarabun New" w:hAnsi="TH Sarabun New" w:eastAsia="TH Sarabun New"/>
          <w:b/>
          <w:sz w:val="28"/>
        </w:rPr>
        <w:t>ตารางที่ 24 งบแสดงฐานะการเงินประมาณการ: Management Target Scenario – not company guidance (หน่วย: ล้านบาท)</w:t>
      </w:r>
    </w:p>
    <w:tbl>
      <w:tblPr>
        <w:tblW w:type="auto" w:w="0"/>
        <w:tblLayout w:type="fixed"/>
        <w:tblLook w:firstColumn="1" w:firstRow="1" w:lastColumn="0" w:lastRow="0" w:noHBand="0" w:noVBand="1" w:val="04A0"/>
        <w:jc w:val="center"/>
        <w:tblBorders>
          <w:top w:val="single" w:sz="4" w:color="B7B7B7"/>
          <w:left w:val="single" w:sz="4" w:color="B7B7B7"/>
          <w:bottom w:val="single" w:sz="4" w:color="B7B7B7"/>
          <w:right w:val="single" w:sz="4" w:color="B7B7B7"/>
          <w:insideH w:val="single" w:sz="4" w:color="B7B7B7"/>
          <w:insideV w:val="single" w:sz="4" w:color="B7B7B7"/>
        </w:tblBorders>
      </w:tblPr>
      <w:tblGrid>
        <w:gridCol w:w="2600"/>
        <w:gridCol w:w="1070"/>
        <w:gridCol w:w="1070"/>
        <w:gridCol w:w="1070"/>
        <w:gridCol w:w="1070"/>
        <w:gridCol w:w="1070"/>
        <w:gridCol w:w="1070"/>
      </w:tblGrid>
      <w:tr>
        <w:trPr>
          <w:tblHeader w:val="true"/>
        </w:trPr>
        <w:tc>
          <w:tcPr>
            <w:tcW w:type="dxa" w:w="2600"/>
            <w:vAlign w:val="center"/>
            <w:shd w:fill="D9E2F3"/>
          </w:tcPr>
          <w:p>
            <w:pPr>
              <w:spacing w:before="0" w:after="0" w:line="240" w:lineRule="auto"/>
              <w:jc w:val="center"/>
            </w:pPr>
            <w:r>
              <w:rPr>
                <w:rFonts w:ascii="TH Sarabun New" w:hAnsi="TH Sarabun New" w:eastAsia="TH Sarabun New"/>
                <w:b/>
                <w:sz w:val="22"/>
              </w:rPr>
              <w:t>รายการ</w:t>
            </w:r>
          </w:p>
        </w:tc>
        <w:tc>
          <w:tcPr>
            <w:tcW w:type="dxa" w:w="1070"/>
            <w:vAlign w:val="center"/>
            <w:shd w:fill="D9E2F3"/>
          </w:tcPr>
          <w:p>
            <w:pPr>
              <w:spacing w:before="0" w:after="0" w:line="240" w:lineRule="auto"/>
              <w:jc w:val="center"/>
            </w:pPr>
            <w:r>
              <w:rPr>
                <w:rFonts w:ascii="TH Sarabun New" w:hAnsi="TH Sarabun New" w:eastAsia="TH Sarabun New"/>
                <w:b/>
                <w:sz w:val="22"/>
              </w:rPr>
              <w:t>2570</w:t>
            </w:r>
          </w:p>
        </w:tc>
        <w:tc>
          <w:tcPr>
            <w:tcW w:type="dxa" w:w="1070"/>
            <w:vAlign w:val="center"/>
            <w:shd w:fill="D9E2F3"/>
          </w:tcPr>
          <w:p>
            <w:pPr>
              <w:spacing w:before="0" w:after="0" w:line="240" w:lineRule="auto"/>
              <w:jc w:val="center"/>
            </w:pPr>
            <w:r>
              <w:rPr>
                <w:rFonts w:ascii="TH Sarabun New" w:hAnsi="TH Sarabun New" w:eastAsia="TH Sarabun New"/>
                <w:b/>
                <w:sz w:val="22"/>
              </w:rPr>
              <w:t>2571</w:t>
            </w:r>
          </w:p>
        </w:tc>
        <w:tc>
          <w:tcPr>
            <w:tcW w:type="dxa" w:w="1070"/>
            <w:vAlign w:val="center"/>
            <w:shd w:fill="D9E2F3"/>
          </w:tcPr>
          <w:p>
            <w:pPr>
              <w:spacing w:before="0" w:after="0" w:line="240" w:lineRule="auto"/>
              <w:jc w:val="center"/>
            </w:pPr>
            <w:r>
              <w:rPr>
                <w:rFonts w:ascii="TH Sarabun New" w:hAnsi="TH Sarabun New" w:eastAsia="TH Sarabun New"/>
                <w:b/>
                <w:sz w:val="22"/>
              </w:rPr>
              <w:t>2572</w:t>
            </w:r>
          </w:p>
        </w:tc>
        <w:tc>
          <w:tcPr>
            <w:tcW w:type="dxa" w:w="1070"/>
            <w:vAlign w:val="center"/>
            <w:shd w:fill="D9E2F3"/>
          </w:tcPr>
          <w:p>
            <w:pPr>
              <w:spacing w:before="0" w:after="0" w:line="240" w:lineRule="auto"/>
              <w:jc w:val="center"/>
            </w:pPr>
            <w:r>
              <w:rPr>
                <w:rFonts w:ascii="TH Sarabun New" w:hAnsi="TH Sarabun New" w:eastAsia="TH Sarabun New"/>
                <w:b/>
                <w:sz w:val="22"/>
              </w:rPr>
              <w:t>2573</w:t>
            </w:r>
          </w:p>
        </w:tc>
        <w:tc>
          <w:tcPr>
            <w:tcW w:type="dxa" w:w="1070"/>
            <w:vAlign w:val="center"/>
            <w:shd w:fill="D9E2F3"/>
          </w:tcPr>
          <w:p>
            <w:pPr>
              <w:spacing w:before="0" w:after="0" w:line="240" w:lineRule="auto"/>
              <w:jc w:val="center"/>
            </w:pPr>
            <w:r>
              <w:rPr>
                <w:rFonts w:ascii="TH Sarabun New" w:hAnsi="TH Sarabun New" w:eastAsia="TH Sarabun New"/>
                <w:b/>
                <w:sz w:val="22"/>
              </w:rPr>
              <w:t>2574</w:t>
            </w:r>
          </w:p>
        </w:tc>
        <w:tc>
          <w:tcPr>
            <w:tcW w:type="dxa" w:w="1070"/>
            <w:vAlign w:val="center"/>
            <w:shd w:fill="D9E2F3"/>
          </w:tcPr>
          <w:p>
            <w:pPr>
              <w:spacing w:before="0" w:after="0" w:line="240" w:lineRule="auto"/>
              <w:jc w:val="center"/>
            </w:pPr>
            <w:r>
              <w:rPr>
                <w:rFonts w:ascii="TH Sarabun New" w:hAnsi="TH Sarabun New" w:eastAsia="TH Sarabun New"/>
                <w:b/>
                <w:sz w:val="22"/>
              </w:rPr>
              <w:t>ประเภท</w:t>
            </w:r>
          </w:p>
        </w:tc>
      </w:tr>
      <w:tr>
        <w:trPr/>
        <w:tc>
          <w:tcPr>
            <w:tcW w:type="dxa" w:w="1070"/>
            <w:gridSpan w:val="7"/>
            <w:vAlign w:val="center"/>
            <w:shd w:fill="F2F2F2"/>
          </w:tcPr>
          <w:p>
            <w:pPr>
              <w:spacing w:before="0" w:after="0" w:line="240" w:lineRule="auto"/>
              <w:jc w:val="center"/>
            </w:pPr>
            <w:r>
              <w:rPr>
                <w:rFonts w:ascii="TH Sarabun New" w:hAnsi="TH Sarabun New" w:eastAsia="TH Sarabun New"/>
                <w:b w:val="0"/>
                <w:sz w:val="17"/>
              </w:rPr>
              <w:t>สินทรัพย์หมุนเวียน</w:t>
            </w:r>
          </w:p>
        </w:tc>
      </w:tr>
      <w:tr>
        <w:trPr/>
        <w:tc>
          <w:tcPr>
            <w:tcW w:type="dxa" w:w="2600"/>
            <w:vAlign w:val="center"/>
          </w:tcPr>
          <w:p>
            <w:pPr>
              <w:spacing w:before="0" w:after="0" w:line="240" w:lineRule="auto"/>
              <w:jc w:val="left"/>
            </w:pPr>
            <w:r>
              <w:rPr>
                <w:rFonts w:ascii="TH Sarabun New" w:hAnsi="TH Sarabun New" w:eastAsia="TH Sarabun New"/>
                <w:b w:val="0"/>
                <w:sz w:val="17"/>
              </w:rPr>
              <w:t>เงินสดและรายการเทียบเท่า</w:t>
            </w:r>
          </w:p>
        </w:tc>
        <w:tc>
          <w:tcPr>
            <w:tcW w:type="dxa" w:w="1070"/>
            <w:vAlign w:val="center"/>
          </w:tcPr>
          <w:p>
            <w:pPr>
              <w:spacing w:before="0" w:after="0" w:line="240" w:lineRule="auto"/>
              <w:jc w:val="center"/>
            </w:pPr>
            <w:r>
              <w:rPr>
                <w:rFonts w:ascii="TH Sarabun New" w:hAnsi="TH Sarabun New" w:eastAsia="TH Sarabun New"/>
                <w:b w:val="0"/>
                <w:sz w:val="17"/>
              </w:rPr>
              <w:t>25.00</w:t>
            </w:r>
          </w:p>
        </w:tc>
        <w:tc>
          <w:tcPr>
            <w:tcW w:type="dxa" w:w="1070"/>
            <w:vAlign w:val="center"/>
          </w:tcPr>
          <w:p>
            <w:pPr>
              <w:spacing w:before="0" w:after="0" w:line="240" w:lineRule="auto"/>
              <w:jc w:val="center"/>
            </w:pPr>
            <w:r>
              <w:rPr>
                <w:rFonts w:ascii="TH Sarabun New" w:hAnsi="TH Sarabun New" w:eastAsia="TH Sarabun New"/>
                <w:b w:val="0"/>
                <w:sz w:val="17"/>
              </w:rPr>
              <w:t>30.00</w:t>
            </w:r>
          </w:p>
        </w:tc>
        <w:tc>
          <w:tcPr>
            <w:tcW w:type="dxa" w:w="1070"/>
            <w:vAlign w:val="center"/>
          </w:tcPr>
          <w:p>
            <w:pPr>
              <w:spacing w:before="0" w:after="0" w:line="240" w:lineRule="auto"/>
              <w:jc w:val="center"/>
            </w:pPr>
            <w:r>
              <w:rPr>
                <w:rFonts w:ascii="TH Sarabun New" w:hAnsi="TH Sarabun New" w:eastAsia="TH Sarabun New"/>
                <w:b w:val="0"/>
                <w:sz w:val="17"/>
              </w:rPr>
              <w:t>35.00</w:t>
            </w:r>
          </w:p>
        </w:tc>
        <w:tc>
          <w:tcPr>
            <w:tcW w:type="dxa" w:w="1070"/>
            <w:vAlign w:val="center"/>
          </w:tcPr>
          <w:p>
            <w:pPr>
              <w:spacing w:before="0" w:after="0" w:line="240" w:lineRule="auto"/>
              <w:jc w:val="center"/>
            </w:pPr>
            <w:r>
              <w:rPr>
                <w:rFonts w:ascii="TH Sarabun New" w:hAnsi="TH Sarabun New" w:eastAsia="TH Sarabun New"/>
                <w:b w:val="0"/>
                <w:sz w:val="17"/>
              </w:rPr>
              <w:t>40.00</w:t>
            </w:r>
          </w:p>
        </w:tc>
        <w:tc>
          <w:tcPr>
            <w:tcW w:type="dxa" w:w="1070"/>
            <w:vAlign w:val="center"/>
          </w:tcPr>
          <w:p>
            <w:pPr>
              <w:spacing w:before="0" w:after="0" w:line="240" w:lineRule="auto"/>
              <w:jc w:val="center"/>
            </w:pPr>
            <w:r>
              <w:rPr>
                <w:rFonts w:ascii="TH Sarabun New" w:hAnsi="TH Sarabun New" w:eastAsia="TH Sarabun New"/>
                <w:b w:val="0"/>
                <w:sz w:val="17"/>
              </w:rPr>
              <w:t>45.00</w:t>
            </w:r>
          </w:p>
        </w:tc>
        <w:tc>
          <w:tcPr>
            <w:tcW w:type="dxa" w:w="1070"/>
            <w:vAlign w:val="center"/>
          </w:tcPr>
          <w:p>
            <w:pPr>
              <w:spacing w:before="0" w:after="0" w:line="240" w:lineRule="auto"/>
              <w:jc w:val="center"/>
            </w:pPr>
            <w:r>
              <w:rPr>
                <w:rFonts w:ascii="TH Sarabun New" w:hAnsi="TH Sarabun New" w:eastAsia="TH Sarabun New"/>
                <w:b w:val="0"/>
                <w:sz w:val="17"/>
              </w:rPr>
              <w:t>สมมติฐาน</w:t>
            </w:r>
          </w:p>
        </w:tc>
      </w:tr>
      <w:tr>
        <w:trPr/>
        <w:tc>
          <w:tcPr>
            <w:tcW w:type="dxa" w:w="2600"/>
            <w:vAlign w:val="center"/>
          </w:tcPr>
          <w:p>
            <w:pPr>
              <w:spacing w:before="0" w:after="0" w:line="240" w:lineRule="auto"/>
              <w:jc w:val="left"/>
            </w:pPr>
            <w:r>
              <w:rPr>
                <w:rFonts w:ascii="TH Sarabun New" w:hAnsi="TH Sarabun New" w:eastAsia="TH Sarabun New"/>
                <w:b w:val="0"/>
                <w:sz w:val="17"/>
              </w:rPr>
              <w:t>ลูกหนี้การค้าและลูกหนี้อื่น</w:t>
            </w:r>
          </w:p>
        </w:tc>
        <w:tc>
          <w:tcPr>
            <w:tcW w:type="dxa" w:w="1070"/>
            <w:vAlign w:val="center"/>
          </w:tcPr>
          <w:p>
            <w:pPr>
              <w:spacing w:before="0" w:after="0" w:line="240" w:lineRule="auto"/>
              <w:jc w:val="center"/>
            </w:pPr>
            <w:r>
              <w:rPr>
                <w:rFonts w:ascii="TH Sarabun New" w:hAnsi="TH Sarabun New" w:eastAsia="TH Sarabun New"/>
                <w:b w:val="0"/>
                <w:sz w:val="17"/>
              </w:rPr>
              <w:t>95.34</w:t>
            </w:r>
          </w:p>
        </w:tc>
        <w:tc>
          <w:tcPr>
            <w:tcW w:type="dxa" w:w="1070"/>
            <w:vAlign w:val="center"/>
          </w:tcPr>
          <w:p>
            <w:pPr>
              <w:spacing w:before="0" w:after="0" w:line="240" w:lineRule="auto"/>
              <w:jc w:val="center"/>
            </w:pPr>
            <w:r>
              <w:rPr>
                <w:rFonts w:ascii="TH Sarabun New" w:hAnsi="TH Sarabun New" w:eastAsia="TH Sarabun New"/>
                <w:b w:val="0"/>
                <w:sz w:val="17"/>
              </w:rPr>
              <w:t>98.96</w:t>
            </w:r>
          </w:p>
        </w:tc>
        <w:tc>
          <w:tcPr>
            <w:tcW w:type="dxa" w:w="1070"/>
            <w:vAlign w:val="center"/>
          </w:tcPr>
          <w:p>
            <w:pPr>
              <w:spacing w:before="0" w:after="0" w:line="240" w:lineRule="auto"/>
              <w:jc w:val="center"/>
            </w:pPr>
            <w:r>
              <w:rPr>
                <w:rFonts w:ascii="TH Sarabun New" w:hAnsi="TH Sarabun New" w:eastAsia="TH Sarabun New"/>
                <w:b w:val="0"/>
                <w:sz w:val="17"/>
              </w:rPr>
              <w:t>103.56</w:t>
            </w:r>
          </w:p>
        </w:tc>
        <w:tc>
          <w:tcPr>
            <w:tcW w:type="dxa" w:w="1070"/>
            <w:vAlign w:val="center"/>
          </w:tcPr>
          <w:p>
            <w:pPr>
              <w:spacing w:before="0" w:after="0" w:line="240" w:lineRule="auto"/>
              <w:jc w:val="center"/>
            </w:pPr>
            <w:r>
              <w:rPr>
                <w:rFonts w:ascii="TH Sarabun New" w:hAnsi="TH Sarabun New" w:eastAsia="TH Sarabun New"/>
                <w:b w:val="0"/>
                <w:sz w:val="17"/>
              </w:rPr>
              <w:t>107.56</w:t>
            </w:r>
          </w:p>
        </w:tc>
        <w:tc>
          <w:tcPr>
            <w:tcW w:type="dxa" w:w="1070"/>
            <w:vAlign w:val="center"/>
          </w:tcPr>
          <w:p>
            <w:pPr>
              <w:spacing w:before="0" w:after="0" w:line="240" w:lineRule="auto"/>
              <w:jc w:val="center"/>
            </w:pPr>
            <w:r>
              <w:rPr>
                <w:rFonts w:ascii="TH Sarabun New" w:hAnsi="TH Sarabun New" w:eastAsia="TH Sarabun New"/>
                <w:b w:val="0"/>
                <w:sz w:val="17"/>
              </w:rPr>
              <w:t>110.96</w:t>
            </w:r>
          </w:p>
        </w:tc>
        <w:tc>
          <w:tcPr>
            <w:tcW w:type="dxa" w:w="1070"/>
            <w:vAlign w:val="center"/>
          </w:tcPr>
          <w:p>
            <w:pPr>
              <w:spacing w:before="0" w:after="0" w:line="240" w:lineRule="auto"/>
              <w:jc w:val="center"/>
            </w:pPr>
            <w:r>
              <w:rPr>
                <w:rFonts w:ascii="TH Sarabun New" w:hAnsi="TH Sarabun New" w:eastAsia="TH Sarabun New"/>
                <w:b w:val="0"/>
                <w:sz w:val="17"/>
              </w:rPr>
              <w:t>คำนวณ</w:t>
            </w:r>
          </w:p>
        </w:tc>
      </w:tr>
      <w:tr>
        <w:trPr/>
        <w:tc>
          <w:tcPr>
            <w:tcW w:type="dxa" w:w="2600"/>
            <w:vAlign w:val="center"/>
          </w:tcPr>
          <w:p>
            <w:pPr>
              <w:spacing w:before="0" w:after="0" w:line="240" w:lineRule="auto"/>
              <w:jc w:val="left"/>
            </w:pPr>
            <w:r>
              <w:rPr>
                <w:rFonts w:ascii="TH Sarabun New" w:hAnsi="TH Sarabun New" w:eastAsia="TH Sarabun New"/>
                <w:b w:val="0"/>
                <w:sz w:val="17"/>
              </w:rPr>
              <w:t>สินค้าคงเหลือ</w:t>
            </w:r>
          </w:p>
        </w:tc>
        <w:tc>
          <w:tcPr>
            <w:tcW w:type="dxa" w:w="1070"/>
            <w:vAlign w:val="center"/>
          </w:tcPr>
          <w:p>
            <w:pPr>
              <w:spacing w:before="0" w:after="0" w:line="240" w:lineRule="auto"/>
              <w:jc w:val="center"/>
            </w:pPr>
            <w:r>
              <w:rPr>
                <w:rFonts w:ascii="TH Sarabun New" w:hAnsi="TH Sarabun New" w:eastAsia="TH Sarabun New"/>
                <w:b w:val="0"/>
                <w:sz w:val="17"/>
              </w:rPr>
              <w:t>300.00</w:t>
            </w:r>
          </w:p>
        </w:tc>
        <w:tc>
          <w:tcPr>
            <w:tcW w:type="dxa" w:w="1070"/>
            <w:vAlign w:val="center"/>
          </w:tcPr>
          <w:p>
            <w:pPr>
              <w:spacing w:before="0" w:after="0" w:line="240" w:lineRule="auto"/>
              <w:jc w:val="center"/>
            </w:pPr>
            <w:r>
              <w:rPr>
                <w:rFonts w:ascii="TH Sarabun New" w:hAnsi="TH Sarabun New" w:eastAsia="TH Sarabun New"/>
                <w:b w:val="0"/>
                <w:sz w:val="17"/>
              </w:rPr>
              <w:t>260.00</w:t>
            </w:r>
          </w:p>
        </w:tc>
        <w:tc>
          <w:tcPr>
            <w:tcW w:type="dxa" w:w="1070"/>
            <w:vAlign w:val="center"/>
          </w:tcPr>
          <w:p>
            <w:pPr>
              <w:spacing w:before="0" w:after="0" w:line="240" w:lineRule="auto"/>
              <w:jc w:val="center"/>
            </w:pPr>
            <w:r>
              <w:rPr>
                <w:rFonts w:ascii="TH Sarabun New" w:hAnsi="TH Sarabun New" w:eastAsia="TH Sarabun New"/>
                <w:b w:val="0"/>
                <w:sz w:val="17"/>
              </w:rPr>
              <w:t>220.00</w:t>
            </w:r>
          </w:p>
        </w:tc>
        <w:tc>
          <w:tcPr>
            <w:tcW w:type="dxa" w:w="1070"/>
            <w:vAlign w:val="center"/>
          </w:tcPr>
          <w:p>
            <w:pPr>
              <w:spacing w:before="0" w:after="0" w:line="240" w:lineRule="auto"/>
              <w:jc w:val="center"/>
            </w:pPr>
            <w:r>
              <w:rPr>
                <w:rFonts w:ascii="TH Sarabun New" w:hAnsi="TH Sarabun New" w:eastAsia="TH Sarabun New"/>
                <w:b w:val="0"/>
                <w:sz w:val="17"/>
              </w:rPr>
              <w:t>190.00</w:t>
            </w:r>
          </w:p>
        </w:tc>
        <w:tc>
          <w:tcPr>
            <w:tcW w:type="dxa" w:w="1070"/>
            <w:vAlign w:val="center"/>
          </w:tcPr>
          <w:p>
            <w:pPr>
              <w:spacing w:before="0" w:after="0" w:line="240" w:lineRule="auto"/>
              <w:jc w:val="center"/>
            </w:pPr>
            <w:r>
              <w:rPr>
                <w:rFonts w:ascii="TH Sarabun New" w:hAnsi="TH Sarabun New" w:eastAsia="TH Sarabun New"/>
                <w:b w:val="0"/>
                <w:sz w:val="17"/>
              </w:rPr>
              <w:t>165.00</w:t>
            </w:r>
          </w:p>
        </w:tc>
        <w:tc>
          <w:tcPr>
            <w:tcW w:type="dxa" w:w="1070"/>
            <w:vAlign w:val="center"/>
          </w:tcPr>
          <w:p>
            <w:pPr>
              <w:spacing w:before="0" w:after="0" w:line="240" w:lineRule="auto"/>
              <w:jc w:val="center"/>
            </w:pPr>
            <w:r>
              <w:rPr>
                <w:rFonts w:ascii="TH Sarabun New" w:hAnsi="TH Sarabun New" w:eastAsia="TH Sarabun New"/>
                <w:b w:val="0"/>
                <w:sz w:val="17"/>
              </w:rPr>
              <w:t>สมมติฐาน</w:t>
            </w:r>
          </w:p>
        </w:tc>
      </w:tr>
      <w:tr>
        <w:trPr/>
        <w:tc>
          <w:tcPr>
            <w:tcW w:type="dxa" w:w="2600"/>
            <w:vAlign w:val="center"/>
          </w:tcPr>
          <w:p>
            <w:pPr>
              <w:spacing w:before="0" w:after="0" w:line="240" w:lineRule="auto"/>
              <w:jc w:val="left"/>
            </w:pPr>
            <w:r>
              <w:rPr>
                <w:rFonts w:ascii="TH Sarabun New" w:hAnsi="TH Sarabun New" w:eastAsia="TH Sarabun New"/>
                <w:b w:val="0"/>
                <w:sz w:val="17"/>
              </w:rPr>
              <w:t>สินทรัพย์ทางการเงินหมุนเวียน</w:t>
            </w:r>
          </w:p>
        </w:tc>
        <w:tc>
          <w:tcPr>
            <w:tcW w:type="dxa" w:w="1070"/>
            <w:vAlign w:val="center"/>
          </w:tcPr>
          <w:p>
            <w:pPr>
              <w:spacing w:before="0" w:after="0" w:line="240" w:lineRule="auto"/>
              <w:jc w:val="center"/>
            </w:pPr>
            <w:r>
              <w:rPr>
                <w:rFonts w:ascii="TH Sarabun New" w:hAnsi="TH Sarabun New" w:eastAsia="TH Sarabun New"/>
                <w:b w:val="0"/>
                <w:sz w:val="17"/>
              </w:rPr>
              <w:t>256.03</w:t>
            </w:r>
          </w:p>
        </w:tc>
        <w:tc>
          <w:tcPr>
            <w:tcW w:type="dxa" w:w="1070"/>
            <w:vAlign w:val="center"/>
          </w:tcPr>
          <w:p>
            <w:pPr>
              <w:spacing w:before="0" w:after="0" w:line="240" w:lineRule="auto"/>
              <w:jc w:val="center"/>
            </w:pPr>
            <w:r>
              <w:rPr>
                <w:rFonts w:ascii="TH Sarabun New" w:hAnsi="TH Sarabun New" w:eastAsia="TH Sarabun New"/>
                <w:b w:val="0"/>
                <w:sz w:val="17"/>
              </w:rPr>
              <w:t>272.61</w:t>
            </w:r>
          </w:p>
        </w:tc>
        <w:tc>
          <w:tcPr>
            <w:tcW w:type="dxa" w:w="1070"/>
            <w:vAlign w:val="center"/>
          </w:tcPr>
          <w:p>
            <w:pPr>
              <w:spacing w:before="0" w:after="0" w:line="240" w:lineRule="auto"/>
              <w:jc w:val="center"/>
            </w:pPr>
            <w:r>
              <w:rPr>
                <w:rFonts w:ascii="TH Sarabun New" w:hAnsi="TH Sarabun New" w:eastAsia="TH Sarabun New"/>
                <w:b w:val="0"/>
                <w:sz w:val="17"/>
              </w:rPr>
              <w:t>284.98</w:t>
            </w:r>
          </w:p>
        </w:tc>
        <w:tc>
          <w:tcPr>
            <w:tcW w:type="dxa" w:w="1070"/>
            <w:vAlign w:val="center"/>
          </w:tcPr>
          <w:p>
            <w:pPr>
              <w:spacing w:before="0" w:after="0" w:line="240" w:lineRule="auto"/>
              <w:jc w:val="center"/>
            </w:pPr>
            <w:r>
              <w:rPr>
                <w:rFonts w:ascii="TH Sarabun New" w:hAnsi="TH Sarabun New" w:eastAsia="TH Sarabun New"/>
                <w:b w:val="0"/>
                <w:sz w:val="17"/>
              </w:rPr>
              <w:t>294.90</w:t>
            </w:r>
          </w:p>
        </w:tc>
        <w:tc>
          <w:tcPr>
            <w:tcW w:type="dxa" w:w="1070"/>
            <w:vAlign w:val="center"/>
          </w:tcPr>
          <w:p>
            <w:pPr>
              <w:spacing w:before="0" w:after="0" w:line="240" w:lineRule="auto"/>
              <w:jc w:val="center"/>
            </w:pPr>
            <w:r>
              <w:rPr>
                <w:rFonts w:ascii="TH Sarabun New" w:hAnsi="TH Sarabun New" w:eastAsia="TH Sarabun New"/>
                <w:b w:val="0"/>
                <w:sz w:val="17"/>
              </w:rPr>
              <w:t>308.36</w:t>
            </w:r>
          </w:p>
        </w:tc>
        <w:tc>
          <w:tcPr>
            <w:tcW w:type="dxa" w:w="1070"/>
            <w:vAlign w:val="center"/>
          </w:tcPr>
          <w:p>
            <w:pPr>
              <w:spacing w:before="0" w:after="0" w:line="240" w:lineRule="auto"/>
              <w:jc w:val="center"/>
            </w:pPr>
            <w:r>
              <w:rPr>
                <w:rFonts w:ascii="TH Sarabun New" w:hAnsi="TH Sarabun New" w:eastAsia="TH Sarabun New"/>
                <w:b w:val="0"/>
                <w:sz w:val="17"/>
              </w:rPr>
              <w:t>residual × 27.5%</w:t>
            </w:r>
          </w:p>
        </w:tc>
      </w:tr>
      <w:tr>
        <w:trPr/>
        <w:tc>
          <w:tcPr>
            <w:tcW w:type="dxa" w:w="2600"/>
            <w:vAlign w:val="center"/>
          </w:tcPr>
          <w:p>
            <w:pPr>
              <w:spacing w:before="0" w:after="0" w:line="240" w:lineRule="auto"/>
              <w:jc w:val="left"/>
            </w:pPr>
            <w:r>
              <w:rPr>
                <w:rFonts w:ascii="TH Sarabun New" w:hAnsi="TH Sarabun New" w:eastAsia="TH Sarabun New"/>
                <w:b w:val="0"/>
                <w:sz w:val="17"/>
              </w:rPr>
              <w:t>สินทรัพย์หมุนเวียนอื่น</w:t>
            </w:r>
          </w:p>
        </w:tc>
        <w:tc>
          <w:tcPr>
            <w:tcW w:type="dxa" w:w="1070"/>
            <w:vAlign w:val="center"/>
          </w:tcPr>
          <w:p>
            <w:pPr>
              <w:spacing w:before="0" w:after="0" w:line="240" w:lineRule="auto"/>
              <w:jc w:val="center"/>
            </w:pPr>
            <w:r>
              <w:rPr>
                <w:rFonts w:ascii="TH Sarabun New" w:hAnsi="TH Sarabun New" w:eastAsia="TH Sarabun New"/>
                <w:b w:val="0"/>
                <w:sz w:val="17"/>
              </w:rPr>
              <w:t>7.30</w:t>
            </w:r>
          </w:p>
        </w:tc>
        <w:tc>
          <w:tcPr>
            <w:tcW w:type="dxa" w:w="1070"/>
            <w:vAlign w:val="center"/>
          </w:tcPr>
          <w:p>
            <w:pPr>
              <w:spacing w:before="0" w:after="0" w:line="240" w:lineRule="auto"/>
              <w:jc w:val="center"/>
            </w:pPr>
            <w:r>
              <w:rPr>
                <w:rFonts w:ascii="TH Sarabun New" w:hAnsi="TH Sarabun New" w:eastAsia="TH Sarabun New"/>
                <w:b w:val="0"/>
                <w:sz w:val="17"/>
              </w:rPr>
              <w:t>7.30</w:t>
            </w:r>
          </w:p>
        </w:tc>
        <w:tc>
          <w:tcPr>
            <w:tcW w:type="dxa" w:w="1070"/>
            <w:vAlign w:val="center"/>
          </w:tcPr>
          <w:p>
            <w:pPr>
              <w:spacing w:before="0" w:after="0" w:line="240" w:lineRule="auto"/>
              <w:jc w:val="center"/>
            </w:pPr>
            <w:r>
              <w:rPr>
                <w:rFonts w:ascii="TH Sarabun New" w:hAnsi="TH Sarabun New" w:eastAsia="TH Sarabun New"/>
                <w:b w:val="0"/>
                <w:sz w:val="17"/>
              </w:rPr>
              <w:t>7.30</w:t>
            </w:r>
          </w:p>
        </w:tc>
        <w:tc>
          <w:tcPr>
            <w:tcW w:type="dxa" w:w="1070"/>
            <w:vAlign w:val="center"/>
          </w:tcPr>
          <w:p>
            <w:pPr>
              <w:spacing w:before="0" w:after="0" w:line="240" w:lineRule="auto"/>
              <w:jc w:val="center"/>
            </w:pPr>
            <w:r>
              <w:rPr>
                <w:rFonts w:ascii="TH Sarabun New" w:hAnsi="TH Sarabun New" w:eastAsia="TH Sarabun New"/>
                <w:b w:val="0"/>
                <w:sz w:val="17"/>
              </w:rPr>
              <w:t>7.30</w:t>
            </w:r>
          </w:p>
        </w:tc>
        <w:tc>
          <w:tcPr>
            <w:tcW w:type="dxa" w:w="1070"/>
            <w:vAlign w:val="center"/>
          </w:tcPr>
          <w:p>
            <w:pPr>
              <w:spacing w:before="0" w:after="0" w:line="240" w:lineRule="auto"/>
              <w:jc w:val="center"/>
            </w:pPr>
            <w:r>
              <w:rPr>
                <w:rFonts w:ascii="TH Sarabun New" w:hAnsi="TH Sarabun New" w:eastAsia="TH Sarabun New"/>
                <w:b w:val="0"/>
                <w:sz w:val="17"/>
              </w:rPr>
              <w:t>7.30</w:t>
            </w:r>
          </w:p>
        </w:tc>
        <w:tc>
          <w:tcPr>
            <w:tcW w:type="dxa" w:w="1070"/>
            <w:vAlign w:val="center"/>
          </w:tcPr>
          <w:p>
            <w:pPr>
              <w:spacing w:before="0" w:after="0" w:line="240" w:lineRule="auto"/>
              <w:jc w:val="center"/>
            </w:pPr>
            <w:r>
              <w:rPr>
                <w:rFonts w:ascii="TH Sarabun New" w:hAnsi="TH Sarabun New" w:eastAsia="TH Sarabun New"/>
                <w:b w:val="0"/>
                <w:sz w:val="17"/>
              </w:rPr>
              <w:t>สมมติฐาน</w:t>
            </w:r>
          </w:p>
        </w:tc>
      </w:tr>
      <w:tr>
        <w:trPr/>
        <w:tc>
          <w:tcPr>
            <w:tcW w:type="dxa" w:w="2600"/>
            <w:vAlign w:val="center"/>
            <w:shd w:fill="FCE4D6"/>
          </w:tcPr>
          <w:p>
            <w:pPr>
              <w:spacing w:before="0" w:after="0" w:line="240" w:lineRule="auto"/>
              <w:jc w:val="left"/>
            </w:pPr>
            <w:r>
              <w:rPr>
                <w:rFonts w:ascii="TH Sarabun New" w:hAnsi="TH Sarabun New" w:eastAsia="TH Sarabun New"/>
                <w:b w:val="0"/>
                <w:sz w:val="17"/>
              </w:rPr>
              <w:t>รวมสินทรัพย์หมุนเวียน</w:t>
            </w:r>
          </w:p>
        </w:tc>
        <w:tc>
          <w:tcPr>
            <w:tcW w:type="dxa" w:w="1070"/>
            <w:vAlign w:val="center"/>
            <w:shd w:fill="FCE4D6"/>
          </w:tcPr>
          <w:p>
            <w:pPr>
              <w:spacing w:before="0" w:after="0" w:line="240" w:lineRule="auto"/>
              <w:jc w:val="center"/>
            </w:pPr>
            <w:r>
              <w:rPr>
                <w:rFonts w:ascii="TH Sarabun New" w:hAnsi="TH Sarabun New" w:eastAsia="TH Sarabun New"/>
                <w:b w:val="0"/>
                <w:sz w:val="17"/>
              </w:rPr>
              <w:t>683.67</w:t>
            </w:r>
          </w:p>
        </w:tc>
        <w:tc>
          <w:tcPr>
            <w:tcW w:type="dxa" w:w="1070"/>
            <w:vAlign w:val="center"/>
            <w:shd w:fill="FCE4D6"/>
          </w:tcPr>
          <w:p>
            <w:pPr>
              <w:spacing w:before="0" w:after="0" w:line="240" w:lineRule="auto"/>
              <w:jc w:val="center"/>
            </w:pPr>
            <w:r>
              <w:rPr>
                <w:rFonts w:ascii="TH Sarabun New" w:hAnsi="TH Sarabun New" w:eastAsia="TH Sarabun New"/>
                <w:b w:val="0"/>
                <w:sz w:val="17"/>
              </w:rPr>
              <w:t>668.87</w:t>
            </w:r>
          </w:p>
        </w:tc>
        <w:tc>
          <w:tcPr>
            <w:tcW w:type="dxa" w:w="1070"/>
            <w:vAlign w:val="center"/>
            <w:shd w:fill="FCE4D6"/>
          </w:tcPr>
          <w:p>
            <w:pPr>
              <w:spacing w:before="0" w:after="0" w:line="240" w:lineRule="auto"/>
              <w:jc w:val="center"/>
            </w:pPr>
            <w:r>
              <w:rPr>
                <w:rFonts w:ascii="TH Sarabun New" w:hAnsi="TH Sarabun New" w:eastAsia="TH Sarabun New"/>
                <w:b w:val="0"/>
                <w:sz w:val="17"/>
              </w:rPr>
              <w:t>650.84</w:t>
            </w:r>
          </w:p>
        </w:tc>
        <w:tc>
          <w:tcPr>
            <w:tcW w:type="dxa" w:w="1070"/>
            <w:vAlign w:val="center"/>
            <w:shd w:fill="FCE4D6"/>
          </w:tcPr>
          <w:p>
            <w:pPr>
              <w:spacing w:before="0" w:after="0" w:line="240" w:lineRule="auto"/>
              <w:jc w:val="center"/>
            </w:pPr>
            <w:r>
              <w:rPr>
                <w:rFonts w:ascii="TH Sarabun New" w:hAnsi="TH Sarabun New" w:eastAsia="TH Sarabun New"/>
                <w:b w:val="0"/>
                <w:sz w:val="17"/>
              </w:rPr>
              <w:t>639.76</w:t>
            </w:r>
          </w:p>
        </w:tc>
        <w:tc>
          <w:tcPr>
            <w:tcW w:type="dxa" w:w="1070"/>
            <w:vAlign w:val="center"/>
            <w:shd w:fill="FCE4D6"/>
          </w:tcPr>
          <w:p>
            <w:pPr>
              <w:spacing w:before="0" w:after="0" w:line="240" w:lineRule="auto"/>
              <w:jc w:val="center"/>
            </w:pPr>
            <w:r>
              <w:rPr>
                <w:rFonts w:ascii="TH Sarabun New" w:hAnsi="TH Sarabun New" w:eastAsia="TH Sarabun New"/>
                <w:b w:val="0"/>
                <w:sz w:val="17"/>
              </w:rPr>
              <w:t>636.62</w:t>
            </w:r>
          </w:p>
        </w:tc>
        <w:tc>
          <w:tcPr>
            <w:tcW w:type="dxa" w:w="1070"/>
            <w:vAlign w:val="center"/>
            <w:shd w:fill="FCE4D6"/>
          </w:tcPr>
          <w:p>
            <w:pPr>
              <w:spacing w:before="0" w:after="0" w:line="240" w:lineRule="auto"/>
              <w:jc w:val="center"/>
            </w:pPr>
            <w:r>
              <w:rPr>
                <w:rFonts w:ascii="TH Sarabun New" w:hAnsi="TH Sarabun New" w:eastAsia="TH Sarabun New"/>
                <w:b w:val="0"/>
                <w:sz w:val="17"/>
              </w:rPr>
              <w:t>คำนวณ</w:t>
            </w:r>
          </w:p>
        </w:tc>
      </w:tr>
      <w:tr>
        <w:trPr/>
        <w:tc>
          <w:tcPr>
            <w:tcW w:type="dxa" w:w="1070"/>
            <w:gridSpan w:val="7"/>
            <w:vAlign w:val="center"/>
            <w:shd w:fill="F2F2F2"/>
          </w:tcPr>
          <w:p>
            <w:pPr>
              <w:spacing w:before="0" w:after="0" w:line="240" w:lineRule="auto"/>
              <w:jc w:val="center"/>
            </w:pPr>
            <w:r>
              <w:rPr>
                <w:rFonts w:ascii="TH Sarabun New" w:hAnsi="TH Sarabun New" w:eastAsia="TH Sarabun New"/>
                <w:b w:val="0"/>
                <w:sz w:val="17"/>
              </w:rPr>
              <w:t>สินทรัพย์ไม่หมุนเวียน</w:t>
            </w:r>
          </w:p>
        </w:tc>
      </w:tr>
      <w:tr>
        <w:trPr/>
        <w:tc>
          <w:tcPr>
            <w:tcW w:type="dxa" w:w="2600"/>
            <w:vAlign w:val="center"/>
          </w:tcPr>
          <w:p>
            <w:pPr>
              <w:spacing w:before="0" w:after="0" w:line="240" w:lineRule="auto"/>
              <w:jc w:val="left"/>
            </w:pPr>
            <w:r>
              <w:rPr>
                <w:rFonts w:ascii="TH Sarabun New" w:hAnsi="TH Sarabun New" w:eastAsia="TH Sarabun New"/>
                <w:b w:val="0"/>
                <w:sz w:val="17"/>
              </w:rPr>
              <w:t>สินทรัพย์ทางการเงินไม่หมุนเวียน</w:t>
            </w:r>
          </w:p>
        </w:tc>
        <w:tc>
          <w:tcPr>
            <w:tcW w:type="dxa" w:w="1070"/>
            <w:vAlign w:val="center"/>
          </w:tcPr>
          <w:p>
            <w:pPr>
              <w:spacing w:before="0" w:after="0" w:line="240" w:lineRule="auto"/>
              <w:jc w:val="center"/>
            </w:pPr>
            <w:r>
              <w:rPr>
                <w:rFonts w:ascii="TH Sarabun New" w:hAnsi="TH Sarabun New" w:eastAsia="TH Sarabun New"/>
                <w:b w:val="0"/>
                <w:sz w:val="17"/>
              </w:rPr>
              <w:t>674.98</w:t>
            </w:r>
          </w:p>
        </w:tc>
        <w:tc>
          <w:tcPr>
            <w:tcW w:type="dxa" w:w="1070"/>
            <w:vAlign w:val="center"/>
          </w:tcPr>
          <w:p>
            <w:pPr>
              <w:spacing w:before="0" w:after="0" w:line="240" w:lineRule="auto"/>
              <w:jc w:val="center"/>
            </w:pPr>
            <w:r>
              <w:rPr>
                <w:rFonts w:ascii="TH Sarabun New" w:hAnsi="TH Sarabun New" w:eastAsia="TH Sarabun New"/>
                <w:b w:val="0"/>
                <w:sz w:val="17"/>
              </w:rPr>
              <w:t>718.70</w:t>
            </w:r>
          </w:p>
        </w:tc>
        <w:tc>
          <w:tcPr>
            <w:tcW w:type="dxa" w:w="1070"/>
            <w:vAlign w:val="center"/>
          </w:tcPr>
          <w:p>
            <w:pPr>
              <w:spacing w:before="0" w:after="0" w:line="240" w:lineRule="auto"/>
              <w:jc w:val="center"/>
            </w:pPr>
            <w:r>
              <w:rPr>
                <w:rFonts w:ascii="TH Sarabun New" w:hAnsi="TH Sarabun New" w:eastAsia="TH Sarabun New"/>
                <w:b w:val="0"/>
                <w:sz w:val="17"/>
              </w:rPr>
              <w:t>751.30</w:t>
            </w:r>
          </w:p>
        </w:tc>
        <w:tc>
          <w:tcPr>
            <w:tcW w:type="dxa" w:w="1070"/>
            <w:vAlign w:val="center"/>
          </w:tcPr>
          <w:p>
            <w:pPr>
              <w:spacing w:before="0" w:after="0" w:line="240" w:lineRule="auto"/>
              <w:jc w:val="center"/>
            </w:pPr>
            <w:r>
              <w:rPr>
                <w:rFonts w:ascii="TH Sarabun New" w:hAnsi="TH Sarabun New" w:eastAsia="TH Sarabun New"/>
                <w:b w:val="0"/>
                <w:sz w:val="17"/>
              </w:rPr>
              <w:t>777.46</w:t>
            </w:r>
          </w:p>
        </w:tc>
        <w:tc>
          <w:tcPr>
            <w:tcW w:type="dxa" w:w="1070"/>
            <w:vAlign w:val="center"/>
          </w:tcPr>
          <w:p>
            <w:pPr>
              <w:spacing w:before="0" w:after="0" w:line="240" w:lineRule="auto"/>
              <w:jc w:val="center"/>
            </w:pPr>
            <w:r>
              <w:rPr>
                <w:rFonts w:ascii="TH Sarabun New" w:hAnsi="TH Sarabun New" w:eastAsia="TH Sarabun New"/>
                <w:b w:val="0"/>
                <w:sz w:val="17"/>
              </w:rPr>
              <w:t>812.95</w:t>
            </w:r>
          </w:p>
        </w:tc>
        <w:tc>
          <w:tcPr>
            <w:tcW w:type="dxa" w:w="1070"/>
            <w:vAlign w:val="center"/>
          </w:tcPr>
          <w:p>
            <w:pPr>
              <w:spacing w:before="0" w:after="0" w:line="240" w:lineRule="auto"/>
              <w:jc w:val="center"/>
            </w:pPr>
            <w:r>
              <w:rPr>
                <w:rFonts w:ascii="TH Sarabun New" w:hAnsi="TH Sarabun New" w:eastAsia="TH Sarabun New"/>
                <w:b w:val="0"/>
                <w:sz w:val="17"/>
              </w:rPr>
              <w:t>residual × 72.5%</w:t>
            </w:r>
          </w:p>
        </w:tc>
      </w:tr>
      <w:tr>
        <w:trPr/>
        <w:tc>
          <w:tcPr>
            <w:tcW w:type="dxa" w:w="2600"/>
            <w:vAlign w:val="center"/>
          </w:tcPr>
          <w:p>
            <w:pPr>
              <w:spacing w:before="0" w:after="0" w:line="240" w:lineRule="auto"/>
              <w:jc w:val="left"/>
            </w:pPr>
            <w:r>
              <w:rPr>
                <w:rFonts w:ascii="TH Sarabun New" w:hAnsi="TH Sarabun New" w:eastAsia="TH Sarabun New"/>
                <w:b w:val="0"/>
                <w:sz w:val="17"/>
              </w:rPr>
              <w:t>ที่ดิน อาคารและอุปกรณ์</w:t>
            </w:r>
          </w:p>
        </w:tc>
        <w:tc>
          <w:tcPr>
            <w:tcW w:type="dxa" w:w="1070"/>
            <w:vAlign w:val="center"/>
          </w:tcPr>
          <w:p>
            <w:pPr>
              <w:spacing w:before="0" w:after="0" w:line="240" w:lineRule="auto"/>
              <w:jc w:val="center"/>
            </w:pPr>
            <w:r>
              <w:rPr>
                <w:rFonts w:ascii="TH Sarabun New" w:hAnsi="TH Sarabun New" w:eastAsia="TH Sarabun New"/>
                <w:b w:val="0"/>
                <w:sz w:val="17"/>
              </w:rPr>
              <w:t>169.18</w:t>
            </w:r>
          </w:p>
        </w:tc>
        <w:tc>
          <w:tcPr>
            <w:tcW w:type="dxa" w:w="1070"/>
            <w:vAlign w:val="center"/>
          </w:tcPr>
          <w:p>
            <w:pPr>
              <w:spacing w:before="0" w:after="0" w:line="240" w:lineRule="auto"/>
              <w:jc w:val="center"/>
            </w:pPr>
            <w:r>
              <w:rPr>
                <w:rFonts w:ascii="TH Sarabun New" w:hAnsi="TH Sarabun New" w:eastAsia="TH Sarabun New"/>
                <w:b w:val="0"/>
                <w:sz w:val="17"/>
              </w:rPr>
              <w:t>172.18</w:t>
            </w:r>
          </w:p>
        </w:tc>
        <w:tc>
          <w:tcPr>
            <w:tcW w:type="dxa" w:w="1070"/>
            <w:vAlign w:val="center"/>
          </w:tcPr>
          <w:p>
            <w:pPr>
              <w:spacing w:before="0" w:after="0" w:line="240" w:lineRule="auto"/>
              <w:jc w:val="center"/>
            </w:pPr>
            <w:r>
              <w:rPr>
                <w:rFonts w:ascii="TH Sarabun New" w:hAnsi="TH Sarabun New" w:eastAsia="TH Sarabun New"/>
                <w:b w:val="0"/>
                <w:sz w:val="17"/>
              </w:rPr>
              <w:t>193.18</w:t>
            </w:r>
          </w:p>
        </w:tc>
        <w:tc>
          <w:tcPr>
            <w:tcW w:type="dxa" w:w="1070"/>
            <w:vAlign w:val="center"/>
          </w:tcPr>
          <w:p>
            <w:pPr>
              <w:spacing w:before="0" w:after="0" w:line="240" w:lineRule="auto"/>
              <w:jc w:val="center"/>
            </w:pPr>
            <w:r>
              <w:rPr>
                <w:rFonts w:ascii="TH Sarabun New" w:hAnsi="TH Sarabun New" w:eastAsia="TH Sarabun New"/>
                <w:b w:val="0"/>
                <w:sz w:val="17"/>
              </w:rPr>
              <w:t>216.18</w:t>
            </w:r>
          </w:p>
        </w:tc>
        <w:tc>
          <w:tcPr>
            <w:tcW w:type="dxa" w:w="1070"/>
            <w:vAlign w:val="center"/>
          </w:tcPr>
          <w:p>
            <w:pPr>
              <w:spacing w:before="0" w:after="0" w:line="240" w:lineRule="auto"/>
              <w:jc w:val="center"/>
            </w:pPr>
            <w:r>
              <w:rPr>
                <w:rFonts w:ascii="TH Sarabun New" w:hAnsi="TH Sarabun New" w:eastAsia="TH Sarabun New"/>
                <w:b w:val="0"/>
                <w:sz w:val="17"/>
              </w:rPr>
              <w:t>227.18</w:t>
            </w:r>
          </w:p>
        </w:tc>
        <w:tc>
          <w:tcPr>
            <w:tcW w:type="dxa" w:w="1070"/>
            <w:vAlign w:val="center"/>
          </w:tcPr>
          <w:p>
            <w:pPr>
              <w:spacing w:before="0" w:after="0" w:line="240" w:lineRule="auto"/>
              <w:jc w:val="center"/>
            </w:pPr>
            <w:r>
              <w:rPr>
                <w:rFonts w:ascii="TH Sarabun New" w:hAnsi="TH Sarabun New" w:eastAsia="TH Sarabun New"/>
                <w:b w:val="0"/>
                <w:sz w:val="17"/>
              </w:rPr>
              <w:t>Opening + Capex − Dep.</w:t>
            </w:r>
          </w:p>
        </w:tc>
      </w:tr>
      <w:tr>
        <w:trPr/>
        <w:tc>
          <w:tcPr>
            <w:tcW w:type="dxa" w:w="2600"/>
            <w:vAlign w:val="center"/>
          </w:tcPr>
          <w:p>
            <w:pPr>
              <w:spacing w:before="0" w:after="0" w:line="240" w:lineRule="auto"/>
              <w:jc w:val="left"/>
            </w:pPr>
            <w:r>
              <w:rPr>
                <w:rFonts w:ascii="TH Sarabun New" w:hAnsi="TH Sarabun New" w:eastAsia="TH Sarabun New"/>
                <w:b w:val="0"/>
                <w:sz w:val="17"/>
              </w:rPr>
              <w:t>สินทรัพย์ไม่หมุนเวียนอื่น</w:t>
            </w:r>
          </w:p>
        </w:tc>
        <w:tc>
          <w:tcPr>
            <w:tcW w:type="dxa" w:w="1070"/>
            <w:vAlign w:val="center"/>
          </w:tcPr>
          <w:p>
            <w:pPr>
              <w:spacing w:before="0" w:after="0" w:line="240" w:lineRule="auto"/>
              <w:jc w:val="center"/>
            </w:pPr>
            <w:r>
              <w:rPr>
                <w:rFonts w:ascii="TH Sarabun New" w:hAnsi="TH Sarabun New" w:eastAsia="TH Sarabun New"/>
                <w:b w:val="0"/>
                <w:sz w:val="17"/>
              </w:rPr>
              <w:t>22.67</w:t>
            </w:r>
          </w:p>
        </w:tc>
        <w:tc>
          <w:tcPr>
            <w:tcW w:type="dxa" w:w="1070"/>
            <w:vAlign w:val="center"/>
          </w:tcPr>
          <w:p>
            <w:pPr>
              <w:spacing w:before="0" w:after="0" w:line="240" w:lineRule="auto"/>
              <w:jc w:val="center"/>
            </w:pPr>
            <w:r>
              <w:rPr>
                <w:rFonts w:ascii="TH Sarabun New" w:hAnsi="TH Sarabun New" w:eastAsia="TH Sarabun New"/>
                <w:b w:val="0"/>
                <w:sz w:val="17"/>
              </w:rPr>
              <w:t>21.67</w:t>
            </w:r>
          </w:p>
        </w:tc>
        <w:tc>
          <w:tcPr>
            <w:tcW w:type="dxa" w:w="1070"/>
            <w:vAlign w:val="center"/>
          </w:tcPr>
          <w:p>
            <w:pPr>
              <w:spacing w:before="0" w:after="0" w:line="240" w:lineRule="auto"/>
              <w:jc w:val="center"/>
            </w:pPr>
            <w:r>
              <w:rPr>
                <w:rFonts w:ascii="TH Sarabun New" w:hAnsi="TH Sarabun New" w:eastAsia="TH Sarabun New"/>
                <w:b w:val="0"/>
                <w:sz w:val="17"/>
              </w:rPr>
              <w:t>20.67</w:t>
            </w:r>
          </w:p>
        </w:tc>
        <w:tc>
          <w:tcPr>
            <w:tcW w:type="dxa" w:w="1070"/>
            <w:vAlign w:val="center"/>
          </w:tcPr>
          <w:p>
            <w:pPr>
              <w:spacing w:before="0" w:after="0" w:line="240" w:lineRule="auto"/>
              <w:jc w:val="center"/>
            </w:pPr>
            <w:r>
              <w:rPr>
                <w:rFonts w:ascii="TH Sarabun New" w:hAnsi="TH Sarabun New" w:eastAsia="TH Sarabun New"/>
                <w:b w:val="0"/>
                <w:sz w:val="17"/>
              </w:rPr>
              <w:t>19.67</w:t>
            </w:r>
          </w:p>
        </w:tc>
        <w:tc>
          <w:tcPr>
            <w:tcW w:type="dxa" w:w="1070"/>
            <w:vAlign w:val="center"/>
          </w:tcPr>
          <w:p>
            <w:pPr>
              <w:spacing w:before="0" w:after="0" w:line="240" w:lineRule="auto"/>
              <w:jc w:val="center"/>
            </w:pPr>
            <w:r>
              <w:rPr>
                <w:rFonts w:ascii="TH Sarabun New" w:hAnsi="TH Sarabun New" w:eastAsia="TH Sarabun New"/>
                <w:b w:val="0"/>
                <w:sz w:val="17"/>
              </w:rPr>
              <w:t>18.67</w:t>
            </w:r>
          </w:p>
        </w:tc>
        <w:tc>
          <w:tcPr>
            <w:tcW w:type="dxa" w:w="1070"/>
            <w:vAlign w:val="center"/>
          </w:tcPr>
          <w:p>
            <w:pPr>
              <w:spacing w:before="0" w:after="0" w:line="240" w:lineRule="auto"/>
              <w:jc w:val="center"/>
            </w:pPr>
            <w:r>
              <w:rPr>
                <w:rFonts w:ascii="TH Sarabun New" w:hAnsi="TH Sarabun New" w:eastAsia="TH Sarabun New"/>
                <w:b w:val="0"/>
                <w:sz w:val="17"/>
              </w:rPr>
              <w:t>สมมติฐาน</w:t>
            </w:r>
          </w:p>
        </w:tc>
      </w:tr>
      <w:tr>
        <w:trPr/>
        <w:tc>
          <w:tcPr>
            <w:tcW w:type="dxa" w:w="2600"/>
            <w:vAlign w:val="center"/>
            <w:shd w:fill="FCE4D6"/>
          </w:tcPr>
          <w:p>
            <w:pPr>
              <w:spacing w:before="0" w:after="0" w:line="240" w:lineRule="auto"/>
              <w:jc w:val="left"/>
            </w:pPr>
            <w:r>
              <w:rPr>
                <w:rFonts w:ascii="TH Sarabun New" w:hAnsi="TH Sarabun New" w:eastAsia="TH Sarabun New"/>
                <w:b w:val="0"/>
                <w:sz w:val="17"/>
              </w:rPr>
              <w:t>รวมสินทรัพย์ไม่หมุนเวียน</w:t>
            </w:r>
          </w:p>
        </w:tc>
        <w:tc>
          <w:tcPr>
            <w:tcW w:type="dxa" w:w="1070"/>
            <w:vAlign w:val="center"/>
            <w:shd w:fill="FCE4D6"/>
          </w:tcPr>
          <w:p>
            <w:pPr>
              <w:spacing w:before="0" w:after="0" w:line="240" w:lineRule="auto"/>
              <w:jc w:val="center"/>
            </w:pPr>
            <w:r>
              <w:rPr>
                <w:rFonts w:ascii="TH Sarabun New" w:hAnsi="TH Sarabun New" w:eastAsia="TH Sarabun New"/>
                <w:b w:val="0"/>
                <w:sz w:val="17"/>
              </w:rPr>
              <w:t>866.82</w:t>
            </w:r>
          </w:p>
        </w:tc>
        <w:tc>
          <w:tcPr>
            <w:tcW w:type="dxa" w:w="1070"/>
            <w:vAlign w:val="center"/>
            <w:shd w:fill="FCE4D6"/>
          </w:tcPr>
          <w:p>
            <w:pPr>
              <w:spacing w:before="0" w:after="0" w:line="240" w:lineRule="auto"/>
              <w:jc w:val="center"/>
            </w:pPr>
            <w:r>
              <w:rPr>
                <w:rFonts w:ascii="TH Sarabun New" w:hAnsi="TH Sarabun New" w:eastAsia="TH Sarabun New"/>
                <w:b w:val="0"/>
                <w:sz w:val="17"/>
              </w:rPr>
              <w:t>912.55</w:t>
            </w:r>
          </w:p>
        </w:tc>
        <w:tc>
          <w:tcPr>
            <w:tcW w:type="dxa" w:w="1070"/>
            <w:vAlign w:val="center"/>
            <w:shd w:fill="FCE4D6"/>
          </w:tcPr>
          <w:p>
            <w:pPr>
              <w:spacing w:before="0" w:after="0" w:line="240" w:lineRule="auto"/>
              <w:jc w:val="center"/>
            </w:pPr>
            <w:r>
              <w:rPr>
                <w:rFonts w:ascii="TH Sarabun New" w:hAnsi="TH Sarabun New" w:eastAsia="TH Sarabun New"/>
                <w:b w:val="0"/>
                <w:sz w:val="17"/>
              </w:rPr>
              <w:t>965.15</w:t>
            </w:r>
          </w:p>
        </w:tc>
        <w:tc>
          <w:tcPr>
            <w:tcW w:type="dxa" w:w="1070"/>
            <w:vAlign w:val="center"/>
            <w:shd w:fill="FCE4D6"/>
          </w:tcPr>
          <w:p>
            <w:pPr>
              <w:spacing w:before="0" w:after="0" w:line="240" w:lineRule="auto"/>
              <w:jc w:val="center"/>
            </w:pPr>
            <w:r>
              <w:rPr>
                <w:rFonts w:ascii="TH Sarabun New" w:hAnsi="TH Sarabun New" w:eastAsia="TH Sarabun New"/>
                <w:b w:val="0"/>
                <w:sz w:val="17"/>
              </w:rPr>
              <w:t>1,013.31</w:t>
            </w:r>
          </w:p>
        </w:tc>
        <w:tc>
          <w:tcPr>
            <w:tcW w:type="dxa" w:w="1070"/>
            <w:vAlign w:val="center"/>
            <w:shd w:fill="FCE4D6"/>
          </w:tcPr>
          <w:p>
            <w:pPr>
              <w:spacing w:before="0" w:after="0" w:line="240" w:lineRule="auto"/>
              <w:jc w:val="center"/>
            </w:pPr>
            <w:r>
              <w:rPr>
                <w:rFonts w:ascii="TH Sarabun New" w:hAnsi="TH Sarabun New" w:eastAsia="TH Sarabun New"/>
                <w:b w:val="0"/>
                <w:sz w:val="17"/>
              </w:rPr>
              <w:t>1,058.80</w:t>
            </w:r>
          </w:p>
        </w:tc>
        <w:tc>
          <w:tcPr>
            <w:tcW w:type="dxa" w:w="1070"/>
            <w:vAlign w:val="center"/>
            <w:shd w:fill="FCE4D6"/>
          </w:tcPr>
          <w:p>
            <w:pPr>
              <w:spacing w:before="0" w:after="0" w:line="240" w:lineRule="auto"/>
              <w:jc w:val="center"/>
            </w:pPr>
            <w:r>
              <w:rPr>
                <w:rFonts w:ascii="TH Sarabun New" w:hAnsi="TH Sarabun New" w:eastAsia="TH Sarabun New"/>
                <w:b w:val="0"/>
                <w:sz w:val="17"/>
              </w:rPr>
              <w:t>คำนวณ</w:t>
            </w:r>
          </w:p>
        </w:tc>
      </w:tr>
      <w:tr>
        <w:trPr/>
        <w:tc>
          <w:tcPr>
            <w:tcW w:type="dxa" w:w="2600"/>
            <w:vAlign w:val="center"/>
            <w:shd w:fill="FCE4D6"/>
          </w:tcPr>
          <w:p>
            <w:pPr>
              <w:spacing w:before="0" w:after="0" w:line="240" w:lineRule="auto"/>
              <w:jc w:val="left"/>
            </w:pPr>
            <w:r>
              <w:rPr>
                <w:rFonts w:ascii="TH Sarabun New" w:hAnsi="TH Sarabun New" w:eastAsia="TH Sarabun New"/>
                <w:b w:val="0"/>
                <w:sz w:val="17"/>
              </w:rPr>
              <w:t>รวมสินทรัพย์</w:t>
            </w:r>
          </w:p>
        </w:tc>
        <w:tc>
          <w:tcPr>
            <w:tcW w:type="dxa" w:w="1070"/>
            <w:vAlign w:val="center"/>
            <w:shd w:fill="FCE4D6"/>
          </w:tcPr>
          <w:p>
            <w:pPr>
              <w:spacing w:before="0" w:after="0" w:line="240" w:lineRule="auto"/>
              <w:jc w:val="center"/>
            </w:pPr>
            <w:r>
              <w:rPr>
                <w:rFonts w:ascii="TH Sarabun New" w:hAnsi="TH Sarabun New" w:eastAsia="TH Sarabun New"/>
                <w:b w:val="0"/>
                <w:sz w:val="17"/>
              </w:rPr>
              <w:t>1,550.49</w:t>
            </w:r>
          </w:p>
        </w:tc>
        <w:tc>
          <w:tcPr>
            <w:tcW w:type="dxa" w:w="1070"/>
            <w:vAlign w:val="center"/>
            <w:shd w:fill="FCE4D6"/>
          </w:tcPr>
          <w:p>
            <w:pPr>
              <w:spacing w:before="0" w:after="0" w:line="240" w:lineRule="auto"/>
              <w:jc w:val="center"/>
            </w:pPr>
            <w:r>
              <w:rPr>
                <w:rFonts w:ascii="TH Sarabun New" w:hAnsi="TH Sarabun New" w:eastAsia="TH Sarabun New"/>
                <w:b w:val="0"/>
                <w:sz w:val="17"/>
              </w:rPr>
              <w:t>1,581.42</w:t>
            </w:r>
          </w:p>
        </w:tc>
        <w:tc>
          <w:tcPr>
            <w:tcW w:type="dxa" w:w="1070"/>
            <w:vAlign w:val="center"/>
            <w:shd w:fill="FCE4D6"/>
          </w:tcPr>
          <w:p>
            <w:pPr>
              <w:spacing w:before="0" w:after="0" w:line="240" w:lineRule="auto"/>
              <w:jc w:val="center"/>
            </w:pPr>
            <w:r>
              <w:rPr>
                <w:rFonts w:ascii="TH Sarabun New" w:hAnsi="TH Sarabun New" w:eastAsia="TH Sarabun New"/>
                <w:b w:val="0"/>
                <w:sz w:val="17"/>
              </w:rPr>
              <w:t>1,615.99</w:t>
            </w:r>
          </w:p>
        </w:tc>
        <w:tc>
          <w:tcPr>
            <w:tcW w:type="dxa" w:w="1070"/>
            <w:vAlign w:val="center"/>
            <w:shd w:fill="FCE4D6"/>
          </w:tcPr>
          <w:p>
            <w:pPr>
              <w:spacing w:before="0" w:after="0" w:line="240" w:lineRule="auto"/>
              <w:jc w:val="center"/>
            </w:pPr>
            <w:r>
              <w:rPr>
                <w:rFonts w:ascii="TH Sarabun New" w:hAnsi="TH Sarabun New" w:eastAsia="TH Sarabun New"/>
                <w:b w:val="0"/>
                <w:sz w:val="17"/>
              </w:rPr>
              <w:t>1,653.07</w:t>
            </w:r>
          </w:p>
        </w:tc>
        <w:tc>
          <w:tcPr>
            <w:tcW w:type="dxa" w:w="1070"/>
            <w:vAlign w:val="center"/>
            <w:shd w:fill="FCE4D6"/>
          </w:tcPr>
          <w:p>
            <w:pPr>
              <w:spacing w:before="0" w:after="0" w:line="240" w:lineRule="auto"/>
              <w:jc w:val="center"/>
            </w:pPr>
            <w:r>
              <w:rPr>
                <w:rFonts w:ascii="TH Sarabun New" w:hAnsi="TH Sarabun New" w:eastAsia="TH Sarabun New"/>
                <w:b w:val="0"/>
                <w:sz w:val="17"/>
              </w:rPr>
              <w:t>1,695.42</w:t>
            </w:r>
          </w:p>
        </w:tc>
        <w:tc>
          <w:tcPr>
            <w:tcW w:type="dxa" w:w="1070"/>
            <w:vAlign w:val="center"/>
            <w:shd w:fill="FCE4D6"/>
          </w:tcPr>
          <w:p>
            <w:pPr>
              <w:spacing w:before="0" w:after="0" w:line="240" w:lineRule="auto"/>
              <w:jc w:val="center"/>
            </w:pPr>
            <w:r>
              <w:rPr>
                <w:rFonts w:ascii="TH Sarabun New" w:hAnsi="TH Sarabun New" w:eastAsia="TH Sarabun New"/>
                <w:b w:val="0"/>
                <w:sz w:val="17"/>
              </w:rPr>
              <w:t>คำนวณ</w:t>
            </w:r>
          </w:p>
        </w:tc>
      </w:tr>
      <w:tr>
        <w:trPr/>
        <w:tc>
          <w:tcPr>
            <w:tcW w:type="dxa" w:w="1070"/>
            <w:gridSpan w:val="7"/>
            <w:vAlign w:val="center"/>
            <w:shd w:fill="F2F2F2"/>
          </w:tcPr>
          <w:p>
            <w:pPr>
              <w:spacing w:before="0" w:after="0" w:line="240" w:lineRule="auto"/>
              <w:jc w:val="center"/>
            </w:pPr>
            <w:r>
              <w:rPr>
                <w:rFonts w:ascii="TH Sarabun New" w:hAnsi="TH Sarabun New" w:eastAsia="TH Sarabun New"/>
                <w:b w:val="0"/>
                <w:sz w:val="17"/>
              </w:rPr>
              <w:t>หนี้สินหมุนเวียน</w:t>
            </w:r>
          </w:p>
        </w:tc>
      </w:tr>
      <w:tr>
        <w:trPr/>
        <w:tc>
          <w:tcPr>
            <w:tcW w:type="dxa" w:w="2600"/>
            <w:vAlign w:val="center"/>
          </w:tcPr>
          <w:p>
            <w:pPr>
              <w:spacing w:before="0" w:after="0" w:line="240" w:lineRule="auto"/>
              <w:jc w:val="left"/>
            </w:pPr>
            <w:r>
              <w:rPr>
                <w:rFonts w:ascii="TH Sarabun New" w:hAnsi="TH Sarabun New" w:eastAsia="TH Sarabun New"/>
                <w:b w:val="0"/>
                <w:sz w:val="17"/>
              </w:rPr>
              <w:t>เจ้าหนี้การค้าและเจ้าหนี้อื่น</w:t>
            </w:r>
          </w:p>
        </w:tc>
        <w:tc>
          <w:tcPr>
            <w:tcW w:type="dxa" w:w="1070"/>
            <w:vAlign w:val="center"/>
          </w:tcPr>
          <w:p>
            <w:pPr>
              <w:spacing w:before="0" w:after="0" w:line="240" w:lineRule="auto"/>
              <w:jc w:val="center"/>
            </w:pPr>
            <w:r>
              <w:rPr>
                <w:rFonts w:ascii="TH Sarabun New" w:hAnsi="TH Sarabun New" w:eastAsia="TH Sarabun New"/>
                <w:b w:val="0"/>
                <w:sz w:val="17"/>
              </w:rPr>
              <w:t>48.41</w:t>
            </w:r>
          </w:p>
        </w:tc>
        <w:tc>
          <w:tcPr>
            <w:tcW w:type="dxa" w:w="1070"/>
            <w:vAlign w:val="center"/>
          </w:tcPr>
          <w:p>
            <w:pPr>
              <w:spacing w:before="0" w:after="0" w:line="240" w:lineRule="auto"/>
              <w:jc w:val="center"/>
            </w:pPr>
            <w:r>
              <w:rPr>
                <w:rFonts w:ascii="TH Sarabun New" w:hAnsi="TH Sarabun New" w:eastAsia="TH Sarabun New"/>
                <w:b w:val="0"/>
                <w:sz w:val="17"/>
              </w:rPr>
              <w:t>52.38</w:t>
            </w:r>
          </w:p>
        </w:tc>
        <w:tc>
          <w:tcPr>
            <w:tcW w:type="dxa" w:w="1070"/>
            <w:vAlign w:val="center"/>
          </w:tcPr>
          <w:p>
            <w:pPr>
              <w:spacing w:before="0" w:after="0" w:line="240" w:lineRule="auto"/>
              <w:jc w:val="center"/>
            </w:pPr>
            <w:r>
              <w:rPr>
                <w:rFonts w:ascii="TH Sarabun New" w:hAnsi="TH Sarabun New" w:eastAsia="TH Sarabun New"/>
                <w:b w:val="0"/>
                <w:sz w:val="17"/>
              </w:rPr>
              <w:t>57.15</w:t>
            </w:r>
          </w:p>
        </w:tc>
        <w:tc>
          <w:tcPr>
            <w:tcW w:type="dxa" w:w="1070"/>
            <w:vAlign w:val="center"/>
          </w:tcPr>
          <w:p>
            <w:pPr>
              <w:spacing w:before="0" w:after="0" w:line="240" w:lineRule="auto"/>
              <w:jc w:val="center"/>
            </w:pPr>
            <w:r>
              <w:rPr>
                <w:rFonts w:ascii="TH Sarabun New" w:hAnsi="TH Sarabun New" w:eastAsia="TH Sarabun New"/>
                <w:b w:val="0"/>
                <w:sz w:val="17"/>
              </w:rPr>
              <w:t>60.81</w:t>
            </w:r>
          </w:p>
        </w:tc>
        <w:tc>
          <w:tcPr>
            <w:tcW w:type="dxa" w:w="1070"/>
            <w:vAlign w:val="center"/>
          </w:tcPr>
          <w:p>
            <w:pPr>
              <w:spacing w:before="0" w:after="0" w:line="240" w:lineRule="auto"/>
              <w:jc w:val="center"/>
            </w:pPr>
            <w:r>
              <w:rPr>
                <w:rFonts w:ascii="TH Sarabun New" w:hAnsi="TH Sarabun New" w:eastAsia="TH Sarabun New"/>
                <w:b w:val="0"/>
                <w:sz w:val="17"/>
              </w:rPr>
              <w:t>64.36</w:t>
            </w:r>
          </w:p>
        </w:tc>
        <w:tc>
          <w:tcPr>
            <w:tcW w:type="dxa" w:w="1070"/>
            <w:vAlign w:val="center"/>
          </w:tcPr>
          <w:p>
            <w:pPr>
              <w:spacing w:before="0" w:after="0" w:line="240" w:lineRule="auto"/>
              <w:jc w:val="center"/>
            </w:pPr>
            <w:r>
              <w:rPr>
                <w:rFonts w:ascii="TH Sarabun New" w:hAnsi="TH Sarabun New" w:eastAsia="TH Sarabun New"/>
                <w:b w:val="0"/>
                <w:sz w:val="17"/>
              </w:rPr>
              <w:t>คำนวณ</w:t>
            </w:r>
          </w:p>
        </w:tc>
      </w:tr>
      <w:tr>
        <w:trPr/>
        <w:tc>
          <w:tcPr>
            <w:tcW w:type="dxa" w:w="2600"/>
            <w:vAlign w:val="center"/>
          </w:tcPr>
          <w:p>
            <w:pPr>
              <w:spacing w:before="0" w:after="0" w:line="240" w:lineRule="auto"/>
              <w:jc w:val="left"/>
            </w:pPr>
            <w:r>
              <w:rPr>
                <w:rFonts w:ascii="TH Sarabun New" w:hAnsi="TH Sarabun New" w:eastAsia="TH Sarabun New"/>
                <w:b w:val="0"/>
                <w:sz w:val="17"/>
              </w:rPr>
              <w:t>หนี้สินเช่าหมุนเวียน</w:t>
            </w:r>
          </w:p>
        </w:tc>
        <w:tc>
          <w:tcPr>
            <w:tcW w:type="dxa" w:w="1070"/>
            <w:vAlign w:val="center"/>
          </w:tcPr>
          <w:p>
            <w:pPr>
              <w:spacing w:before="0" w:after="0" w:line="240" w:lineRule="auto"/>
              <w:jc w:val="center"/>
            </w:pPr>
            <w:r>
              <w:rPr>
                <w:rFonts w:ascii="TH Sarabun New" w:hAnsi="TH Sarabun New" w:eastAsia="TH Sarabun New"/>
                <w:b w:val="0"/>
                <w:sz w:val="17"/>
              </w:rPr>
              <w:t>8.00</w:t>
            </w:r>
          </w:p>
        </w:tc>
        <w:tc>
          <w:tcPr>
            <w:tcW w:type="dxa" w:w="1070"/>
            <w:vAlign w:val="center"/>
          </w:tcPr>
          <w:p>
            <w:pPr>
              <w:spacing w:before="0" w:after="0" w:line="240" w:lineRule="auto"/>
              <w:jc w:val="center"/>
            </w:pPr>
            <w:r>
              <w:rPr>
                <w:rFonts w:ascii="TH Sarabun New" w:hAnsi="TH Sarabun New" w:eastAsia="TH Sarabun New"/>
                <w:b w:val="0"/>
                <w:sz w:val="17"/>
              </w:rPr>
              <w:t>7.00</w:t>
            </w:r>
          </w:p>
        </w:tc>
        <w:tc>
          <w:tcPr>
            <w:tcW w:type="dxa" w:w="1070"/>
            <w:vAlign w:val="center"/>
          </w:tcPr>
          <w:p>
            <w:pPr>
              <w:spacing w:before="0" w:after="0" w:line="240" w:lineRule="auto"/>
              <w:jc w:val="center"/>
            </w:pPr>
            <w:r>
              <w:rPr>
                <w:rFonts w:ascii="TH Sarabun New" w:hAnsi="TH Sarabun New" w:eastAsia="TH Sarabun New"/>
                <w:b w:val="0"/>
                <w:sz w:val="17"/>
              </w:rPr>
              <w:t>6.00</w:t>
            </w:r>
          </w:p>
        </w:tc>
        <w:tc>
          <w:tcPr>
            <w:tcW w:type="dxa" w:w="1070"/>
            <w:vAlign w:val="center"/>
          </w:tcPr>
          <w:p>
            <w:pPr>
              <w:spacing w:before="0" w:after="0" w:line="240" w:lineRule="auto"/>
              <w:jc w:val="center"/>
            </w:pPr>
            <w:r>
              <w:rPr>
                <w:rFonts w:ascii="TH Sarabun New" w:hAnsi="TH Sarabun New" w:eastAsia="TH Sarabun New"/>
                <w:b w:val="0"/>
                <w:sz w:val="17"/>
              </w:rPr>
              <w:t>5.00</w:t>
            </w:r>
          </w:p>
        </w:tc>
        <w:tc>
          <w:tcPr>
            <w:tcW w:type="dxa" w:w="1070"/>
            <w:vAlign w:val="center"/>
          </w:tcPr>
          <w:p>
            <w:pPr>
              <w:spacing w:before="0" w:after="0" w:line="240" w:lineRule="auto"/>
              <w:jc w:val="center"/>
            </w:pPr>
            <w:r>
              <w:rPr>
                <w:rFonts w:ascii="TH Sarabun New" w:hAnsi="TH Sarabun New" w:eastAsia="TH Sarabun New"/>
                <w:b w:val="0"/>
                <w:sz w:val="17"/>
              </w:rPr>
              <w:t>4.00</w:t>
            </w:r>
          </w:p>
        </w:tc>
        <w:tc>
          <w:tcPr>
            <w:tcW w:type="dxa" w:w="1070"/>
            <w:vAlign w:val="center"/>
          </w:tcPr>
          <w:p>
            <w:pPr>
              <w:spacing w:before="0" w:after="0" w:line="240" w:lineRule="auto"/>
              <w:jc w:val="center"/>
            </w:pPr>
            <w:r>
              <w:rPr>
                <w:rFonts w:ascii="TH Sarabun New" w:hAnsi="TH Sarabun New" w:eastAsia="TH Sarabun New"/>
                <w:b w:val="0"/>
                <w:sz w:val="17"/>
              </w:rPr>
              <w:t>สมมติฐาน</w:t>
            </w:r>
          </w:p>
        </w:tc>
      </w:tr>
      <w:tr>
        <w:trPr/>
        <w:tc>
          <w:tcPr>
            <w:tcW w:type="dxa" w:w="2600"/>
            <w:vAlign w:val="center"/>
          </w:tcPr>
          <w:p>
            <w:pPr>
              <w:spacing w:before="0" w:after="0" w:line="240" w:lineRule="auto"/>
              <w:jc w:val="left"/>
            </w:pPr>
            <w:r>
              <w:rPr>
                <w:rFonts w:ascii="TH Sarabun New" w:hAnsi="TH Sarabun New" w:eastAsia="TH Sarabun New"/>
                <w:b w:val="0"/>
                <w:sz w:val="17"/>
              </w:rPr>
              <w:t>หนี้สินหมุนเวียนอื่น</w:t>
            </w:r>
          </w:p>
        </w:tc>
        <w:tc>
          <w:tcPr>
            <w:tcW w:type="dxa" w:w="1070"/>
            <w:vAlign w:val="center"/>
          </w:tcPr>
          <w:p>
            <w:pPr>
              <w:spacing w:before="0" w:after="0" w:line="240" w:lineRule="auto"/>
              <w:jc w:val="center"/>
            </w:pPr>
            <w:r>
              <w:rPr>
                <w:rFonts w:ascii="TH Sarabun New" w:hAnsi="TH Sarabun New" w:eastAsia="TH Sarabun New"/>
                <w:b w:val="0"/>
                <w:sz w:val="17"/>
              </w:rPr>
              <w:t>6.30</w:t>
            </w:r>
          </w:p>
        </w:tc>
        <w:tc>
          <w:tcPr>
            <w:tcW w:type="dxa" w:w="1070"/>
            <w:vAlign w:val="center"/>
          </w:tcPr>
          <w:p>
            <w:pPr>
              <w:spacing w:before="0" w:after="0" w:line="240" w:lineRule="auto"/>
              <w:jc w:val="center"/>
            </w:pPr>
            <w:r>
              <w:rPr>
                <w:rFonts w:ascii="TH Sarabun New" w:hAnsi="TH Sarabun New" w:eastAsia="TH Sarabun New"/>
                <w:b w:val="0"/>
                <w:sz w:val="17"/>
              </w:rPr>
              <w:t>6.30</w:t>
            </w:r>
          </w:p>
        </w:tc>
        <w:tc>
          <w:tcPr>
            <w:tcW w:type="dxa" w:w="1070"/>
            <w:vAlign w:val="center"/>
          </w:tcPr>
          <w:p>
            <w:pPr>
              <w:spacing w:before="0" w:after="0" w:line="240" w:lineRule="auto"/>
              <w:jc w:val="center"/>
            </w:pPr>
            <w:r>
              <w:rPr>
                <w:rFonts w:ascii="TH Sarabun New" w:hAnsi="TH Sarabun New" w:eastAsia="TH Sarabun New"/>
                <w:b w:val="0"/>
                <w:sz w:val="17"/>
              </w:rPr>
              <w:t>6.30</w:t>
            </w:r>
          </w:p>
        </w:tc>
        <w:tc>
          <w:tcPr>
            <w:tcW w:type="dxa" w:w="1070"/>
            <w:vAlign w:val="center"/>
          </w:tcPr>
          <w:p>
            <w:pPr>
              <w:spacing w:before="0" w:after="0" w:line="240" w:lineRule="auto"/>
              <w:jc w:val="center"/>
            </w:pPr>
            <w:r>
              <w:rPr>
                <w:rFonts w:ascii="TH Sarabun New" w:hAnsi="TH Sarabun New" w:eastAsia="TH Sarabun New"/>
                <w:b w:val="0"/>
                <w:sz w:val="17"/>
              </w:rPr>
              <w:t>6.30</w:t>
            </w:r>
          </w:p>
        </w:tc>
        <w:tc>
          <w:tcPr>
            <w:tcW w:type="dxa" w:w="1070"/>
            <w:vAlign w:val="center"/>
          </w:tcPr>
          <w:p>
            <w:pPr>
              <w:spacing w:before="0" w:after="0" w:line="240" w:lineRule="auto"/>
              <w:jc w:val="center"/>
            </w:pPr>
            <w:r>
              <w:rPr>
                <w:rFonts w:ascii="TH Sarabun New" w:hAnsi="TH Sarabun New" w:eastAsia="TH Sarabun New"/>
                <w:b w:val="0"/>
                <w:sz w:val="17"/>
              </w:rPr>
              <w:t>6.30</w:t>
            </w:r>
          </w:p>
        </w:tc>
        <w:tc>
          <w:tcPr>
            <w:tcW w:type="dxa" w:w="1070"/>
            <w:vAlign w:val="center"/>
          </w:tcPr>
          <w:p>
            <w:pPr>
              <w:spacing w:before="0" w:after="0" w:line="240" w:lineRule="auto"/>
              <w:jc w:val="center"/>
            </w:pPr>
            <w:r>
              <w:rPr>
                <w:rFonts w:ascii="TH Sarabun New" w:hAnsi="TH Sarabun New" w:eastAsia="TH Sarabun New"/>
                <w:b w:val="0"/>
                <w:sz w:val="17"/>
              </w:rPr>
              <w:t>สมมติฐาน</w:t>
            </w:r>
          </w:p>
        </w:tc>
      </w:tr>
      <w:tr>
        <w:trPr/>
        <w:tc>
          <w:tcPr>
            <w:tcW w:type="dxa" w:w="2600"/>
            <w:vAlign w:val="center"/>
            <w:shd w:fill="FCE4D6"/>
          </w:tcPr>
          <w:p>
            <w:pPr>
              <w:spacing w:before="0" w:after="0" w:line="240" w:lineRule="auto"/>
              <w:jc w:val="left"/>
            </w:pPr>
            <w:r>
              <w:rPr>
                <w:rFonts w:ascii="TH Sarabun New" w:hAnsi="TH Sarabun New" w:eastAsia="TH Sarabun New"/>
                <w:b w:val="0"/>
                <w:sz w:val="17"/>
              </w:rPr>
              <w:t>รวมหนี้สินหมุนเวียน</w:t>
            </w:r>
          </w:p>
        </w:tc>
        <w:tc>
          <w:tcPr>
            <w:tcW w:type="dxa" w:w="1070"/>
            <w:vAlign w:val="center"/>
            <w:shd w:fill="FCE4D6"/>
          </w:tcPr>
          <w:p>
            <w:pPr>
              <w:spacing w:before="0" w:after="0" w:line="240" w:lineRule="auto"/>
              <w:jc w:val="center"/>
            </w:pPr>
            <w:r>
              <w:rPr>
                <w:rFonts w:ascii="TH Sarabun New" w:hAnsi="TH Sarabun New" w:eastAsia="TH Sarabun New"/>
                <w:b w:val="0"/>
                <w:sz w:val="17"/>
              </w:rPr>
              <w:t>62.71</w:t>
            </w:r>
          </w:p>
        </w:tc>
        <w:tc>
          <w:tcPr>
            <w:tcW w:type="dxa" w:w="1070"/>
            <w:vAlign w:val="center"/>
            <w:shd w:fill="FCE4D6"/>
          </w:tcPr>
          <w:p>
            <w:pPr>
              <w:spacing w:before="0" w:after="0" w:line="240" w:lineRule="auto"/>
              <w:jc w:val="center"/>
            </w:pPr>
            <w:r>
              <w:rPr>
                <w:rFonts w:ascii="TH Sarabun New" w:hAnsi="TH Sarabun New" w:eastAsia="TH Sarabun New"/>
                <w:b w:val="0"/>
                <w:sz w:val="17"/>
              </w:rPr>
              <w:t>65.68</w:t>
            </w:r>
          </w:p>
        </w:tc>
        <w:tc>
          <w:tcPr>
            <w:tcW w:type="dxa" w:w="1070"/>
            <w:vAlign w:val="center"/>
            <w:shd w:fill="FCE4D6"/>
          </w:tcPr>
          <w:p>
            <w:pPr>
              <w:spacing w:before="0" w:after="0" w:line="240" w:lineRule="auto"/>
              <w:jc w:val="center"/>
            </w:pPr>
            <w:r>
              <w:rPr>
                <w:rFonts w:ascii="TH Sarabun New" w:hAnsi="TH Sarabun New" w:eastAsia="TH Sarabun New"/>
                <w:b w:val="0"/>
                <w:sz w:val="17"/>
              </w:rPr>
              <w:t>69.45</w:t>
            </w:r>
          </w:p>
        </w:tc>
        <w:tc>
          <w:tcPr>
            <w:tcW w:type="dxa" w:w="1070"/>
            <w:vAlign w:val="center"/>
            <w:shd w:fill="FCE4D6"/>
          </w:tcPr>
          <w:p>
            <w:pPr>
              <w:spacing w:before="0" w:after="0" w:line="240" w:lineRule="auto"/>
              <w:jc w:val="center"/>
            </w:pPr>
            <w:r>
              <w:rPr>
                <w:rFonts w:ascii="TH Sarabun New" w:hAnsi="TH Sarabun New" w:eastAsia="TH Sarabun New"/>
                <w:b w:val="0"/>
                <w:sz w:val="17"/>
              </w:rPr>
              <w:t>72.11</w:t>
            </w:r>
          </w:p>
        </w:tc>
        <w:tc>
          <w:tcPr>
            <w:tcW w:type="dxa" w:w="1070"/>
            <w:vAlign w:val="center"/>
            <w:shd w:fill="FCE4D6"/>
          </w:tcPr>
          <w:p>
            <w:pPr>
              <w:spacing w:before="0" w:after="0" w:line="240" w:lineRule="auto"/>
              <w:jc w:val="center"/>
            </w:pPr>
            <w:r>
              <w:rPr>
                <w:rFonts w:ascii="TH Sarabun New" w:hAnsi="TH Sarabun New" w:eastAsia="TH Sarabun New"/>
                <w:b w:val="0"/>
                <w:sz w:val="17"/>
              </w:rPr>
              <w:t>74.66</w:t>
            </w:r>
          </w:p>
        </w:tc>
        <w:tc>
          <w:tcPr>
            <w:tcW w:type="dxa" w:w="1070"/>
            <w:vAlign w:val="center"/>
            <w:shd w:fill="FCE4D6"/>
          </w:tcPr>
          <w:p>
            <w:pPr>
              <w:spacing w:before="0" w:after="0" w:line="240" w:lineRule="auto"/>
              <w:jc w:val="center"/>
            </w:pPr>
            <w:r>
              <w:rPr>
                <w:rFonts w:ascii="TH Sarabun New" w:hAnsi="TH Sarabun New" w:eastAsia="TH Sarabun New"/>
                <w:b w:val="0"/>
                <w:sz w:val="17"/>
              </w:rPr>
              <w:t>คำนวณ</w:t>
            </w:r>
          </w:p>
        </w:tc>
      </w:tr>
      <w:tr>
        <w:trPr/>
        <w:tc>
          <w:tcPr>
            <w:tcW w:type="dxa" w:w="1070"/>
            <w:gridSpan w:val="7"/>
            <w:vAlign w:val="center"/>
            <w:shd w:fill="F2F2F2"/>
          </w:tcPr>
          <w:p>
            <w:pPr>
              <w:spacing w:before="0" w:after="0" w:line="240" w:lineRule="auto"/>
              <w:jc w:val="center"/>
            </w:pPr>
            <w:r>
              <w:rPr>
                <w:rFonts w:ascii="TH Sarabun New" w:hAnsi="TH Sarabun New" w:eastAsia="TH Sarabun New"/>
                <w:b w:val="0"/>
                <w:sz w:val="17"/>
              </w:rPr>
              <w:t>หนี้สินไม่หมุนเวียน</w:t>
            </w:r>
          </w:p>
        </w:tc>
      </w:tr>
      <w:tr>
        <w:trPr/>
        <w:tc>
          <w:tcPr>
            <w:tcW w:type="dxa" w:w="2600"/>
            <w:vAlign w:val="center"/>
          </w:tcPr>
          <w:p>
            <w:pPr>
              <w:spacing w:before="0" w:after="0" w:line="240" w:lineRule="auto"/>
              <w:jc w:val="left"/>
            </w:pPr>
            <w:r>
              <w:rPr>
                <w:rFonts w:ascii="TH Sarabun New" w:hAnsi="TH Sarabun New" w:eastAsia="TH Sarabun New"/>
                <w:b w:val="0"/>
                <w:sz w:val="17"/>
              </w:rPr>
              <w:t>หนี้สินเช่าไม่หมุนเวียน</w:t>
            </w:r>
          </w:p>
        </w:tc>
        <w:tc>
          <w:tcPr>
            <w:tcW w:type="dxa" w:w="1070"/>
            <w:vAlign w:val="center"/>
          </w:tcPr>
          <w:p>
            <w:pPr>
              <w:spacing w:before="0" w:after="0" w:line="240" w:lineRule="auto"/>
              <w:jc w:val="center"/>
            </w:pPr>
            <w:r>
              <w:rPr>
                <w:rFonts w:ascii="TH Sarabun New" w:hAnsi="TH Sarabun New" w:eastAsia="TH Sarabun New"/>
                <w:b w:val="0"/>
                <w:sz w:val="17"/>
              </w:rPr>
              <w:t>8.00</w:t>
            </w:r>
          </w:p>
        </w:tc>
        <w:tc>
          <w:tcPr>
            <w:tcW w:type="dxa" w:w="1070"/>
            <w:vAlign w:val="center"/>
          </w:tcPr>
          <w:p>
            <w:pPr>
              <w:spacing w:before="0" w:after="0" w:line="240" w:lineRule="auto"/>
              <w:jc w:val="center"/>
            </w:pPr>
            <w:r>
              <w:rPr>
                <w:rFonts w:ascii="TH Sarabun New" w:hAnsi="TH Sarabun New" w:eastAsia="TH Sarabun New"/>
                <w:b w:val="0"/>
                <w:sz w:val="17"/>
              </w:rPr>
              <w:t>7.00</w:t>
            </w:r>
          </w:p>
        </w:tc>
        <w:tc>
          <w:tcPr>
            <w:tcW w:type="dxa" w:w="1070"/>
            <w:vAlign w:val="center"/>
          </w:tcPr>
          <w:p>
            <w:pPr>
              <w:spacing w:before="0" w:after="0" w:line="240" w:lineRule="auto"/>
              <w:jc w:val="center"/>
            </w:pPr>
            <w:r>
              <w:rPr>
                <w:rFonts w:ascii="TH Sarabun New" w:hAnsi="TH Sarabun New" w:eastAsia="TH Sarabun New"/>
                <w:b w:val="0"/>
                <w:sz w:val="17"/>
              </w:rPr>
              <w:t>6.00</w:t>
            </w:r>
          </w:p>
        </w:tc>
        <w:tc>
          <w:tcPr>
            <w:tcW w:type="dxa" w:w="1070"/>
            <w:vAlign w:val="center"/>
          </w:tcPr>
          <w:p>
            <w:pPr>
              <w:spacing w:before="0" w:after="0" w:line="240" w:lineRule="auto"/>
              <w:jc w:val="center"/>
            </w:pPr>
            <w:r>
              <w:rPr>
                <w:rFonts w:ascii="TH Sarabun New" w:hAnsi="TH Sarabun New" w:eastAsia="TH Sarabun New"/>
                <w:b w:val="0"/>
                <w:sz w:val="17"/>
              </w:rPr>
              <w:t>5.00</w:t>
            </w:r>
          </w:p>
        </w:tc>
        <w:tc>
          <w:tcPr>
            <w:tcW w:type="dxa" w:w="1070"/>
            <w:vAlign w:val="center"/>
          </w:tcPr>
          <w:p>
            <w:pPr>
              <w:spacing w:before="0" w:after="0" w:line="240" w:lineRule="auto"/>
              <w:jc w:val="center"/>
            </w:pPr>
            <w:r>
              <w:rPr>
                <w:rFonts w:ascii="TH Sarabun New" w:hAnsi="TH Sarabun New" w:eastAsia="TH Sarabun New"/>
                <w:b w:val="0"/>
                <w:sz w:val="17"/>
              </w:rPr>
              <w:t>4.00</w:t>
            </w:r>
          </w:p>
        </w:tc>
        <w:tc>
          <w:tcPr>
            <w:tcW w:type="dxa" w:w="1070"/>
            <w:vAlign w:val="center"/>
          </w:tcPr>
          <w:p>
            <w:pPr>
              <w:spacing w:before="0" w:after="0" w:line="240" w:lineRule="auto"/>
              <w:jc w:val="center"/>
            </w:pPr>
            <w:r>
              <w:rPr>
                <w:rFonts w:ascii="TH Sarabun New" w:hAnsi="TH Sarabun New" w:eastAsia="TH Sarabun New"/>
                <w:b w:val="0"/>
                <w:sz w:val="17"/>
              </w:rPr>
              <w:t>สมมติฐาน</w:t>
            </w:r>
          </w:p>
        </w:tc>
      </w:tr>
      <w:tr>
        <w:trPr/>
        <w:tc>
          <w:tcPr>
            <w:tcW w:type="dxa" w:w="2600"/>
            <w:vAlign w:val="center"/>
          </w:tcPr>
          <w:p>
            <w:pPr>
              <w:spacing w:before="0" w:after="0" w:line="240" w:lineRule="auto"/>
              <w:jc w:val="left"/>
            </w:pPr>
            <w:r>
              <w:rPr>
                <w:rFonts w:ascii="TH Sarabun New" w:hAnsi="TH Sarabun New" w:eastAsia="TH Sarabun New"/>
                <w:b w:val="0"/>
                <w:sz w:val="17"/>
              </w:rPr>
              <w:t>ประมาณการผลประโยชน์พนักงาน</w:t>
            </w:r>
          </w:p>
        </w:tc>
        <w:tc>
          <w:tcPr>
            <w:tcW w:type="dxa" w:w="1070"/>
            <w:vAlign w:val="center"/>
          </w:tcPr>
          <w:p>
            <w:pPr>
              <w:spacing w:before="0" w:after="0" w:line="240" w:lineRule="auto"/>
              <w:jc w:val="center"/>
            </w:pPr>
            <w:r>
              <w:rPr>
                <w:rFonts w:ascii="TH Sarabun New" w:hAnsi="TH Sarabun New" w:eastAsia="TH Sarabun New"/>
                <w:b w:val="0"/>
                <w:sz w:val="17"/>
              </w:rPr>
              <w:t>50.00</w:t>
            </w:r>
          </w:p>
        </w:tc>
        <w:tc>
          <w:tcPr>
            <w:tcW w:type="dxa" w:w="1070"/>
            <w:vAlign w:val="center"/>
          </w:tcPr>
          <w:p>
            <w:pPr>
              <w:spacing w:before="0" w:after="0" w:line="240" w:lineRule="auto"/>
              <w:jc w:val="center"/>
            </w:pPr>
            <w:r>
              <w:rPr>
                <w:rFonts w:ascii="TH Sarabun New" w:hAnsi="TH Sarabun New" w:eastAsia="TH Sarabun New"/>
                <w:b w:val="0"/>
                <w:sz w:val="17"/>
              </w:rPr>
              <w:t>51.00</w:t>
            </w:r>
          </w:p>
        </w:tc>
        <w:tc>
          <w:tcPr>
            <w:tcW w:type="dxa" w:w="1070"/>
            <w:vAlign w:val="center"/>
          </w:tcPr>
          <w:p>
            <w:pPr>
              <w:spacing w:before="0" w:after="0" w:line="240" w:lineRule="auto"/>
              <w:jc w:val="center"/>
            </w:pPr>
            <w:r>
              <w:rPr>
                <w:rFonts w:ascii="TH Sarabun New" w:hAnsi="TH Sarabun New" w:eastAsia="TH Sarabun New"/>
                <w:b w:val="0"/>
                <w:sz w:val="17"/>
              </w:rPr>
              <w:t>52.00</w:t>
            </w:r>
          </w:p>
        </w:tc>
        <w:tc>
          <w:tcPr>
            <w:tcW w:type="dxa" w:w="1070"/>
            <w:vAlign w:val="center"/>
          </w:tcPr>
          <w:p>
            <w:pPr>
              <w:spacing w:before="0" w:after="0" w:line="240" w:lineRule="auto"/>
              <w:jc w:val="center"/>
            </w:pPr>
            <w:r>
              <w:rPr>
                <w:rFonts w:ascii="TH Sarabun New" w:hAnsi="TH Sarabun New" w:eastAsia="TH Sarabun New"/>
                <w:b w:val="0"/>
                <w:sz w:val="17"/>
              </w:rPr>
              <w:t>53.00</w:t>
            </w:r>
          </w:p>
        </w:tc>
        <w:tc>
          <w:tcPr>
            <w:tcW w:type="dxa" w:w="1070"/>
            <w:vAlign w:val="center"/>
          </w:tcPr>
          <w:p>
            <w:pPr>
              <w:spacing w:before="0" w:after="0" w:line="240" w:lineRule="auto"/>
              <w:jc w:val="center"/>
            </w:pPr>
            <w:r>
              <w:rPr>
                <w:rFonts w:ascii="TH Sarabun New" w:hAnsi="TH Sarabun New" w:eastAsia="TH Sarabun New"/>
                <w:b w:val="0"/>
                <w:sz w:val="17"/>
              </w:rPr>
              <w:t>54.00</w:t>
            </w:r>
          </w:p>
        </w:tc>
        <w:tc>
          <w:tcPr>
            <w:tcW w:type="dxa" w:w="1070"/>
            <w:vAlign w:val="center"/>
          </w:tcPr>
          <w:p>
            <w:pPr>
              <w:spacing w:before="0" w:after="0" w:line="240" w:lineRule="auto"/>
              <w:jc w:val="center"/>
            </w:pPr>
            <w:r>
              <w:rPr>
                <w:rFonts w:ascii="TH Sarabun New" w:hAnsi="TH Sarabun New" w:eastAsia="TH Sarabun New"/>
                <w:b w:val="0"/>
                <w:sz w:val="17"/>
              </w:rPr>
              <w:t>สมมติฐาน</w:t>
            </w:r>
          </w:p>
        </w:tc>
      </w:tr>
      <w:tr>
        <w:trPr/>
        <w:tc>
          <w:tcPr>
            <w:tcW w:type="dxa" w:w="2600"/>
            <w:vAlign w:val="center"/>
          </w:tcPr>
          <w:p>
            <w:pPr>
              <w:spacing w:before="0" w:after="0" w:line="240" w:lineRule="auto"/>
              <w:jc w:val="left"/>
            </w:pPr>
            <w:r>
              <w:rPr>
                <w:rFonts w:ascii="TH Sarabun New" w:hAnsi="TH Sarabun New" w:eastAsia="TH Sarabun New"/>
                <w:b w:val="0"/>
                <w:sz w:val="17"/>
              </w:rPr>
              <w:t>หนี้สินภาษีเงินได้รอการตัดบัญชี</w:t>
            </w:r>
          </w:p>
        </w:tc>
        <w:tc>
          <w:tcPr>
            <w:tcW w:type="dxa" w:w="1070"/>
            <w:vAlign w:val="center"/>
          </w:tcPr>
          <w:p>
            <w:pPr>
              <w:spacing w:before="0" w:after="0" w:line="240" w:lineRule="auto"/>
              <w:jc w:val="center"/>
            </w:pPr>
            <w:r>
              <w:rPr>
                <w:rFonts w:ascii="TH Sarabun New" w:hAnsi="TH Sarabun New" w:eastAsia="TH Sarabun New"/>
                <w:b w:val="0"/>
                <w:sz w:val="17"/>
              </w:rPr>
              <w:t>22.70</w:t>
            </w:r>
          </w:p>
        </w:tc>
        <w:tc>
          <w:tcPr>
            <w:tcW w:type="dxa" w:w="1070"/>
            <w:vAlign w:val="center"/>
          </w:tcPr>
          <w:p>
            <w:pPr>
              <w:spacing w:before="0" w:after="0" w:line="240" w:lineRule="auto"/>
              <w:jc w:val="center"/>
            </w:pPr>
            <w:r>
              <w:rPr>
                <w:rFonts w:ascii="TH Sarabun New" w:hAnsi="TH Sarabun New" w:eastAsia="TH Sarabun New"/>
                <w:b w:val="0"/>
                <w:sz w:val="17"/>
              </w:rPr>
              <w:t>20.70</w:t>
            </w:r>
          </w:p>
        </w:tc>
        <w:tc>
          <w:tcPr>
            <w:tcW w:type="dxa" w:w="1070"/>
            <w:vAlign w:val="center"/>
          </w:tcPr>
          <w:p>
            <w:pPr>
              <w:spacing w:before="0" w:after="0" w:line="240" w:lineRule="auto"/>
              <w:jc w:val="center"/>
            </w:pPr>
            <w:r>
              <w:rPr>
                <w:rFonts w:ascii="TH Sarabun New" w:hAnsi="TH Sarabun New" w:eastAsia="TH Sarabun New"/>
                <w:b w:val="0"/>
                <w:sz w:val="17"/>
              </w:rPr>
              <w:t>18.70</w:t>
            </w:r>
          </w:p>
        </w:tc>
        <w:tc>
          <w:tcPr>
            <w:tcW w:type="dxa" w:w="1070"/>
            <w:vAlign w:val="center"/>
          </w:tcPr>
          <w:p>
            <w:pPr>
              <w:spacing w:before="0" w:after="0" w:line="240" w:lineRule="auto"/>
              <w:jc w:val="center"/>
            </w:pPr>
            <w:r>
              <w:rPr>
                <w:rFonts w:ascii="TH Sarabun New" w:hAnsi="TH Sarabun New" w:eastAsia="TH Sarabun New"/>
                <w:b w:val="0"/>
                <w:sz w:val="17"/>
              </w:rPr>
              <w:t>16.70</w:t>
            </w:r>
          </w:p>
        </w:tc>
        <w:tc>
          <w:tcPr>
            <w:tcW w:type="dxa" w:w="1070"/>
            <w:vAlign w:val="center"/>
          </w:tcPr>
          <w:p>
            <w:pPr>
              <w:spacing w:before="0" w:after="0" w:line="240" w:lineRule="auto"/>
              <w:jc w:val="center"/>
            </w:pPr>
            <w:r>
              <w:rPr>
                <w:rFonts w:ascii="TH Sarabun New" w:hAnsi="TH Sarabun New" w:eastAsia="TH Sarabun New"/>
                <w:b w:val="0"/>
                <w:sz w:val="17"/>
              </w:rPr>
              <w:t>14.70</w:t>
            </w:r>
          </w:p>
        </w:tc>
        <w:tc>
          <w:tcPr>
            <w:tcW w:type="dxa" w:w="1070"/>
            <w:vAlign w:val="center"/>
          </w:tcPr>
          <w:p>
            <w:pPr>
              <w:spacing w:before="0" w:after="0" w:line="240" w:lineRule="auto"/>
              <w:jc w:val="center"/>
            </w:pPr>
            <w:r>
              <w:rPr>
                <w:rFonts w:ascii="TH Sarabun New" w:hAnsi="TH Sarabun New" w:eastAsia="TH Sarabun New"/>
                <w:b w:val="0"/>
                <w:sz w:val="17"/>
              </w:rPr>
              <w:t>สมมติฐาน</w:t>
            </w:r>
          </w:p>
        </w:tc>
      </w:tr>
      <w:tr>
        <w:trPr/>
        <w:tc>
          <w:tcPr>
            <w:tcW w:type="dxa" w:w="2600"/>
            <w:vAlign w:val="center"/>
            <w:shd w:fill="FCE4D6"/>
          </w:tcPr>
          <w:p>
            <w:pPr>
              <w:spacing w:before="0" w:after="0" w:line="240" w:lineRule="auto"/>
              <w:jc w:val="left"/>
            </w:pPr>
            <w:r>
              <w:rPr>
                <w:rFonts w:ascii="TH Sarabun New" w:hAnsi="TH Sarabun New" w:eastAsia="TH Sarabun New"/>
                <w:b w:val="0"/>
                <w:sz w:val="17"/>
              </w:rPr>
              <w:t>รวมหนี้สินไม่หมุนเวียน</w:t>
            </w:r>
          </w:p>
        </w:tc>
        <w:tc>
          <w:tcPr>
            <w:tcW w:type="dxa" w:w="1070"/>
            <w:vAlign w:val="center"/>
            <w:shd w:fill="FCE4D6"/>
          </w:tcPr>
          <w:p>
            <w:pPr>
              <w:spacing w:before="0" w:after="0" w:line="240" w:lineRule="auto"/>
              <w:jc w:val="center"/>
            </w:pPr>
            <w:r>
              <w:rPr>
                <w:rFonts w:ascii="TH Sarabun New" w:hAnsi="TH Sarabun New" w:eastAsia="TH Sarabun New"/>
                <w:b w:val="0"/>
                <w:sz w:val="17"/>
              </w:rPr>
              <w:t>80.70</w:t>
            </w:r>
          </w:p>
        </w:tc>
        <w:tc>
          <w:tcPr>
            <w:tcW w:type="dxa" w:w="1070"/>
            <w:vAlign w:val="center"/>
            <w:shd w:fill="FCE4D6"/>
          </w:tcPr>
          <w:p>
            <w:pPr>
              <w:spacing w:before="0" w:after="0" w:line="240" w:lineRule="auto"/>
              <w:jc w:val="center"/>
            </w:pPr>
            <w:r>
              <w:rPr>
                <w:rFonts w:ascii="TH Sarabun New" w:hAnsi="TH Sarabun New" w:eastAsia="TH Sarabun New"/>
                <w:b w:val="0"/>
                <w:sz w:val="17"/>
              </w:rPr>
              <w:t>78.70</w:t>
            </w:r>
          </w:p>
        </w:tc>
        <w:tc>
          <w:tcPr>
            <w:tcW w:type="dxa" w:w="1070"/>
            <w:vAlign w:val="center"/>
            <w:shd w:fill="FCE4D6"/>
          </w:tcPr>
          <w:p>
            <w:pPr>
              <w:spacing w:before="0" w:after="0" w:line="240" w:lineRule="auto"/>
              <w:jc w:val="center"/>
            </w:pPr>
            <w:r>
              <w:rPr>
                <w:rFonts w:ascii="TH Sarabun New" w:hAnsi="TH Sarabun New" w:eastAsia="TH Sarabun New"/>
                <w:b w:val="0"/>
                <w:sz w:val="17"/>
              </w:rPr>
              <w:t>76.70</w:t>
            </w:r>
          </w:p>
        </w:tc>
        <w:tc>
          <w:tcPr>
            <w:tcW w:type="dxa" w:w="1070"/>
            <w:vAlign w:val="center"/>
            <w:shd w:fill="FCE4D6"/>
          </w:tcPr>
          <w:p>
            <w:pPr>
              <w:spacing w:before="0" w:after="0" w:line="240" w:lineRule="auto"/>
              <w:jc w:val="center"/>
            </w:pPr>
            <w:r>
              <w:rPr>
                <w:rFonts w:ascii="TH Sarabun New" w:hAnsi="TH Sarabun New" w:eastAsia="TH Sarabun New"/>
                <w:b w:val="0"/>
                <w:sz w:val="17"/>
              </w:rPr>
              <w:t>74.70</w:t>
            </w:r>
          </w:p>
        </w:tc>
        <w:tc>
          <w:tcPr>
            <w:tcW w:type="dxa" w:w="1070"/>
            <w:vAlign w:val="center"/>
            <w:shd w:fill="FCE4D6"/>
          </w:tcPr>
          <w:p>
            <w:pPr>
              <w:spacing w:before="0" w:after="0" w:line="240" w:lineRule="auto"/>
              <w:jc w:val="center"/>
            </w:pPr>
            <w:r>
              <w:rPr>
                <w:rFonts w:ascii="TH Sarabun New" w:hAnsi="TH Sarabun New" w:eastAsia="TH Sarabun New"/>
                <w:b w:val="0"/>
                <w:sz w:val="17"/>
              </w:rPr>
              <w:t>72.70</w:t>
            </w:r>
          </w:p>
        </w:tc>
        <w:tc>
          <w:tcPr>
            <w:tcW w:type="dxa" w:w="1070"/>
            <w:vAlign w:val="center"/>
            <w:shd w:fill="FCE4D6"/>
          </w:tcPr>
          <w:p>
            <w:pPr>
              <w:spacing w:before="0" w:after="0" w:line="240" w:lineRule="auto"/>
              <w:jc w:val="center"/>
            </w:pPr>
            <w:r>
              <w:rPr>
                <w:rFonts w:ascii="TH Sarabun New" w:hAnsi="TH Sarabun New" w:eastAsia="TH Sarabun New"/>
                <w:b w:val="0"/>
                <w:sz w:val="17"/>
              </w:rPr>
              <w:t>คำนวณ</w:t>
            </w:r>
          </w:p>
        </w:tc>
      </w:tr>
      <w:tr>
        <w:trPr/>
        <w:tc>
          <w:tcPr>
            <w:tcW w:type="dxa" w:w="2600"/>
            <w:vAlign w:val="center"/>
            <w:shd w:fill="FCE4D6"/>
          </w:tcPr>
          <w:p>
            <w:pPr>
              <w:spacing w:before="0" w:after="0" w:line="240" w:lineRule="auto"/>
              <w:jc w:val="left"/>
            </w:pPr>
            <w:r>
              <w:rPr>
                <w:rFonts w:ascii="TH Sarabun New" w:hAnsi="TH Sarabun New" w:eastAsia="TH Sarabun New"/>
                <w:b w:val="0"/>
                <w:sz w:val="17"/>
              </w:rPr>
              <w:t>รวมหนี้สิน</w:t>
            </w:r>
          </w:p>
        </w:tc>
        <w:tc>
          <w:tcPr>
            <w:tcW w:type="dxa" w:w="1070"/>
            <w:vAlign w:val="center"/>
            <w:shd w:fill="FCE4D6"/>
          </w:tcPr>
          <w:p>
            <w:pPr>
              <w:spacing w:before="0" w:after="0" w:line="240" w:lineRule="auto"/>
              <w:jc w:val="center"/>
            </w:pPr>
            <w:r>
              <w:rPr>
                <w:rFonts w:ascii="TH Sarabun New" w:hAnsi="TH Sarabun New" w:eastAsia="TH Sarabun New"/>
                <w:b w:val="0"/>
                <w:sz w:val="17"/>
              </w:rPr>
              <w:t>143.41</w:t>
            </w:r>
          </w:p>
        </w:tc>
        <w:tc>
          <w:tcPr>
            <w:tcW w:type="dxa" w:w="1070"/>
            <w:vAlign w:val="center"/>
            <w:shd w:fill="FCE4D6"/>
          </w:tcPr>
          <w:p>
            <w:pPr>
              <w:spacing w:before="0" w:after="0" w:line="240" w:lineRule="auto"/>
              <w:jc w:val="center"/>
            </w:pPr>
            <w:r>
              <w:rPr>
                <w:rFonts w:ascii="TH Sarabun New" w:hAnsi="TH Sarabun New" w:eastAsia="TH Sarabun New"/>
                <w:b w:val="0"/>
                <w:sz w:val="17"/>
              </w:rPr>
              <w:t>144.38</w:t>
            </w:r>
          </w:p>
        </w:tc>
        <w:tc>
          <w:tcPr>
            <w:tcW w:type="dxa" w:w="1070"/>
            <w:vAlign w:val="center"/>
            <w:shd w:fill="FCE4D6"/>
          </w:tcPr>
          <w:p>
            <w:pPr>
              <w:spacing w:before="0" w:after="0" w:line="240" w:lineRule="auto"/>
              <w:jc w:val="center"/>
            </w:pPr>
            <w:r>
              <w:rPr>
                <w:rFonts w:ascii="TH Sarabun New" w:hAnsi="TH Sarabun New" w:eastAsia="TH Sarabun New"/>
                <w:b w:val="0"/>
                <w:sz w:val="17"/>
              </w:rPr>
              <w:t>146.15</w:t>
            </w:r>
          </w:p>
        </w:tc>
        <w:tc>
          <w:tcPr>
            <w:tcW w:type="dxa" w:w="1070"/>
            <w:vAlign w:val="center"/>
            <w:shd w:fill="FCE4D6"/>
          </w:tcPr>
          <w:p>
            <w:pPr>
              <w:spacing w:before="0" w:after="0" w:line="240" w:lineRule="auto"/>
              <w:jc w:val="center"/>
            </w:pPr>
            <w:r>
              <w:rPr>
                <w:rFonts w:ascii="TH Sarabun New" w:hAnsi="TH Sarabun New" w:eastAsia="TH Sarabun New"/>
                <w:b w:val="0"/>
                <w:sz w:val="17"/>
              </w:rPr>
              <w:t>146.81</w:t>
            </w:r>
          </w:p>
        </w:tc>
        <w:tc>
          <w:tcPr>
            <w:tcW w:type="dxa" w:w="1070"/>
            <w:vAlign w:val="center"/>
            <w:shd w:fill="FCE4D6"/>
          </w:tcPr>
          <w:p>
            <w:pPr>
              <w:spacing w:before="0" w:after="0" w:line="240" w:lineRule="auto"/>
              <w:jc w:val="center"/>
            </w:pPr>
            <w:r>
              <w:rPr>
                <w:rFonts w:ascii="TH Sarabun New" w:hAnsi="TH Sarabun New" w:eastAsia="TH Sarabun New"/>
                <w:b w:val="0"/>
                <w:sz w:val="17"/>
              </w:rPr>
              <w:t>147.36</w:t>
            </w:r>
          </w:p>
        </w:tc>
        <w:tc>
          <w:tcPr>
            <w:tcW w:type="dxa" w:w="1070"/>
            <w:vAlign w:val="center"/>
            <w:shd w:fill="FCE4D6"/>
          </w:tcPr>
          <w:p>
            <w:pPr>
              <w:spacing w:before="0" w:after="0" w:line="240" w:lineRule="auto"/>
              <w:jc w:val="center"/>
            </w:pPr>
            <w:r>
              <w:rPr>
                <w:rFonts w:ascii="TH Sarabun New" w:hAnsi="TH Sarabun New" w:eastAsia="TH Sarabun New"/>
                <w:b w:val="0"/>
                <w:sz w:val="17"/>
              </w:rPr>
              <w:t>คำนวณ</w:t>
            </w:r>
          </w:p>
        </w:tc>
      </w:tr>
      <w:tr>
        <w:trPr/>
        <w:tc>
          <w:tcPr>
            <w:tcW w:type="dxa" w:w="1070"/>
            <w:gridSpan w:val="7"/>
            <w:vAlign w:val="center"/>
            <w:shd w:fill="F2F2F2"/>
          </w:tcPr>
          <w:p>
            <w:pPr>
              <w:spacing w:before="0" w:after="0" w:line="240" w:lineRule="auto"/>
              <w:jc w:val="center"/>
            </w:pPr>
            <w:r>
              <w:rPr>
                <w:rFonts w:ascii="TH Sarabun New" w:hAnsi="TH Sarabun New" w:eastAsia="TH Sarabun New"/>
                <w:b w:val="0"/>
                <w:sz w:val="17"/>
              </w:rPr>
              <w:t>ส่วนของผู้ถือหุ้น</w:t>
            </w:r>
          </w:p>
        </w:tc>
      </w:tr>
      <w:tr>
        <w:trPr/>
        <w:tc>
          <w:tcPr>
            <w:tcW w:type="dxa" w:w="2600"/>
            <w:vAlign w:val="center"/>
          </w:tcPr>
          <w:p>
            <w:pPr>
              <w:spacing w:before="0" w:after="0" w:line="240" w:lineRule="auto"/>
              <w:jc w:val="left"/>
            </w:pPr>
            <w:r>
              <w:rPr>
                <w:rFonts w:ascii="TH Sarabun New" w:hAnsi="TH Sarabun New" w:eastAsia="TH Sarabun New"/>
                <w:b w:val="0"/>
                <w:sz w:val="17"/>
              </w:rPr>
              <w:t>ทุนชำระแล้ว</w:t>
            </w:r>
          </w:p>
        </w:tc>
        <w:tc>
          <w:tcPr>
            <w:tcW w:type="dxa" w:w="1070"/>
            <w:vAlign w:val="center"/>
          </w:tcPr>
          <w:p>
            <w:pPr>
              <w:spacing w:before="0" w:after="0" w:line="240" w:lineRule="auto"/>
              <w:jc w:val="center"/>
            </w:pPr>
            <w:r>
              <w:rPr>
                <w:rFonts w:ascii="TH Sarabun New" w:hAnsi="TH Sarabun New" w:eastAsia="TH Sarabun New"/>
                <w:b w:val="0"/>
                <w:sz w:val="17"/>
              </w:rPr>
              <w:t>96.00</w:t>
            </w:r>
          </w:p>
        </w:tc>
        <w:tc>
          <w:tcPr>
            <w:tcW w:type="dxa" w:w="1070"/>
            <w:vAlign w:val="center"/>
          </w:tcPr>
          <w:p>
            <w:pPr>
              <w:spacing w:before="0" w:after="0" w:line="240" w:lineRule="auto"/>
              <w:jc w:val="center"/>
            </w:pPr>
            <w:r>
              <w:rPr>
                <w:rFonts w:ascii="TH Sarabun New" w:hAnsi="TH Sarabun New" w:eastAsia="TH Sarabun New"/>
                <w:b w:val="0"/>
                <w:sz w:val="17"/>
              </w:rPr>
              <w:t>96.00</w:t>
            </w:r>
          </w:p>
        </w:tc>
        <w:tc>
          <w:tcPr>
            <w:tcW w:type="dxa" w:w="1070"/>
            <w:vAlign w:val="center"/>
          </w:tcPr>
          <w:p>
            <w:pPr>
              <w:spacing w:before="0" w:after="0" w:line="240" w:lineRule="auto"/>
              <w:jc w:val="center"/>
            </w:pPr>
            <w:r>
              <w:rPr>
                <w:rFonts w:ascii="TH Sarabun New" w:hAnsi="TH Sarabun New" w:eastAsia="TH Sarabun New"/>
                <w:b w:val="0"/>
                <w:sz w:val="17"/>
              </w:rPr>
              <w:t>96.00</w:t>
            </w:r>
          </w:p>
        </w:tc>
        <w:tc>
          <w:tcPr>
            <w:tcW w:type="dxa" w:w="1070"/>
            <w:vAlign w:val="center"/>
          </w:tcPr>
          <w:p>
            <w:pPr>
              <w:spacing w:before="0" w:after="0" w:line="240" w:lineRule="auto"/>
              <w:jc w:val="center"/>
            </w:pPr>
            <w:r>
              <w:rPr>
                <w:rFonts w:ascii="TH Sarabun New" w:hAnsi="TH Sarabun New" w:eastAsia="TH Sarabun New"/>
                <w:b w:val="0"/>
                <w:sz w:val="17"/>
              </w:rPr>
              <w:t>96.00</w:t>
            </w:r>
          </w:p>
        </w:tc>
        <w:tc>
          <w:tcPr>
            <w:tcW w:type="dxa" w:w="1070"/>
            <w:vAlign w:val="center"/>
          </w:tcPr>
          <w:p>
            <w:pPr>
              <w:spacing w:before="0" w:after="0" w:line="240" w:lineRule="auto"/>
              <w:jc w:val="center"/>
            </w:pPr>
            <w:r>
              <w:rPr>
                <w:rFonts w:ascii="TH Sarabun New" w:hAnsi="TH Sarabun New" w:eastAsia="TH Sarabun New"/>
                <w:b w:val="0"/>
                <w:sz w:val="17"/>
              </w:rPr>
              <w:t>96.00</w:t>
            </w:r>
          </w:p>
        </w:tc>
        <w:tc>
          <w:tcPr>
            <w:tcW w:type="dxa" w:w="1070"/>
            <w:vAlign w:val="center"/>
          </w:tcPr>
          <w:p>
            <w:pPr>
              <w:spacing w:before="0" w:after="0" w:line="240" w:lineRule="auto"/>
              <w:jc w:val="center"/>
            </w:pPr>
            <w:r>
              <w:rPr>
                <w:rFonts w:ascii="TH Sarabun New" w:hAnsi="TH Sarabun New" w:eastAsia="TH Sarabun New"/>
                <w:b w:val="0"/>
                <w:sz w:val="17"/>
              </w:rPr>
              <w:t>คงที่</w:t>
            </w:r>
          </w:p>
        </w:tc>
      </w:tr>
      <w:tr>
        <w:trPr/>
        <w:tc>
          <w:tcPr>
            <w:tcW w:type="dxa" w:w="2600"/>
            <w:vAlign w:val="center"/>
          </w:tcPr>
          <w:p>
            <w:pPr>
              <w:spacing w:before="0" w:after="0" w:line="240" w:lineRule="auto"/>
              <w:jc w:val="left"/>
            </w:pPr>
            <w:r>
              <w:rPr>
                <w:rFonts w:ascii="TH Sarabun New" w:hAnsi="TH Sarabun New" w:eastAsia="TH Sarabun New"/>
                <w:b w:val="0"/>
                <w:sz w:val="17"/>
              </w:rPr>
              <w:t>ส่วนเกินมูลค่าหุ้นและเงินสำรอง</w:t>
            </w:r>
          </w:p>
        </w:tc>
        <w:tc>
          <w:tcPr>
            <w:tcW w:type="dxa" w:w="1070"/>
            <w:vAlign w:val="center"/>
          </w:tcPr>
          <w:p>
            <w:pPr>
              <w:spacing w:before="0" w:after="0" w:line="240" w:lineRule="auto"/>
              <w:jc w:val="center"/>
            </w:pPr>
            <w:r>
              <w:rPr>
                <w:rFonts w:ascii="TH Sarabun New" w:hAnsi="TH Sarabun New" w:eastAsia="TH Sarabun New"/>
                <w:b w:val="0"/>
                <w:sz w:val="17"/>
              </w:rPr>
              <w:t>337.30</w:t>
            </w:r>
          </w:p>
        </w:tc>
        <w:tc>
          <w:tcPr>
            <w:tcW w:type="dxa" w:w="1070"/>
            <w:vAlign w:val="center"/>
          </w:tcPr>
          <w:p>
            <w:pPr>
              <w:spacing w:before="0" w:after="0" w:line="240" w:lineRule="auto"/>
              <w:jc w:val="center"/>
            </w:pPr>
            <w:r>
              <w:rPr>
                <w:rFonts w:ascii="TH Sarabun New" w:hAnsi="TH Sarabun New" w:eastAsia="TH Sarabun New"/>
                <w:b w:val="0"/>
                <w:sz w:val="17"/>
              </w:rPr>
              <w:t>337.30</w:t>
            </w:r>
          </w:p>
        </w:tc>
        <w:tc>
          <w:tcPr>
            <w:tcW w:type="dxa" w:w="1070"/>
            <w:vAlign w:val="center"/>
          </w:tcPr>
          <w:p>
            <w:pPr>
              <w:spacing w:before="0" w:after="0" w:line="240" w:lineRule="auto"/>
              <w:jc w:val="center"/>
            </w:pPr>
            <w:r>
              <w:rPr>
                <w:rFonts w:ascii="TH Sarabun New" w:hAnsi="TH Sarabun New" w:eastAsia="TH Sarabun New"/>
                <w:b w:val="0"/>
                <w:sz w:val="17"/>
              </w:rPr>
              <w:t>337.30</w:t>
            </w:r>
          </w:p>
        </w:tc>
        <w:tc>
          <w:tcPr>
            <w:tcW w:type="dxa" w:w="1070"/>
            <w:vAlign w:val="center"/>
          </w:tcPr>
          <w:p>
            <w:pPr>
              <w:spacing w:before="0" w:after="0" w:line="240" w:lineRule="auto"/>
              <w:jc w:val="center"/>
            </w:pPr>
            <w:r>
              <w:rPr>
                <w:rFonts w:ascii="TH Sarabun New" w:hAnsi="TH Sarabun New" w:eastAsia="TH Sarabun New"/>
                <w:b w:val="0"/>
                <w:sz w:val="17"/>
              </w:rPr>
              <w:t>337.30</w:t>
            </w:r>
          </w:p>
        </w:tc>
        <w:tc>
          <w:tcPr>
            <w:tcW w:type="dxa" w:w="1070"/>
            <w:vAlign w:val="center"/>
          </w:tcPr>
          <w:p>
            <w:pPr>
              <w:spacing w:before="0" w:after="0" w:line="240" w:lineRule="auto"/>
              <w:jc w:val="center"/>
            </w:pPr>
            <w:r>
              <w:rPr>
                <w:rFonts w:ascii="TH Sarabun New" w:hAnsi="TH Sarabun New" w:eastAsia="TH Sarabun New"/>
                <w:b w:val="0"/>
                <w:sz w:val="17"/>
              </w:rPr>
              <w:t>337.30</w:t>
            </w:r>
          </w:p>
        </w:tc>
        <w:tc>
          <w:tcPr>
            <w:tcW w:type="dxa" w:w="1070"/>
            <w:vAlign w:val="center"/>
          </w:tcPr>
          <w:p>
            <w:pPr>
              <w:spacing w:before="0" w:after="0" w:line="240" w:lineRule="auto"/>
              <w:jc w:val="center"/>
            </w:pPr>
            <w:r>
              <w:rPr>
                <w:rFonts w:ascii="TH Sarabun New" w:hAnsi="TH Sarabun New" w:eastAsia="TH Sarabun New"/>
                <w:b w:val="0"/>
                <w:sz w:val="17"/>
              </w:rPr>
              <w:t>คงที่</w:t>
            </w:r>
          </w:p>
        </w:tc>
      </w:tr>
      <w:tr>
        <w:trPr/>
        <w:tc>
          <w:tcPr>
            <w:tcW w:type="dxa" w:w="2600"/>
            <w:vAlign w:val="center"/>
          </w:tcPr>
          <w:p>
            <w:pPr>
              <w:spacing w:before="0" w:after="0" w:line="240" w:lineRule="auto"/>
              <w:jc w:val="left"/>
            </w:pPr>
            <w:r>
              <w:rPr>
                <w:rFonts w:ascii="TH Sarabun New" w:hAnsi="TH Sarabun New" w:eastAsia="TH Sarabun New"/>
                <w:b w:val="0"/>
                <w:sz w:val="17"/>
              </w:rPr>
              <w:t>กำไรสะสมไม่จัดสรร</w:t>
            </w:r>
          </w:p>
        </w:tc>
        <w:tc>
          <w:tcPr>
            <w:tcW w:type="dxa" w:w="1070"/>
            <w:vAlign w:val="center"/>
          </w:tcPr>
          <w:p>
            <w:pPr>
              <w:spacing w:before="0" w:after="0" w:line="240" w:lineRule="auto"/>
              <w:jc w:val="center"/>
            </w:pPr>
            <w:r>
              <w:rPr>
                <w:rFonts w:ascii="TH Sarabun New" w:hAnsi="TH Sarabun New" w:eastAsia="TH Sarabun New"/>
                <w:b w:val="0"/>
                <w:sz w:val="17"/>
              </w:rPr>
              <w:t>742.19</w:t>
            </w:r>
          </w:p>
        </w:tc>
        <w:tc>
          <w:tcPr>
            <w:tcW w:type="dxa" w:w="1070"/>
            <w:vAlign w:val="center"/>
          </w:tcPr>
          <w:p>
            <w:pPr>
              <w:spacing w:before="0" w:after="0" w:line="240" w:lineRule="auto"/>
              <w:jc w:val="center"/>
            </w:pPr>
            <w:r>
              <w:rPr>
                <w:rFonts w:ascii="TH Sarabun New" w:hAnsi="TH Sarabun New" w:eastAsia="TH Sarabun New"/>
                <w:b w:val="0"/>
                <w:sz w:val="17"/>
              </w:rPr>
              <w:t>772.15</w:t>
            </w:r>
          </w:p>
        </w:tc>
        <w:tc>
          <w:tcPr>
            <w:tcW w:type="dxa" w:w="1070"/>
            <w:vAlign w:val="center"/>
          </w:tcPr>
          <w:p>
            <w:pPr>
              <w:spacing w:before="0" w:after="0" w:line="240" w:lineRule="auto"/>
              <w:jc w:val="center"/>
            </w:pPr>
            <w:r>
              <w:rPr>
                <w:rFonts w:ascii="TH Sarabun New" w:hAnsi="TH Sarabun New" w:eastAsia="TH Sarabun New"/>
                <w:b w:val="0"/>
                <w:sz w:val="17"/>
              </w:rPr>
              <w:t>804.95</w:t>
            </w:r>
          </w:p>
        </w:tc>
        <w:tc>
          <w:tcPr>
            <w:tcW w:type="dxa" w:w="1070"/>
            <w:vAlign w:val="center"/>
          </w:tcPr>
          <w:p>
            <w:pPr>
              <w:spacing w:before="0" w:after="0" w:line="240" w:lineRule="auto"/>
              <w:jc w:val="center"/>
            </w:pPr>
            <w:r>
              <w:rPr>
                <w:rFonts w:ascii="TH Sarabun New" w:hAnsi="TH Sarabun New" w:eastAsia="TH Sarabun New"/>
                <w:b w:val="0"/>
                <w:sz w:val="17"/>
              </w:rPr>
              <w:t>841.37</w:t>
            </w:r>
          </w:p>
        </w:tc>
        <w:tc>
          <w:tcPr>
            <w:tcW w:type="dxa" w:w="1070"/>
            <w:vAlign w:val="center"/>
          </w:tcPr>
          <w:p>
            <w:pPr>
              <w:spacing w:before="0" w:after="0" w:line="240" w:lineRule="auto"/>
              <w:jc w:val="center"/>
            </w:pPr>
            <w:r>
              <w:rPr>
                <w:rFonts w:ascii="TH Sarabun New" w:hAnsi="TH Sarabun New" w:eastAsia="TH Sarabun New"/>
                <w:b w:val="0"/>
                <w:sz w:val="17"/>
              </w:rPr>
              <w:t>883.17</w:t>
            </w:r>
          </w:p>
        </w:tc>
        <w:tc>
          <w:tcPr>
            <w:tcW w:type="dxa" w:w="1070"/>
            <w:vAlign w:val="center"/>
          </w:tcPr>
          <w:p>
            <w:pPr>
              <w:spacing w:before="0" w:after="0" w:line="240" w:lineRule="auto"/>
              <w:jc w:val="center"/>
            </w:pPr>
            <w:r>
              <w:rPr>
                <w:rFonts w:ascii="TH Sarabun New" w:hAnsi="TH Sarabun New" w:eastAsia="TH Sarabun New"/>
                <w:b w:val="0"/>
                <w:sz w:val="17"/>
              </w:rPr>
              <w:t>Opening + NI − Dividend</w:t>
            </w:r>
          </w:p>
        </w:tc>
      </w:tr>
      <w:tr>
        <w:trPr/>
        <w:tc>
          <w:tcPr>
            <w:tcW w:type="dxa" w:w="2600"/>
            <w:vAlign w:val="center"/>
          </w:tcPr>
          <w:p>
            <w:pPr>
              <w:spacing w:before="0" w:after="0" w:line="240" w:lineRule="auto"/>
              <w:jc w:val="left"/>
            </w:pPr>
            <w:r>
              <w:rPr>
                <w:rFonts w:ascii="TH Sarabun New" w:hAnsi="TH Sarabun New" w:eastAsia="TH Sarabun New"/>
                <w:b w:val="0"/>
                <w:sz w:val="17"/>
              </w:rPr>
              <w:t>องค์ประกอบอื่นของส่วนผู้ถือหุ้น</w:t>
            </w:r>
          </w:p>
        </w:tc>
        <w:tc>
          <w:tcPr>
            <w:tcW w:type="dxa" w:w="1070"/>
            <w:vAlign w:val="center"/>
          </w:tcPr>
          <w:p>
            <w:pPr>
              <w:spacing w:before="0" w:after="0" w:line="240" w:lineRule="auto"/>
              <w:jc w:val="center"/>
            </w:pPr>
            <w:r>
              <w:rPr>
                <w:rFonts w:ascii="TH Sarabun New" w:hAnsi="TH Sarabun New" w:eastAsia="TH Sarabun New"/>
                <w:b w:val="0"/>
                <w:sz w:val="17"/>
              </w:rPr>
              <w:t>231.59</w:t>
            </w:r>
          </w:p>
        </w:tc>
        <w:tc>
          <w:tcPr>
            <w:tcW w:type="dxa" w:w="1070"/>
            <w:vAlign w:val="center"/>
          </w:tcPr>
          <w:p>
            <w:pPr>
              <w:spacing w:before="0" w:after="0" w:line="240" w:lineRule="auto"/>
              <w:jc w:val="center"/>
            </w:pPr>
            <w:r>
              <w:rPr>
                <w:rFonts w:ascii="TH Sarabun New" w:hAnsi="TH Sarabun New" w:eastAsia="TH Sarabun New"/>
                <w:b w:val="0"/>
                <w:sz w:val="17"/>
              </w:rPr>
              <w:t>231.59</w:t>
            </w:r>
          </w:p>
        </w:tc>
        <w:tc>
          <w:tcPr>
            <w:tcW w:type="dxa" w:w="1070"/>
            <w:vAlign w:val="center"/>
          </w:tcPr>
          <w:p>
            <w:pPr>
              <w:spacing w:before="0" w:after="0" w:line="240" w:lineRule="auto"/>
              <w:jc w:val="center"/>
            </w:pPr>
            <w:r>
              <w:rPr>
                <w:rFonts w:ascii="TH Sarabun New" w:hAnsi="TH Sarabun New" w:eastAsia="TH Sarabun New"/>
                <w:b w:val="0"/>
                <w:sz w:val="17"/>
              </w:rPr>
              <w:t>231.59</w:t>
            </w:r>
          </w:p>
        </w:tc>
        <w:tc>
          <w:tcPr>
            <w:tcW w:type="dxa" w:w="1070"/>
            <w:vAlign w:val="center"/>
          </w:tcPr>
          <w:p>
            <w:pPr>
              <w:spacing w:before="0" w:after="0" w:line="240" w:lineRule="auto"/>
              <w:jc w:val="center"/>
            </w:pPr>
            <w:r>
              <w:rPr>
                <w:rFonts w:ascii="TH Sarabun New" w:hAnsi="TH Sarabun New" w:eastAsia="TH Sarabun New"/>
                <w:b w:val="0"/>
                <w:sz w:val="17"/>
              </w:rPr>
              <w:t>231.59</w:t>
            </w:r>
          </w:p>
        </w:tc>
        <w:tc>
          <w:tcPr>
            <w:tcW w:type="dxa" w:w="1070"/>
            <w:vAlign w:val="center"/>
          </w:tcPr>
          <w:p>
            <w:pPr>
              <w:spacing w:before="0" w:after="0" w:line="240" w:lineRule="auto"/>
              <w:jc w:val="center"/>
            </w:pPr>
            <w:r>
              <w:rPr>
                <w:rFonts w:ascii="TH Sarabun New" w:hAnsi="TH Sarabun New" w:eastAsia="TH Sarabun New"/>
                <w:b w:val="0"/>
                <w:sz w:val="17"/>
              </w:rPr>
              <w:t>231.59</w:t>
            </w:r>
          </w:p>
        </w:tc>
        <w:tc>
          <w:tcPr>
            <w:tcW w:type="dxa" w:w="1070"/>
            <w:vAlign w:val="center"/>
          </w:tcPr>
          <w:p>
            <w:pPr>
              <w:spacing w:before="0" w:after="0" w:line="240" w:lineRule="auto"/>
              <w:jc w:val="center"/>
            </w:pPr>
            <w:r>
              <w:rPr>
                <w:rFonts w:ascii="TH Sarabun New" w:hAnsi="TH Sarabun New" w:eastAsia="TH Sarabun New"/>
                <w:b w:val="0"/>
                <w:sz w:val="17"/>
              </w:rPr>
              <w:t>สมมติฐานคงที่หลัง H1/2569</w:t>
            </w:r>
          </w:p>
        </w:tc>
      </w:tr>
      <w:tr>
        <w:trPr/>
        <w:tc>
          <w:tcPr>
            <w:tcW w:type="dxa" w:w="2600"/>
            <w:vAlign w:val="center"/>
            <w:shd w:fill="FCE4D6"/>
          </w:tcPr>
          <w:p>
            <w:pPr>
              <w:spacing w:before="0" w:after="0" w:line="240" w:lineRule="auto"/>
              <w:jc w:val="left"/>
            </w:pPr>
            <w:r>
              <w:rPr>
                <w:rFonts w:ascii="TH Sarabun New" w:hAnsi="TH Sarabun New" w:eastAsia="TH Sarabun New"/>
                <w:b w:val="0"/>
                <w:sz w:val="17"/>
              </w:rPr>
              <w:t>รวมส่วนของผู้ถือหุ้น</w:t>
            </w:r>
          </w:p>
        </w:tc>
        <w:tc>
          <w:tcPr>
            <w:tcW w:type="dxa" w:w="1070"/>
            <w:vAlign w:val="center"/>
            <w:shd w:fill="FCE4D6"/>
          </w:tcPr>
          <w:p>
            <w:pPr>
              <w:spacing w:before="0" w:after="0" w:line="240" w:lineRule="auto"/>
              <w:jc w:val="center"/>
            </w:pPr>
            <w:r>
              <w:rPr>
                <w:rFonts w:ascii="TH Sarabun New" w:hAnsi="TH Sarabun New" w:eastAsia="TH Sarabun New"/>
                <w:b w:val="0"/>
                <w:sz w:val="17"/>
              </w:rPr>
              <w:t>1,407.08</w:t>
            </w:r>
          </w:p>
        </w:tc>
        <w:tc>
          <w:tcPr>
            <w:tcW w:type="dxa" w:w="1070"/>
            <w:vAlign w:val="center"/>
            <w:shd w:fill="FCE4D6"/>
          </w:tcPr>
          <w:p>
            <w:pPr>
              <w:spacing w:before="0" w:after="0" w:line="240" w:lineRule="auto"/>
              <w:jc w:val="center"/>
            </w:pPr>
            <w:r>
              <w:rPr>
                <w:rFonts w:ascii="TH Sarabun New" w:hAnsi="TH Sarabun New" w:eastAsia="TH Sarabun New"/>
                <w:b w:val="0"/>
                <w:sz w:val="17"/>
              </w:rPr>
              <w:t>1,437.04</w:t>
            </w:r>
          </w:p>
        </w:tc>
        <w:tc>
          <w:tcPr>
            <w:tcW w:type="dxa" w:w="1070"/>
            <w:vAlign w:val="center"/>
            <w:shd w:fill="FCE4D6"/>
          </w:tcPr>
          <w:p>
            <w:pPr>
              <w:spacing w:before="0" w:after="0" w:line="240" w:lineRule="auto"/>
              <w:jc w:val="center"/>
            </w:pPr>
            <w:r>
              <w:rPr>
                <w:rFonts w:ascii="TH Sarabun New" w:hAnsi="TH Sarabun New" w:eastAsia="TH Sarabun New"/>
                <w:b w:val="0"/>
                <w:sz w:val="17"/>
              </w:rPr>
              <w:t>1,469.84</w:t>
            </w:r>
          </w:p>
        </w:tc>
        <w:tc>
          <w:tcPr>
            <w:tcW w:type="dxa" w:w="1070"/>
            <w:vAlign w:val="center"/>
            <w:shd w:fill="FCE4D6"/>
          </w:tcPr>
          <w:p>
            <w:pPr>
              <w:spacing w:before="0" w:after="0" w:line="240" w:lineRule="auto"/>
              <w:jc w:val="center"/>
            </w:pPr>
            <w:r>
              <w:rPr>
                <w:rFonts w:ascii="TH Sarabun New" w:hAnsi="TH Sarabun New" w:eastAsia="TH Sarabun New"/>
                <w:b w:val="0"/>
                <w:sz w:val="17"/>
              </w:rPr>
              <w:t>1,506.26</w:t>
            </w:r>
          </w:p>
        </w:tc>
        <w:tc>
          <w:tcPr>
            <w:tcW w:type="dxa" w:w="1070"/>
            <w:vAlign w:val="center"/>
            <w:shd w:fill="FCE4D6"/>
          </w:tcPr>
          <w:p>
            <w:pPr>
              <w:spacing w:before="0" w:after="0" w:line="240" w:lineRule="auto"/>
              <w:jc w:val="center"/>
            </w:pPr>
            <w:r>
              <w:rPr>
                <w:rFonts w:ascii="TH Sarabun New" w:hAnsi="TH Sarabun New" w:eastAsia="TH Sarabun New"/>
                <w:b w:val="0"/>
                <w:sz w:val="17"/>
              </w:rPr>
              <w:t>1,548.06</w:t>
            </w:r>
          </w:p>
        </w:tc>
        <w:tc>
          <w:tcPr>
            <w:tcW w:type="dxa" w:w="1070"/>
            <w:vAlign w:val="center"/>
            <w:shd w:fill="FCE4D6"/>
          </w:tcPr>
          <w:p>
            <w:pPr>
              <w:spacing w:before="0" w:after="0" w:line="240" w:lineRule="auto"/>
              <w:jc w:val="center"/>
            </w:pPr>
            <w:r>
              <w:rPr>
                <w:rFonts w:ascii="TH Sarabun New" w:hAnsi="TH Sarabun New" w:eastAsia="TH Sarabun New"/>
                <w:b w:val="0"/>
                <w:sz w:val="17"/>
              </w:rPr>
              <w:t>คำนวณ</w:t>
            </w:r>
          </w:p>
        </w:tc>
      </w:tr>
      <w:tr>
        <w:trPr/>
        <w:tc>
          <w:tcPr>
            <w:tcW w:type="dxa" w:w="2600"/>
            <w:vAlign w:val="center"/>
            <w:shd w:fill="FCE4D6"/>
          </w:tcPr>
          <w:p>
            <w:pPr>
              <w:spacing w:before="0" w:after="0" w:line="240" w:lineRule="auto"/>
              <w:jc w:val="left"/>
            </w:pPr>
            <w:r>
              <w:rPr>
                <w:rFonts w:ascii="TH Sarabun New" w:hAnsi="TH Sarabun New" w:eastAsia="TH Sarabun New"/>
                <w:b w:val="0"/>
                <w:sz w:val="17"/>
              </w:rPr>
              <w:t>รวมหนี้สินและส่วนของผู้ถือหุ้น</w:t>
            </w:r>
          </w:p>
        </w:tc>
        <w:tc>
          <w:tcPr>
            <w:tcW w:type="dxa" w:w="1070"/>
            <w:vAlign w:val="center"/>
            <w:shd w:fill="FCE4D6"/>
          </w:tcPr>
          <w:p>
            <w:pPr>
              <w:spacing w:before="0" w:after="0" w:line="240" w:lineRule="auto"/>
              <w:jc w:val="center"/>
            </w:pPr>
            <w:r>
              <w:rPr>
                <w:rFonts w:ascii="TH Sarabun New" w:hAnsi="TH Sarabun New" w:eastAsia="TH Sarabun New"/>
                <w:b w:val="0"/>
                <w:sz w:val="17"/>
              </w:rPr>
              <w:t>1,550.49</w:t>
            </w:r>
          </w:p>
        </w:tc>
        <w:tc>
          <w:tcPr>
            <w:tcW w:type="dxa" w:w="1070"/>
            <w:vAlign w:val="center"/>
            <w:shd w:fill="FCE4D6"/>
          </w:tcPr>
          <w:p>
            <w:pPr>
              <w:spacing w:before="0" w:after="0" w:line="240" w:lineRule="auto"/>
              <w:jc w:val="center"/>
            </w:pPr>
            <w:r>
              <w:rPr>
                <w:rFonts w:ascii="TH Sarabun New" w:hAnsi="TH Sarabun New" w:eastAsia="TH Sarabun New"/>
                <w:b w:val="0"/>
                <w:sz w:val="17"/>
              </w:rPr>
              <w:t>1,581.42</w:t>
            </w:r>
          </w:p>
        </w:tc>
        <w:tc>
          <w:tcPr>
            <w:tcW w:type="dxa" w:w="1070"/>
            <w:vAlign w:val="center"/>
            <w:shd w:fill="FCE4D6"/>
          </w:tcPr>
          <w:p>
            <w:pPr>
              <w:spacing w:before="0" w:after="0" w:line="240" w:lineRule="auto"/>
              <w:jc w:val="center"/>
            </w:pPr>
            <w:r>
              <w:rPr>
                <w:rFonts w:ascii="TH Sarabun New" w:hAnsi="TH Sarabun New" w:eastAsia="TH Sarabun New"/>
                <w:b w:val="0"/>
                <w:sz w:val="17"/>
              </w:rPr>
              <w:t>1,615.99</w:t>
            </w:r>
          </w:p>
        </w:tc>
        <w:tc>
          <w:tcPr>
            <w:tcW w:type="dxa" w:w="1070"/>
            <w:vAlign w:val="center"/>
            <w:shd w:fill="FCE4D6"/>
          </w:tcPr>
          <w:p>
            <w:pPr>
              <w:spacing w:before="0" w:after="0" w:line="240" w:lineRule="auto"/>
              <w:jc w:val="center"/>
            </w:pPr>
            <w:r>
              <w:rPr>
                <w:rFonts w:ascii="TH Sarabun New" w:hAnsi="TH Sarabun New" w:eastAsia="TH Sarabun New"/>
                <w:b w:val="0"/>
                <w:sz w:val="17"/>
              </w:rPr>
              <w:t>1,653.07</w:t>
            </w:r>
          </w:p>
        </w:tc>
        <w:tc>
          <w:tcPr>
            <w:tcW w:type="dxa" w:w="1070"/>
            <w:vAlign w:val="center"/>
            <w:shd w:fill="FCE4D6"/>
          </w:tcPr>
          <w:p>
            <w:pPr>
              <w:spacing w:before="0" w:after="0" w:line="240" w:lineRule="auto"/>
              <w:jc w:val="center"/>
            </w:pPr>
            <w:r>
              <w:rPr>
                <w:rFonts w:ascii="TH Sarabun New" w:hAnsi="TH Sarabun New" w:eastAsia="TH Sarabun New"/>
                <w:b w:val="0"/>
                <w:sz w:val="17"/>
              </w:rPr>
              <w:t>1,695.42</w:t>
            </w:r>
          </w:p>
        </w:tc>
        <w:tc>
          <w:tcPr>
            <w:tcW w:type="dxa" w:w="1070"/>
            <w:vAlign w:val="center"/>
            <w:shd w:fill="FCE4D6"/>
          </w:tcPr>
          <w:p>
            <w:pPr>
              <w:spacing w:before="0" w:after="0" w:line="240" w:lineRule="auto"/>
              <w:jc w:val="center"/>
            </w:pPr>
            <w:r>
              <w:rPr>
                <w:rFonts w:ascii="TH Sarabun New" w:hAnsi="TH Sarabun New" w:eastAsia="TH Sarabun New"/>
                <w:b w:val="0"/>
                <w:sz w:val="17"/>
              </w:rPr>
              <w:t>คำนวณ</w:t>
            </w:r>
          </w:p>
        </w:tc>
      </w:tr>
      <w:tr>
        <w:trPr/>
        <w:tc>
          <w:tcPr>
            <w:tcW w:type="dxa" w:w="2600"/>
            <w:vAlign w:val="center"/>
            <w:shd w:fill="FCE4D6"/>
          </w:tcPr>
          <w:p>
            <w:pPr>
              <w:spacing w:before="0" w:after="0" w:line="240" w:lineRule="auto"/>
              <w:jc w:val="left"/>
            </w:pPr>
            <w:r>
              <w:rPr>
                <w:rFonts w:ascii="TH Sarabun New" w:hAnsi="TH Sarabun New" w:eastAsia="TH Sarabun New"/>
                <w:b w:val="0"/>
                <w:sz w:val="17"/>
              </w:rPr>
              <w:t>ส่วนต่างตรวจสอบ (สินทรัพย์ − หนี้สิน − ทุน)</w:t>
            </w:r>
          </w:p>
        </w:tc>
        <w:tc>
          <w:tcPr>
            <w:tcW w:type="dxa" w:w="1070"/>
            <w:vAlign w:val="center"/>
            <w:shd w:fill="FCE4D6"/>
          </w:tcPr>
          <w:p>
            <w:pPr>
              <w:spacing w:before="0" w:after="0" w:line="240" w:lineRule="auto"/>
              <w:jc w:val="center"/>
            </w:pPr>
            <w:r>
              <w:rPr>
                <w:rFonts w:ascii="TH Sarabun New" w:hAnsi="TH Sarabun New" w:eastAsia="TH Sarabun New"/>
                <w:b w:val="0"/>
                <w:sz w:val="17"/>
              </w:rPr>
              <w:t>0.00</w:t>
            </w:r>
          </w:p>
        </w:tc>
        <w:tc>
          <w:tcPr>
            <w:tcW w:type="dxa" w:w="1070"/>
            <w:vAlign w:val="center"/>
            <w:shd w:fill="FCE4D6"/>
          </w:tcPr>
          <w:p>
            <w:pPr>
              <w:spacing w:before="0" w:after="0" w:line="240" w:lineRule="auto"/>
              <w:jc w:val="center"/>
            </w:pPr>
            <w:r>
              <w:rPr>
                <w:rFonts w:ascii="TH Sarabun New" w:hAnsi="TH Sarabun New" w:eastAsia="TH Sarabun New"/>
                <w:b w:val="0"/>
                <w:sz w:val="17"/>
              </w:rPr>
              <w:t>0.00</w:t>
            </w:r>
          </w:p>
        </w:tc>
        <w:tc>
          <w:tcPr>
            <w:tcW w:type="dxa" w:w="1070"/>
            <w:vAlign w:val="center"/>
            <w:shd w:fill="FCE4D6"/>
          </w:tcPr>
          <w:p>
            <w:pPr>
              <w:spacing w:before="0" w:after="0" w:line="240" w:lineRule="auto"/>
              <w:jc w:val="center"/>
            </w:pPr>
            <w:r>
              <w:rPr>
                <w:rFonts w:ascii="TH Sarabun New" w:hAnsi="TH Sarabun New" w:eastAsia="TH Sarabun New"/>
                <w:b w:val="0"/>
                <w:sz w:val="17"/>
              </w:rPr>
              <w:t>0.00</w:t>
            </w:r>
          </w:p>
        </w:tc>
        <w:tc>
          <w:tcPr>
            <w:tcW w:type="dxa" w:w="1070"/>
            <w:vAlign w:val="center"/>
            <w:shd w:fill="FCE4D6"/>
          </w:tcPr>
          <w:p>
            <w:pPr>
              <w:spacing w:before="0" w:after="0" w:line="240" w:lineRule="auto"/>
              <w:jc w:val="center"/>
            </w:pPr>
            <w:r>
              <w:rPr>
                <w:rFonts w:ascii="TH Sarabun New" w:hAnsi="TH Sarabun New" w:eastAsia="TH Sarabun New"/>
                <w:b w:val="0"/>
                <w:sz w:val="17"/>
              </w:rPr>
              <w:t>0.00</w:t>
            </w:r>
          </w:p>
        </w:tc>
        <w:tc>
          <w:tcPr>
            <w:tcW w:type="dxa" w:w="1070"/>
            <w:vAlign w:val="center"/>
            <w:shd w:fill="FCE4D6"/>
          </w:tcPr>
          <w:p>
            <w:pPr>
              <w:spacing w:before="0" w:after="0" w:line="240" w:lineRule="auto"/>
              <w:jc w:val="center"/>
            </w:pPr>
            <w:r>
              <w:rPr>
                <w:rFonts w:ascii="TH Sarabun New" w:hAnsi="TH Sarabun New" w:eastAsia="TH Sarabun New"/>
                <w:b w:val="0"/>
                <w:sz w:val="17"/>
              </w:rPr>
              <w:t>0.00</w:t>
            </w:r>
          </w:p>
        </w:tc>
        <w:tc>
          <w:tcPr>
            <w:tcW w:type="dxa" w:w="1070"/>
            <w:vAlign w:val="center"/>
            <w:shd w:fill="FCE4D6"/>
          </w:tcPr>
          <w:p>
            <w:pPr>
              <w:spacing w:before="0" w:after="0" w:line="240" w:lineRule="auto"/>
              <w:jc w:val="center"/>
            </w:pPr>
            <w:r>
              <w:rPr>
                <w:rFonts w:ascii="TH Sarabun New" w:hAnsi="TH Sarabun New" w:eastAsia="TH Sarabun New"/>
                <w:b w:val="0"/>
                <w:sz w:val="17"/>
              </w:rPr>
              <w:t>ต้องเท่ากับศูนย์</w:t>
            </w:r>
          </w:p>
        </w:tc>
      </w:tr>
    </w:tbl>
    <w:p>
      <w:r>
        <w:rPr>
          <w:rFonts w:ascii="TH Sarabun New" w:hAnsi="TH Sarabun New" w:eastAsia="TH Sarabun New"/>
          <w:i/>
          <w:color w:val="666666"/>
          <w:sz w:val="20"/>
        </w:rPr>
        <w:t>ที่มา: ปีฐาน [1][2]; ปี 2570–2574 คำนวณจากตาราง 23; Assets = Liabilities + Equity ทุกปี</w:t>
      </w:r>
    </w:p>
    <w:p>
      <w:r>
        <w:rPr>
          <w:rFonts w:ascii="TH Sarabun New" w:hAnsi="TH Sarabun New" w:eastAsia="TH Sarabun New"/>
          <w:sz w:val="32"/>
        </w:rPr>
        <w:t>นัยเชิงกลยุทธ์ต่อ PG: งบดุลสมดุลทุกปีและ ROE ในตารางที่ 22 ใช้ average equity ที่สร้างจากตารางนี้ สินทรัพย์ทางการเงินเป็น residual liquidity ภายใต้ cash buffer และอาจเพิ่มขึ้นเมื่อ core profit/ลด inventory มากกว่าการใช้เงิน จึงไม่ขัดกับการ selective maturity/reallocation ระหว่างปี แต่ยอดจริงต้องแทนด้วย maturity schedule, asset register, dividend policy และ tax model ของบริษัท</w:t>
      </w:r>
    </w:p>
    <w:p>
      <w:pPr>
        <w:pStyle w:val="Heading2"/>
        <w:keepNext/>
        <w:spacing w:after="60" w:before="140"/>
      </w:pPr>
      <w:r>
        <w:rPr>
          <w:rFonts w:ascii="TH Sarabun New" w:hAnsi="TH Sarabun New" w:eastAsia="TH Sarabun New"/>
          <w:b/>
          <w:color w:val="2F5597"/>
          <w:sz w:val="32"/>
        </w:rPr>
        <w:t>6.5 ข้อจำกัด</w:t>
      </w:r>
    </w:p>
    <w:p>
      <w:pPr>
        <w:keepNext w:val="false"/>
        <w:spacing w:after="50" w:line="240"/>
        <w:ind w:firstLine="480"/>
        <w:jc w:val="both"/>
      </w:pPr>
      <w:r>
        <w:rPr>
          <w:rFonts w:ascii="TH Sarabun New" w:hAnsi="TH Sarabun New" w:eastAsia="TH Sarabun New"/>
          <w:sz w:val="32"/>
        </w:rPr>
        <w:t>งบแสดงฐานะการเงินที่จัดทำเป็นฉากทัศน์บริหาร ไม่ใช่การพยากรณ์ที่บริษัทรับรอง รายการที่ไม่พบข้อมูลสาธารณะเพียงพอ ถูกจัดกลุ่มและระบุสูตร/สมมติฐานในตารางที่ 23 ข้อมูลที่ต้องได้จาก P1 และฝ่ายการเงินก่อนใช้ตัดสินใจจริง ได้แก่ margin รายลูกค้า/SKU, AR/AP ageing, inventory by SKU, capex asset register, depreciation, maturity/yield ของสินทรัพย์ทางการเงิน, ภาษี, เงินปันผล และ committed orders</w:t>
      </w:r>
    </w:p>
    <w:p>
      <w:pPr>
        <w:keepNext w:val="false"/>
        <w:spacing w:after="50" w:line="240"/>
        <w:ind w:firstLine="480"/>
        <w:jc w:val="both"/>
      </w:pPr>
      <w:r>
        <w:rPr>
          <w:rFonts w:ascii="TH Sarabun New" w:hAnsi="TH Sarabun New" w:eastAsia="TH Sarabun New"/>
          <w:sz w:val="32"/>
        </w:rPr>
        <w:t>ข้อจำกัดเชิงวิธีการ: น้ำหนัก/Rating/คะแนนคู่แข่งเป็นการประเมินของผู้จัดทำจากข้อมูลสาธารณะ ไม่ใช่ข้อเท็จจริงของบริษัทคู่แข่ง เมื่อไม่พบข้อมูลสาธารณะเพียงพอ รายงานไม่ใช้ negative-absence claim และระบุว่าไม่พบหลักฐานเพียงพอ ตัวเลขฉากทัศน์ต้องทบทวนหลัง Gate 0 และทุกไตรมาส; valuation gain/loss ไม่รวมใน forecast เพราะผันผวนและไม่ใช่ผลธุรกิจหลัก</w:t>
      </w:r>
    </w:p>
    <w:p>
      <w:pPr>
        <w:pStyle w:val="Heading1"/>
        <w:keepNext/>
        <w:spacing w:after="80" w:before="180"/>
      </w:pPr>
      <w:r>
        <w:rPr>
          <w:rFonts w:ascii="TH Sarabun New" w:cs="TH Sarabun New" w:eastAsia="TH Sarabun New" w:hAnsi="TH Sarabun New"/>
          <w:b/>
          <w:bCs/>
          <w:i w:val="false"/>
          <w:iCs w:val="false"/>
          <w:sz w:val="36"/>
          <w:szCs w:val="36"/>
        </w:rPr>
        <w:t xml:space="preserve">บรรณานุกรม</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บริษัท ประชาอาภรณ์ จำกัด (มหาชน). (2569). </w:t>
      </w:r>
      <w:r>
        <w:rPr>
          <w:rFonts w:ascii="TH Sarabun New" w:cs="TH Sarabun New" w:eastAsia="TH Sarabun New" w:hAnsi="TH Sarabun New"/>
          <w:b w:val="false"/>
          <w:bCs w:val="false"/>
          <w:i/>
          <w:iCs/>
          <w:sz w:val="24"/>
          <w:szCs w:val="24"/>
        </w:rPr>
        <w:t xml:space="preserve">แบบ 56-1 One Report ประจำปี 2568</w:t>
      </w:r>
      <w:r>
        <w:rPr>
          <w:rFonts w:ascii="TH Sarabun New" w:cs="TH Sarabun New" w:eastAsia="TH Sarabun New" w:hAnsi="TH Sarabun New"/>
          <w:b w:val="false"/>
          <w:bCs w:val="false"/>
          <w:i w:val="false"/>
          <w:iCs w:val="false"/>
          <w:sz w:val="24"/>
          <w:szCs w:val="24"/>
        </w:rPr>
        <w:t xml:space="preserve">. https://investor.pg.co.th/  [1]</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บริษัท ประชาอาภรณ์ จำกัด (มหาชน). (2569). </w:t>
      </w:r>
      <w:r>
        <w:rPr>
          <w:rFonts w:ascii="TH Sarabun New" w:cs="TH Sarabun New" w:eastAsia="TH Sarabun New" w:hAnsi="TH Sarabun New"/>
          <w:b w:val="false"/>
          <w:bCs w:val="false"/>
          <w:i/>
          <w:iCs/>
          <w:sz w:val="24"/>
          <w:szCs w:val="24"/>
        </w:rPr>
        <w:t xml:space="preserve">งบการเงินที่ตรวจสอบแล้ว ประจำปี 2568</w:t>
      </w:r>
      <w:r>
        <w:rPr>
          <w:rFonts w:ascii="TH Sarabun New" w:cs="TH Sarabun New" w:eastAsia="TH Sarabun New" w:hAnsi="TH Sarabun New"/>
          <w:b w:val="false"/>
          <w:bCs w:val="false"/>
          <w:i w:val="false"/>
          <w:iCs w:val="false"/>
          <w:sz w:val="24"/>
          <w:szCs w:val="24"/>
        </w:rPr>
        <w:t xml:space="preserve">. https://investor.pg.co.th/  [2]</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บริษัท ประชาอาภรณ์ จำกัด (มหาชน). (25 กุมภาพันธ์ 2569). </w:t>
      </w:r>
      <w:r>
        <w:rPr>
          <w:rFonts w:ascii="TH Sarabun New" w:cs="TH Sarabun New" w:eastAsia="TH Sarabun New" w:hAnsi="TH Sarabun New"/>
          <w:b w:val="false"/>
          <w:bCs w:val="false"/>
          <w:i/>
          <w:iCs/>
          <w:sz w:val="24"/>
          <w:szCs w:val="24"/>
        </w:rPr>
        <w:t xml:space="preserve">คำชี้แจงผลการดำเนินงานประจำปี 2568 (ที่ ทห. 004/2569)</w:t>
      </w:r>
      <w:r>
        <w:rPr>
          <w:rFonts w:ascii="TH Sarabun New" w:cs="TH Sarabun New" w:eastAsia="TH Sarabun New" w:hAnsi="TH Sarabun New"/>
          <w:b w:val="false"/>
          <w:bCs w:val="false"/>
          <w:i w:val="false"/>
          <w:iCs w:val="false"/>
          <w:sz w:val="24"/>
          <w:szCs w:val="24"/>
        </w:rPr>
        <w:t xml:space="preserve">. เอกสารยื่นต่อตลาดหลักทรัพย์แห่งประเทศไทย.  [3]</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บริษัท ประชาอาภรณ์ จำกัด (มหาชน). (11 สิงหาคม 2569). </w:t>
      </w:r>
      <w:r>
        <w:rPr>
          <w:rFonts w:ascii="TH Sarabun New" w:cs="TH Sarabun New" w:eastAsia="TH Sarabun New" w:hAnsi="TH Sarabun New"/>
          <w:b w:val="false"/>
          <w:bCs w:val="false"/>
          <w:i/>
          <w:iCs/>
          <w:sz w:val="24"/>
          <w:szCs w:val="24"/>
        </w:rPr>
        <w:t xml:space="preserve">คำชี้แจงผลการดำเนินงานไตรมาสที่ 2 ปี 2569 (ที่ ทห. 017/2569)</w:t>
      </w:r>
      <w:r>
        <w:rPr>
          <w:rFonts w:ascii="TH Sarabun New" w:cs="TH Sarabun New" w:eastAsia="TH Sarabun New" w:hAnsi="TH Sarabun New"/>
          <w:b w:val="false"/>
          <w:bCs w:val="false"/>
          <w:i w:val="false"/>
          <w:iCs w:val="false"/>
          <w:sz w:val="24"/>
          <w:szCs w:val="24"/>
        </w:rPr>
        <w:t xml:space="preserve">. เอกสารยื่นต่อตลาดหลักทรัพย์แห่งประเทศไทย.  [4]</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ตลาดหลักทรัพย์แห่งประเทศไทย. (2569). </w:t>
      </w:r>
      <w:r>
        <w:rPr>
          <w:rFonts w:ascii="TH Sarabun New" w:cs="TH Sarabun New" w:eastAsia="TH Sarabun New" w:hAnsi="TH Sarabun New"/>
          <w:b w:val="false"/>
          <w:bCs w:val="false"/>
          <w:i/>
          <w:iCs/>
          <w:sz w:val="24"/>
          <w:szCs w:val="24"/>
        </w:rPr>
        <w:t xml:space="preserve">ผลการดำเนินงานของบริษัท ประชาอาภรณ์ จำกัด (มหาชน) ไตรมาสที่ 2 และงวดหกเดือน ปี 2569</w:t>
      </w:r>
      <w:r>
        <w:rPr>
          <w:rFonts w:ascii="TH Sarabun New" w:cs="TH Sarabun New" w:eastAsia="TH Sarabun New" w:hAnsi="TH Sarabun New"/>
          <w:b w:val="false"/>
          <w:bCs w:val="false"/>
          <w:i w:val="false"/>
          <w:iCs w:val="false"/>
          <w:sz w:val="24"/>
          <w:szCs w:val="24"/>
        </w:rPr>
        <w:t xml:space="preserve">. https://www.set.or.th/  [5]</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บริษัท ประชาอาภรณ์ จำกัด (มหาชน). (2569). </w:t>
      </w:r>
      <w:r>
        <w:rPr>
          <w:rFonts w:ascii="TH Sarabun New" w:cs="TH Sarabun New" w:eastAsia="TH Sarabun New" w:hAnsi="TH Sarabun New"/>
          <w:b w:val="false"/>
          <w:bCs w:val="false"/>
          <w:i/>
          <w:iCs/>
          <w:sz w:val="24"/>
          <w:szCs w:val="24"/>
        </w:rPr>
        <w:t xml:space="preserve">ข้อมูลบริษัท ผลิตภัณฑ์ และข้อมูลผู้ถือหุ้น</w:t>
      </w:r>
      <w:r>
        <w:rPr>
          <w:rFonts w:ascii="TH Sarabun New" w:cs="TH Sarabun New" w:eastAsia="TH Sarabun New" w:hAnsi="TH Sarabun New"/>
          <w:b w:val="false"/>
          <w:bCs w:val="false"/>
          <w:i w:val="false"/>
          <w:iCs w:val="false"/>
          <w:sz w:val="24"/>
          <w:szCs w:val="24"/>
        </w:rPr>
        <w:t xml:space="preserve">. https://www.pg.co.th/ และ https://investor.pg.co.th/shareholders-information/  [6][7]</w:t>
      </w:r>
    </w:p>
    <w:p>
      <w:pPr>
        <w:spacing w:after="40" w:line="228"/>
        <w:ind w:left="480" w:hanging="480"/>
        <w:jc w:val="left"/>
      </w:pPr>
      <w:r>
        <w:rPr>
          <w:rFonts w:ascii="TH Sarabun New" w:hAnsi="TH Sarabun New" w:eastAsia="TH Sarabun New"/>
          <w:sz w:val="26"/>
        </w:rPr>
        <w:t>สำนักงานเศรษฐกิจอุตสาหกรรม กระทรวงอุตสาหกรรม. (2569). สถานการณ์ปี 2568 และแนวโน้มปี 2569 อุตสาหกรรมสิ่งทอและเครื่องนุ่งห่ม. https://www.oie.go.th/assets/portals/1/fileups/2/files/Industry%20conditions/annual2025trends2026final.pdf [8]</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กรมส่งเสริมการค้าระหว่างประเทศ. (2569). </w:t>
      </w:r>
      <w:r>
        <w:rPr>
          <w:rFonts w:ascii="TH Sarabun New" w:cs="TH Sarabun New" w:eastAsia="TH Sarabun New" w:hAnsi="TH Sarabun New"/>
          <w:b w:val="false"/>
          <w:bCs w:val="false"/>
          <w:i/>
          <w:iCs/>
          <w:sz w:val="24"/>
          <w:szCs w:val="24"/>
        </w:rPr>
        <w:t xml:space="preserve">กระแส Recovery Wear ในประเทศญี่ปุ่น</w:t>
      </w:r>
      <w:r>
        <w:rPr>
          <w:rFonts w:ascii="TH Sarabun New" w:cs="TH Sarabun New" w:eastAsia="TH Sarabun New" w:hAnsi="TH Sarabun New"/>
          <w:b w:val="false"/>
          <w:bCs w:val="false"/>
          <w:i w:val="false"/>
          <w:iCs w:val="false"/>
          <w:sz w:val="24"/>
          <w:szCs w:val="24"/>
        </w:rPr>
        <w:t xml:space="preserve">. https://www.ditp.go.th/  [9]</w:t>
      </w:r>
    </w:p>
    <w:p>
      <w:pPr>
        <w:spacing w:after="40" w:line="228"/>
        <w:ind w:left="480" w:hanging="480"/>
        <w:jc w:val="left"/>
      </w:pPr>
      <w:r>
        <w:rPr>
          <w:rFonts w:ascii="TH Sarabun New" w:hAnsi="TH Sarabun New" w:eastAsia="TH Sarabun New"/>
          <w:sz w:val="26"/>
        </w:rPr>
        <w:t>European Commission. (2022). EU Strategy for Sustainable and Circular Textiles. https://environment.ec.europa.eu/strategy/textiles-strategy_en [10]</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European Commission. (2024). </w:t>
      </w:r>
      <w:r>
        <w:rPr>
          <w:rFonts w:ascii="TH Sarabun New" w:cs="TH Sarabun New" w:eastAsia="TH Sarabun New" w:hAnsi="TH Sarabun New"/>
          <w:b w:val="false"/>
          <w:bCs w:val="false"/>
          <w:i/>
          <w:iCs/>
          <w:sz w:val="24"/>
          <w:szCs w:val="24"/>
        </w:rPr>
        <w:t xml:space="preserve">Ecodesign for Sustainable Products Regulation (ESPR)</w:t>
      </w:r>
      <w:r>
        <w:rPr>
          <w:rFonts w:ascii="TH Sarabun New" w:cs="TH Sarabun New" w:eastAsia="TH Sarabun New" w:hAnsi="TH Sarabun New"/>
          <w:b w:val="false"/>
          <w:bCs w:val="false"/>
          <w:i w:val="false"/>
          <w:iCs w:val="false"/>
          <w:sz w:val="24"/>
          <w:szCs w:val="24"/>
        </w:rPr>
        <w:t xml:space="preserve">. https://commission.europa.eu/  [11]</w:t>
      </w:r>
    </w:p>
    <w:p>
      <w:pPr>
        <w:spacing w:after="40" w:line="228"/>
        <w:ind w:left="480" w:hanging="480"/>
        <w:jc w:val="left"/>
      </w:pPr>
      <w:r>
        <w:rPr>
          <w:rFonts w:ascii="TH Sarabun New" w:hAnsi="TH Sarabun New" w:eastAsia="TH Sarabun New"/>
          <w:sz w:val="26"/>
        </w:rPr>
        <w:t>European Union. (2024). Regulation (EU) 2024/3015 on prohibiting products made with forced labour on the Union market. https://eur-lex.europa.eu/legal-content/EN/ALL/?uri=legissum:5502411 [12]</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Nice Group Holding. (2569). </w:t>
      </w:r>
      <w:r>
        <w:rPr>
          <w:rFonts w:ascii="TH Sarabun New" w:cs="TH Sarabun New" w:eastAsia="TH Sarabun New" w:hAnsi="TH Sarabun New"/>
          <w:b w:val="false"/>
          <w:bCs w:val="false"/>
          <w:i/>
          <w:iCs/>
          <w:sz w:val="24"/>
          <w:szCs w:val="24"/>
        </w:rPr>
        <w:t xml:space="preserve">Investor Relations</w:t>
      </w:r>
      <w:r>
        <w:rPr>
          <w:rFonts w:ascii="TH Sarabun New" w:cs="TH Sarabun New" w:eastAsia="TH Sarabun New" w:hAnsi="TH Sarabun New"/>
          <w:b w:val="false"/>
          <w:bCs w:val="false"/>
          <w:i w:val="false"/>
          <w:iCs w:val="false"/>
          <w:sz w:val="24"/>
          <w:szCs w:val="24"/>
        </w:rPr>
        <w:t xml:space="preserve">. https://niceapparelgroup.com/  [13]</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Hi-Tech Apparel. (2569). </w:t>
      </w:r>
      <w:r>
        <w:rPr>
          <w:rFonts w:ascii="TH Sarabun New" w:cs="TH Sarabun New" w:eastAsia="TH Sarabun New" w:hAnsi="TH Sarabun New"/>
          <w:b w:val="false"/>
          <w:bCs w:val="false"/>
          <w:i/>
          <w:iCs/>
          <w:sz w:val="24"/>
          <w:szCs w:val="24"/>
        </w:rPr>
        <w:t xml:space="preserve">Company Profile and Manufacturing Capabilities</w:t>
      </w:r>
      <w:r>
        <w:rPr>
          <w:rFonts w:ascii="TH Sarabun New" w:cs="TH Sarabun New" w:eastAsia="TH Sarabun New" w:hAnsi="TH Sarabun New"/>
          <w:b w:val="false"/>
          <w:bCs w:val="false"/>
          <w:i w:val="false"/>
          <w:iCs w:val="false"/>
          <w:sz w:val="24"/>
          <w:szCs w:val="24"/>
        </w:rPr>
        <w:t xml:space="preserve">. https://hi-group.com/  [14]</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VT Garment. (2569). </w:t>
      </w:r>
      <w:r>
        <w:rPr>
          <w:rFonts w:ascii="TH Sarabun New" w:cs="TH Sarabun New" w:eastAsia="TH Sarabun New" w:hAnsi="TH Sarabun New"/>
          <w:b w:val="false"/>
          <w:bCs w:val="false"/>
          <w:i/>
          <w:iCs/>
          <w:sz w:val="24"/>
          <w:szCs w:val="24"/>
        </w:rPr>
        <w:t xml:space="preserve">Sustainability and ESG</w:t>
      </w:r>
      <w:r>
        <w:rPr>
          <w:rFonts w:ascii="TH Sarabun New" w:cs="TH Sarabun New" w:eastAsia="TH Sarabun New" w:hAnsi="TH Sarabun New"/>
          <w:b w:val="false"/>
          <w:bCs w:val="false"/>
          <w:i w:val="false"/>
          <w:iCs w:val="false"/>
          <w:sz w:val="24"/>
          <w:szCs w:val="24"/>
        </w:rPr>
        <w:t xml:space="preserve">. https://www.vtgarment.com/sustainability-esg/  [15]</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บริษัท วอริกซ์ สปอร์ต จำกัด (มหาชน). (2569). </w:t>
      </w:r>
      <w:r>
        <w:rPr>
          <w:rFonts w:ascii="TH Sarabun New" w:cs="TH Sarabun New" w:eastAsia="TH Sarabun New" w:hAnsi="TH Sarabun New"/>
          <w:b w:val="false"/>
          <w:bCs w:val="false"/>
          <w:i/>
          <w:iCs/>
          <w:sz w:val="24"/>
          <w:szCs w:val="24"/>
        </w:rPr>
        <w:t xml:space="preserve">แบบ 56-1 One Report ประจำปี 2568</w:t>
      </w:r>
      <w:r>
        <w:rPr>
          <w:rFonts w:ascii="TH Sarabun New" w:cs="TH Sarabun New" w:eastAsia="TH Sarabun New" w:hAnsi="TH Sarabun New"/>
          <w:b w:val="false"/>
          <w:bCs w:val="false"/>
          <w:i w:val="false"/>
          <w:iCs w:val="false"/>
          <w:sz w:val="24"/>
          <w:szCs w:val="24"/>
        </w:rPr>
        <w:t xml:space="preserve">. https://investor.warrix.co.th/  [16]</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บริษัท ซาบีน่า จำกัด (มหาชน). (2569). </w:t>
      </w:r>
      <w:r>
        <w:rPr>
          <w:rFonts w:ascii="TH Sarabun New" w:cs="TH Sarabun New" w:eastAsia="TH Sarabun New" w:hAnsi="TH Sarabun New"/>
          <w:b w:val="false"/>
          <w:bCs w:val="false"/>
          <w:i/>
          <w:iCs/>
          <w:sz w:val="24"/>
          <w:szCs w:val="24"/>
        </w:rPr>
        <w:t xml:space="preserve">รายงานการประชุมสามัญผู้ถือหุ้นประจำปี 2569 และผลการดำเนินงานปี 2568</w:t>
      </w:r>
      <w:r>
        <w:rPr>
          <w:rFonts w:ascii="TH Sarabun New" w:cs="TH Sarabun New" w:eastAsia="TH Sarabun New" w:hAnsi="TH Sarabun New"/>
          <w:b w:val="false"/>
          <w:bCs w:val="false"/>
          <w:i w:val="false"/>
          <w:iCs w:val="false"/>
          <w:sz w:val="24"/>
          <w:szCs w:val="24"/>
        </w:rPr>
        <w:t xml:space="preserve">. https://investor.sabina.co.th/  [17]</w:t>
      </w:r>
    </w:p>
    <w:p>
      <w:pPr>
        <w:spacing w:after="40" w:line="228"/>
        <w:ind w:left="480" w:hanging="480"/>
        <w:jc w:val="left"/>
      </w:pPr>
      <w:r>
        <w:rPr>
          <w:rFonts w:ascii="TH Sarabun New" w:hAnsi="TH Sarabun New" w:eastAsia="TH Sarabun New"/>
          <w:sz w:val="26"/>
        </w:rPr>
        <w:t>European Commission. (2569). Carbon Border Adjustment Mechanism: CBAM sectors. https://taxation-customs.ec.europa.eu/carbon-border-adjustment-mechanism/cbam-sectors_en [18]</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บริษัท แม็คกรุ๊ป จำกัด (มหาชน). (2569). </w:t>
      </w:r>
      <w:r>
        <w:rPr>
          <w:rFonts w:ascii="TH Sarabun New" w:cs="TH Sarabun New" w:eastAsia="TH Sarabun New" w:hAnsi="TH Sarabun New"/>
          <w:b w:val="false"/>
          <w:bCs w:val="false"/>
          <w:i/>
          <w:iCs/>
          <w:sz w:val="24"/>
          <w:szCs w:val="24"/>
        </w:rPr>
        <w:t xml:space="preserve">ผลการดำเนินงานปีบัญชี 2568</w:t>
      </w:r>
      <w:r>
        <w:rPr>
          <w:rFonts w:ascii="TH Sarabun New" w:cs="TH Sarabun New" w:eastAsia="TH Sarabun New" w:hAnsi="TH Sarabun New"/>
          <w:b w:val="false"/>
          <w:bCs w:val="false"/>
          <w:i w:val="false"/>
          <w:iCs w:val="false"/>
          <w:sz w:val="24"/>
          <w:szCs w:val="24"/>
        </w:rPr>
        <w:t xml:space="preserve">. https://www.mcgroupnet.com/  [19]</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บริษัท สหพัฒนาอินเตอร์โฮลดิ้ง จำกัด (มหาชน). (2569). </w:t>
      </w:r>
      <w:r>
        <w:rPr>
          <w:rFonts w:ascii="TH Sarabun New" w:cs="TH Sarabun New" w:eastAsia="TH Sarabun New" w:hAnsi="TH Sarabun New"/>
          <w:b w:val="false"/>
          <w:bCs w:val="false"/>
          <w:i/>
          <w:iCs/>
          <w:sz w:val="24"/>
          <w:szCs w:val="24"/>
        </w:rPr>
        <w:t xml:space="preserve">ประวัติบริษัทและการลงทุนใน PG</w:t>
      </w:r>
      <w:r>
        <w:rPr>
          <w:rFonts w:ascii="TH Sarabun New" w:cs="TH Sarabun New" w:eastAsia="TH Sarabun New" w:hAnsi="TH Sarabun New"/>
          <w:b w:val="false"/>
          <w:bCs w:val="false"/>
          <w:i w:val="false"/>
          <w:iCs w:val="false"/>
          <w:sz w:val="24"/>
          <w:szCs w:val="24"/>
        </w:rPr>
        <w:t xml:space="preserve">. https://www.spi.co.th/  [20]</w:t>
      </w:r>
    </w:p>
    <w:p>
      <w:r>
        <w:rPr>
          <w:rFonts w:ascii="TH Sarabun New" w:hAnsi="TH Sarabun New" w:eastAsia="TH Sarabun New"/>
          <w:sz w:val="26"/>
        </w:rPr>
        <w:t>บริษัท ประชาอาภรณ์ จำกัด (มหาชน). (12 พฤษภาคม 2569). มติแต่งตั้งคณะกรรมการบริษัทและคณะกรรมการชุดย่อย (ทห.013/2569). https://investor.pg.co.th/wp-content/uploads/2026/05/mati-2-69-E-12-5-69แต่งตั้งกรรมการชุดย่อย.pdf [22]</w:t>
      </w:r>
    </w:p>
    <w:p>
      <w:r>
        <w:rPr>
          <w:rFonts w:ascii="TH Sarabun New" w:hAnsi="TH Sarabun New" w:eastAsia="TH Sarabun New"/>
          <w:sz w:val="26"/>
        </w:rPr>
        <w:t>บริษัท ประชาอาภรณ์ จำกัด (มหาชน). (13 พฤษภาคม 2569). Shareholders Information. https://investor.pg.co.th/shareholders-information/ [23]</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Wheelen, T. L., Hunger, J. D., Hoffman, A. N., &amp; Bamford, C. E. (2024). </w:t>
      </w:r>
      <w:r>
        <w:rPr>
          <w:rFonts w:ascii="TH Sarabun New" w:cs="TH Sarabun New" w:eastAsia="TH Sarabun New" w:hAnsi="TH Sarabun New"/>
          <w:b w:val="false"/>
          <w:bCs w:val="false"/>
          <w:i/>
          <w:iCs/>
          <w:sz w:val="24"/>
          <w:szCs w:val="24"/>
        </w:rPr>
        <w:t xml:space="preserve">Strategic Management and Business Policy: Globalization, Innovation and Sustainability</w:t>
      </w:r>
      <w:r>
        <w:rPr>
          <w:rFonts w:ascii="TH Sarabun New" w:cs="TH Sarabun New" w:eastAsia="TH Sarabun New" w:hAnsi="TH Sarabun New"/>
          <w:b w:val="false"/>
          <w:bCs w:val="false"/>
          <w:i w:val="false"/>
          <w:iCs w:val="false"/>
          <w:sz w:val="24"/>
          <w:szCs w:val="24"/>
        </w:rPr>
        <w:t xml:space="preserve"> (16th ed., Global Edition). Pearson Education.  (เอกสารประกอบการสอนรายวิชา 460-401 บทที่ 1–12 ใช้เป็นแหล่งอ้างอิงด้านระเบียบวิธี ได้แก่ EFAS, IFAS, SFAS, VRIO, TOWS, กลยุทธ์ระดับองค์กรและระดับธุรกิจ และ Balanced Scorecard)  [21]</w:t>
      </w:r>
    </w:p>
    <w:p>
      <w:pPr>
        <w:pStyle w:val="Heading1"/>
        <w:keepNext/>
        <w:spacing w:after="80" w:before="180"/>
      </w:pPr>
      <w:r>
        <w:rPr>
          <w:rFonts w:ascii="TH Sarabun New" w:hAnsi="TH Sarabun New" w:eastAsia="TH Sarabun New"/>
          <w:b/>
          <w:color w:val="2F5597"/>
          <w:sz w:val="36"/>
        </w:rPr>
        <w:t>ภาคผนวก Strategic Traceability / Claim-to-Source / Calculation QA</w:t>
      </w:r>
    </w:p>
    <w:p>
      <w:pPr>
        <w:keepNext/>
        <w:spacing w:after="50" w:before="130"/>
        <w:jc w:val="left"/>
      </w:pPr>
      <w:r>
        <w:rPr>
          <w:rFonts w:ascii="TH Sarabun New" w:hAnsi="TH Sarabun New" w:eastAsia="TH Sarabun New"/>
          <w:b/>
          <w:sz w:val="28"/>
        </w:rPr>
        <w:t>ตารางที่ 25 ตารางสอบทานความสอดคล้องและการสืบย้อนกลับของตรรกะเชิงกลยุทธ์</w:t>
      </w:r>
    </w:p>
    <w:tbl>
      <w:tblPr>
        <w:tblW w:type="dxa" w:w="9468"/>
        <w:jc w:val="center"/>
        <w:tblBorders>
          <w:top w:val="single" w:color="B7B7B7" w:sz="4"/>
          <w:left w:val="single" w:color="B7B7B7" w:sz="4"/>
          <w:bottom w:val="single" w:color="B7B7B7" w:sz="4"/>
          <w:right w:val="single" w:color="B7B7B7" w:sz="4"/>
          <w:insideH w:val="single" w:color="B7B7B7" w:sz="4"/>
          <w:insideV w:val="single" w:color="B7B7B7" w:sz="4"/>
        </w:tblBorders>
        <w:tblLayout w:type="fixed"/>
      </w:tblPr>
      <w:tblGrid>
        <w:gridCol w:w="2500"/>
        <w:gridCol w:w="4000"/>
        <w:gridCol w:w="2520"/>
      </w:tblGrid>
      <w:tr>
        <w:trPr>
          <w:tblHeader w:val="true"/>
        </w:trPr>
        <w:tc>
          <w:tcPr>
            <w:tcW w:type="dxa" w:w="25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องค์ประกอบในบทหลัง</w:t>
            </w:r>
          </w:p>
        </w:tc>
        <w:tc>
          <w:tcPr>
            <w:tcW w:type="dxa" w:w="400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สืบย้อนกลับไปยัง</w:t>
            </w:r>
          </w:p>
        </w:tc>
        <w:tc>
          <w:tcPr>
            <w:tcW w:type="dxa" w:w="2520"/>
            <w:shd w:fill="D9E2F3" w:color="auto" w:val="clear"/>
            <w:tcMar>
              <w:top w:type="dxa" w:w="10"/>
              <w:left w:type="dxa" w:w="60"/>
              <w:bottom w:type="dxa" w:w="10"/>
              <w:right w:type="dxa" w:w="60"/>
            </w:tcMar>
            <w:vAlign w:val="center"/>
          </w:tcPr>
          <w:p>
            <w:pPr>
              <w:spacing w:before="0" w:after="0" w:line="240" w:lineRule="auto"/>
              <w:jc w:val="center"/>
            </w:pPr>
            <w:r>
              <w:rPr>
                <w:rFonts w:ascii="TH Sarabun New" w:hAnsi="TH Sarabun New" w:eastAsia="TH Sarabun New"/>
                <w:b/>
                <w:sz w:val="22"/>
              </w:rPr>
              <w:t>ตาราง/แหล่งอ้างอิง</w:t>
            </w:r>
          </w:p>
        </w:tc>
      </w:tr>
      <w:tr>
        <w:trPr/>
        <w:tc>
          <w:tcPr>
            <w:tcW w:type="dxa" w:w="2500"/>
            <w:vAlign w:val="center"/>
          </w:tcPr>
          <w:p>
            <w:pPr>
              <w:spacing w:before="0" w:after="0" w:line="240" w:lineRule="auto"/>
              <w:jc w:val="left"/>
            </w:pPr>
            <w:r>
              <w:rPr>
                <w:rFonts w:ascii="TH Sarabun New" w:hAnsi="TH Sarabun New" w:eastAsia="TH Sarabun New"/>
                <w:b w:val="0"/>
                <w:sz w:val="19"/>
              </w:rPr>
              <w:t>Current board / shareholder</w:t>
            </w:r>
          </w:p>
        </w:tc>
        <w:tc>
          <w:tcPr>
            <w:tcW w:type="dxa" w:w="4000"/>
            <w:vAlign w:val="center"/>
          </w:tcPr>
          <w:p>
            <w:pPr>
              <w:spacing w:before="0" w:after="0" w:line="240" w:lineRule="auto"/>
              <w:jc w:val="center"/>
            </w:pPr>
            <w:r>
              <w:rPr>
                <w:rFonts w:ascii="TH Sarabun New" w:hAnsi="TH Sarabun New" w:eastAsia="TH Sarabun New"/>
                <w:b w:val="0"/>
                <w:sz w:val="19"/>
              </w:rPr>
              <w:t>มติ 12 พ.ค. 2569 และทะเบียนผู้ถือหุ้น 13 พ.ค. 2569</w:t>
            </w:r>
          </w:p>
        </w:tc>
        <w:tc>
          <w:tcPr>
            <w:tcW w:type="dxa" w:w="2520"/>
            <w:vAlign w:val="center"/>
          </w:tcPr>
          <w:p>
            <w:pPr>
              <w:spacing w:before="0" w:after="0" w:line="240" w:lineRule="auto"/>
              <w:jc w:val="center"/>
            </w:pPr>
            <w:r>
              <w:rPr>
                <w:rFonts w:ascii="TH Sarabun New" w:hAnsi="TH Sarabun New" w:eastAsia="TH Sarabun New"/>
                <w:b w:val="0"/>
                <w:sz w:val="19"/>
              </w:rPr>
              <w:t>[22][23]</w:t>
            </w:r>
          </w:p>
        </w:tc>
      </w:tr>
      <w:tr>
        <w:trPr/>
        <w:tc>
          <w:tcPr>
            <w:tcW w:type="dxa" w:w="2500"/>
            <w:vAlign w:val="center"/>
          </w:tcPr>
          <w:p>
            <w:pPr>
              <w:spacing w:before="0" w:after="0" w:line="240" w:lineRule="auto"/>
              <w:jc w:val="left"/>
            </w:pPr>
            <w:r>
              <w:rPr>
                <w:rFonts w:ascii="TH Sarabun New" w:hAnsi="TH Sarabun New" w:eastAsia="TH Sarabun New"/>
                <w:b w:val="0"/>
                <w:sz w:val="19"/>
              </w:rPr>
              <w:t>O1–O4 / T1–T5 และ EFAS</w:t>
            </w:r>
          </w:p>
        </w:tc>
        <w:tc>
          <w:tcPr>
            <w:tcW w:type="dxa" w:w="4000"/>
            <w:vAlign w:val="center"/>
          </w:tcPr>
          <w:p>
            <w:pPr>
              <w:spacing w:before="0" w:after="0" w:line="240" w:lineRule="auto"/>
              <w:jc w:val="center"/>
            </w:pPr>
            <w:r>
              <w:rPr>
                <w:rFonts w:ascii="TH Sarabun New" w:hAnsi="TH Sarabun New" w:eastAsia="TH Sarabun New"/>
                <w:b w:val="0"/>
                <w:sz w:val="19"/>
              </w:rPr>
              <w:t>STEEP, Five Forces, competitor/KSF; SPI ไม่ซ้ำเป็น O</w:t>
            </w:r>
          </w:p>
        </w:tc>
        <w:tc>
          <w:tcPr>
            <w:tcW w:type="dxa" w:w="2520"/>
            <w:vAlign w:val="center"/>
          </w:tcPr>
          <w:p>
            <w:pPr>
              <w:spacing w:before="0" w:after="0" w:line="240" w:lineRule="auto"/>
              <w:jc w:val="center"/>
            </w:pPr>
            <w:r>
              <w:rPr>
                <w:rFonts w:ascii="TH Sarabun New" w:hAnsi="TH Sarabun New" w:eastAsia="TH Sarabun New"/>
                <w:b w:val="0"/>
                <w:sz w:val="19"/>
              </w:rPr>
              <w:t>ตาราง 4–8</w:t>
            </w:r>
          </w:p>
        </w:tc>
      </w:tr>
      <w:tr>
        <w:trPr/>
        <w:tc>
          <w:tcPr>
            <w:tcW w:type="dxa" w:w="2500"/>
            <w:vAlign w:val="center"/>
          </w:tcPr>
          <w:p>
            <w:pPr>
              <w:spacing w:before="0" w:after="0" w:line="240" w:lineRule="auto"/>
              <w:jc w:val="left"/>
            </w:pPr>
            <w:r>
              <w:rPr>
                <w:rFonts w:ascii="TH Sarabun New" w:hAnsi="TH Sarabun New" w:eastAsia="TH Sarabun New"/>
                <w:b w:val="0"/>
                <w:sz w:val="19"/>
              </w:rPr>
              <w:t>S1–S6 / W1–W6 และ IFAS</w:t>
            </w:r>
          </w:p>
        </w:tc>
        <w:tc>
          <w:tcPr>
            <w:tcW w:type="dxa" w:w="4000"/>
            <w:vAlign w:val="center"/>
          </w:tcPr>
          <w:p>
            <w:pPr>
              <w:spacing w:before="0" w:after="0" w:line="240" w:lineRule="auto"/>
              <w:jc w:val="center"/>
            </w:pPr>
            <w:r>
              <w:rPr>
                <w:rFonts w:ascii="TH Sarabun New" w:hAnsi="TH Sarabun New" w:eastAsia="TH Sarabun New"/>
                <w:b w:val="0"/>
                <w:sz w:val="19"/>
              </w:rPr>
              <w:t>Resources, VRIO, functions; S6 = SPI/Saha enabler</w:t>
            </w:r>
          </w:p>
        </w:tc>
        <w:tc>
          <w:tcPr>
            <w:tcW w:type="dxa" w:w="2520"/>
            <w:vAlign w:val="center"/>
          </w:tcPr>
          <w:p>
            <w:pPr>
              <w:spacing w:before="0" w:after="0" w:line="240" w:lineRule="auto"/>
              <w:jc w:val="center"/>
            </w:pPr>
            <w:r>
              <w:rPr>
                <w:rFonts w:ascii="TH Sarabun New" w:hAnsi="TH Sarabun New" w:eastAsia="TH Sarabun New"/>
                <w:b w:val="0"/>
                <w:sz w:val="19"/>
              </w:rPr>
              <w:t>ตาราง 9–11</w:t>
            </w:r>
          </w:p>
        </w:tc>
      </w:tr>
      <w:tr>
        <w:trPr/>
        <w:tc>
          <w:tcPr>
            <w:tcW w:type="dxa" w:w="2500"/>
            <w:vAlign w:val="center"/>
          </w:tcPr>
          <w:p>
            <w:pPr>
              <w:spacing w:before="0" w:after="0" w:line="240" w:lineRule="auto"/>
              <w:jc w:val="left"/>
            </w:pPr>
            <w:r>
              <w:rPr>
                <w:rFonts w:ascii="TH Sarabun New" w:hAnsi="TH Sarabun New" w:eastAsia="TH Sarabun New"/>
                <w:b w:val="0"/>
                <w:sz w:val="19"/>
              </w:rPr>
              <w:t>SFAS</w:t>
            </w:r>
          </w:p>
        </w:tc>
        <w:tc>
          <w:tcPr>
            <w:tcW w:type="dxa" w:w="4000"/>
            <w:vAlign w:val="center"/>
          </w:tcPr>
          <w:p>
            <w:pPr>
              <w:spacing w:before="0" w:after="0" w:line="240" w:lineRule="auto"/>
              <w:jc w:val="center"/>
            </w:pPr>
            <w:r>
              <w:rPr>
                <w:rFonts w:ascii="TH Sarabun New" w:hAnsi="TH Sarabun New" w:eastAsia="TH Sarabun New"/>
                <w:b w:val="0"/>
                <w:sz w:val="19"/>
              </w:rPr>
              <w:t>คัด/ให้น้ำหนักใหม่จาก EFAS/IFAS</w:t>
            </w:r>
          </w:p>
        </w:tc>
        <w:tc>
          <w:tcPr>
            <w:tcW w:type="dxa" w:w="2520"/>
            <w:vAlign w:val="center"/>
          </w:tcPr>
          <w:p>
            <w:pPr>
              <w:spacing w:before="0" w:after="0" w:line="240" w:lineRule="auto"/>
              <w:jc w:val="center"/>
            </w:pPr>
            <w:r>
              <w:rPr>
                <w:rFonts w:ascii="TH Sarabun New" w:hAnsi="TH Sarabun New" w:eastAsia="TH Sarabun New"/>
                <w:b w:val="0"/>
                <w:sz w:val="19"/>
              </w:rPr>
              <w:t>ตาราง 8,11,12</w:t>
            </w:r>
          </w:p>
        </w:tc>
      </w:tr>
      <w:tr>
        <w:trPr/>
        <w:tc>
          <w:tcPr>
            <w:tcW w:type="dxa" w:w="2500"/>
            <w:vAlign w:val="center"/>
          </w:tcPr>
          <w:p>
            <w:pPr>
              <w:spacing w:before="0" w:after="0" w:line="240" w:lineRule="auto"/>
              <w:jc w:val="left"/>
            </w:pPr>
            <w:r>
              <w:rPr>
                <w:rFonts w:ascii="TH Sarabun New" w:hAnsi="TH Sarabun New" w:eastAsia="TH Sarabun New"/>
                <w:b w:val="0"/>
                <w:sz w:val="19"/>
              </w:rPr>
              <w:t>TOWS SO/WO/ST/WT</w:t>
            </w:r>
          </w:p>
        </w:tc>
        <w:tc>
          <w:tcPr>
            <w:tcW w:type="dxa" w:w="4000"/>
            <w:vAlign w:val="center"/>
          </w:tcPr>
          <w:p>
            <w:pPr>
              <w:spacing w:before="0" w:after="0" w:line="240" w:lineRule="auto"/>
              <w:jc w:val="center"/>
            </w:pPr>
            <w:r>
              <w:rPr>
                <w:rFonts w:ascii="TH Sarabun New" w:hAnsi="TH Sarabun New" w:eastAsia="TH Sarabun New"/>
                <w:b w:val="0"/>
                <w:sz w:val="19"/>
              </w:rPr>
              <w:t>ใช้เฉพาะ factors ใน SFAS; รหัสไม่ชน OBJ</w:t>
            </w:r>
          </w:p>
        </w:tc>
        <w:tc>
          <w:tcPr>
            <w:tcW w:type="dxa" w:w="2520"/>
            <w:vAlign w:val="center"/>
          </w:tcPr>
          <w:p>
            <w:pPr>
              <w:spacing w:before="0" w:after="0" w:line="240" w:lineRule="auto"/>
              <w:jc w:val="center"/>
            </w:pPr>
            <w:r>
              <w:rPr>
                <w:rFonts w:ascii="TH Sarabun New" w:hAnsi="TH Sarabun New" w:eastAsia="TH Sarabun New"/>
                <w:b w:val="0"/>
                <w:sz w:val="19"/>
              </w:rPr>
              <w:t>ตาราง 12–13</w:t>
            </w:r>
          </w:p>
        </w:tc>
      </w:tr>
      <w:tr>
        <w:trPr/>
        <w:tc>
          <w:tcPr>
            <w:tcW w:type="dxa" w:w="2500"/>
            <w:vAlign w:val="center"/>
          </w:tcPr>
          <w:p>
            <w:pPr>
              <w:spacing w:before="0" w:after="0" w:line="240" w:lineRule="auto"/>
              <w:jc w:val="left"/>
            </w:pPr>
            <w:r>
              <w:rPr>
                <w:rFonts w:ascii="TH Sarabun New" w:hAnsi="TH Sarabun New" w:eastAsia="TH Sarabun New"/>
                <w:b w:val="0"/>
                <w:sz w:val="19"/>
              </w:rPr>
              <w:t>Alternatives A/B/C</w:t>
            </w:r>
          </w:p>
        </w:tc>
        <w:tc>
          <w:tcPr>
            <w:tcW w:type="dxa" w:w="4000"/>
            <w:vAlign w:val="center"/>
          </w:tcPr>
          <w:p>
            <w:pPr>
              <w:spacing w:before="0" w:after="0" w:line="240" w:lineRule="auto"/>
              <w:jc w:val="center"/>
            </w:pPr>
            <w:r>
              <w:rPr>
                <w:rFonts w:ascii="TH Sarabun New" w:hAnsi="TH Sarabun New" w:eastAsia="TH Sarabun New"/>
                <w:b w:val="0"/>
                <w:sz w:val="19"/>
              </w:rPr>
              <w:t>TOWS + competitor arenas + constraints</w:t>
            </w:r>
          </w:p>
        </w:tc>
        <w:tc>
          <w:tcPr>
            <w:tcW w:type="dxa" w:w="2520"/>
            <w:vAlign w:val="center"/>
          </w:tcPr>
          <w:p>
            <w:pPr>
              <w:spacing w:before="0" w:after="0" w:line="240" w:lineRule="auto"/>
              <w:jc w:val="center"/>
            </w:pPr>
            <w:r>
              <w:rPr>
                <w:rFonts w:ascii="TH Sarabun New" w:hAnsi="TH Sarabun New" w:eastAsia="TH Sarabun New"/>
                <w:b w:val="0"/>
                <w:sz w:val="19"/>
              </w:rPr>
              <w:t>ตาราง 6–7,13,16</w:t>
            </w:r>
          </w:p>
        </w:tc>
      </w:tr>
      <w:tr>
        <w:trPr/>
        <w:tc>
          <w:tcPr>
            <w:tcW w:type="dxa" w:w="2500"/>
            <w:vAlign w:val="center"/>
          </w:tcPr>
          <w:p>
            <w:pPr>
              <w:spacing w:before="0" w:after="0" w:line="240" w:lineRule="auto"/>
              <w:jc w:val="left"/>
            </w:pPr>
            <w:r>
              <w:rPr>
                <w:rFonts w:ascii="TH Sarabun New" w:hAnsi="TH Sarabun New" w:eastAsia="TH Sarabun New"/>
                <w:b w:val="0"/>
                <w:sz w:val="19"/>
              </w:rPr>
              <w:t>Recommended strategy</w:t>
            </w:r>
          </w:p>
        </w:tc>
        <w:tc>
          <w:tcPr>
            <w:tcW w:type="dxa" w:w="4000"/>
            <w:vAlign w:val="center"/>
          </w:tcPr>
          <w:p>
            <w:pPr>
              <w:spacing w:before="0" w:after="0" w:line="240" w:lineRule="auto"/>
              <w:jc w:val="center"/>
            </w:pPr>
            <w:r>
              <w:rPr>
                <w:rFonts w:ascii="TH Sarabun New" w:hAnsi="TH Sarabun New" w:eastAsia="TH Sarabun New"/>
                <w:b w:val="0"/>
                <w:sz w:val="19"/>
              </w:rPr>
              <w:t>C ชนะ 3.90 และ sensitivity; Gate 0–4</w:t>
            </w:r>
          </w:p>
        </w:tc>
        <w:tc>
          <w:tcPr>
            <w:tcW w:type="dxa" w:w="2520"/>
            <w:vAlign w:val="center"/>
          </w:tcPr>
          <w:p>
            <w:pPr>
              <w:spacing w:before="0" w:after="0" w:line="240" w:lineRule="auto"/>
              <w:jc w:val="center"/>
            </w:pPr>
            <w:r>
              <w:rPr>
                <w:rFonts w:ascii="TH Sarabun New" w:hAnsi="TH Sarabun New" w:eastAsia="TH Sarabun New"/>
                <w:b w:val="0"/>
                <w:sz w:val="19"/>
              </w:rPr>
              <w:t>หัวข้อ 4.5–4.7</w:t>
            </w:r>
          </w:p>
        </w:tc>
      </w:tr>
      <w:tr>
        <w:trPr/>
        <w:tc>
          <w:tcPr>
            <w:tcW w:type="dxa" w:w="2500"/>
            <w:vAlign w:val="center"/>
          </w:tcPr>
          <w:p>
            <w:pPr>
              <w:spacing w:before="0" w:after="0" w:line="240" w:lineRule="auto"/>
              <w:jc w:val="left"/>
            </w:pPr>
            <w:r>
              <w:rPr>
                <w:rFonts w:ascii="TH Sarabun New" w:hAnsi="TH Sarabun New" w:eastAsia="TH Sarabun New"/>
                <w:b w:val="0"/>
                <w:sz w:val="19"/>
              </w:rPr>
              <w:t>OBJ1–OBJ9</w:t>
            </w:r>
          </w:p>
        </w:tc>
        <w:tc>
          <w:tcPr>
            <w:tcW w:type="dxa" w:w="4000"/>
            <w:vAlign w:val="center"/>
          </w:tcPr>
          <w:p>
            <w:pPr>
              <w:spacing w:before="0" w:after="0" w:line="240" w:lineRule="auto"/>
              <w:jc w:val="center"/>
            </w:pPr>
            <w:r>
              <w:rPr>
                <w:rFonts w:ascii="TH Sarabun New" w:hAnsi="TH Sarabun New" w:eastAsia="TH Sarabun New"/>
                <w:b w:val="0"/>
                <w:sz w:val="19"/>
              </w:rPr>
              <w:t>Recommended strategy และ scenario targets</w:t>
            </w:r>
          </w:p>
        </w:tc>
        <w:tc>
          <w:tcPr>
            <w:tcW w:type="dxa" w:w="2520"/>
            <w:vAlign w:val="center"/>
          </w:tcPr>
          <w:p>
            <w:pPr>
              <w:spacing w:before="0" w:after="0" w:line="240" w:lineRule="auto"/>
              <w:jc w:val="center"/>
            </w:pPr>
            <w:r>
              <w:rPr>
                <w:rFonts w:ascii="TH Sarabun New" w:hAnsi="TH Sarabun New" w:eastAsia="TH Sarabun New"/>
                <w:b w:val="0"/>
                <w:sz w:val="19"/>
              </w:rPr>
              <w:t>ตาราง 15,22–24</w:t>
            </w:r>
          </w:p>
        </w:tc>
      </w:tr>
      <w:tr>
        <w:trPr/>
        <w:tc>
          <w:tcPr>
            <w:tcW w:type="dxa" w:w="2500"/>
            <w:vAlign w:val="center"/>
          </w:tcPr>
          <w:p>
            <w:pPr>
              <w:spacing w:before="0" w:after="0" w:line="240" w:lineRule="auto"/>
              <w:jc w:val="left"/>
            </w:pPr>
            <w:r>
              <w:rPr>
                <w:rFonts w:ascii="TH Sarabun New" w:hAnsi="TH Sarabun New" w:eastAsia="TH Sarabun New"/>
                <w:b w:val="0"/>
                <w:sz w:val="19"/>
              </w:rPr>
              <w:t>P1–P11 / budget</w:t>
            </w:r>
          </w:p>
        </w:tc>
        <w:tc>
          <w:tcPr>
            <w:tcW w:type="dxa" w:w="4000"/>
            <w:vAlign w:val="center"/>
          </w:tcPr>
          <w:p>
            <w:pPr>
              <w:spacing w:before="0" w:after="0" w:line="240" w:lineRule="auto"/>
              <w:jc w:val="center"/>
            </w:pPr>
            <w:r>
              <w:rPr>
                <w:rFonts w:ascii="TH Sarabun New" w:hAnsi="TH Sarabun New" w:eastAsia="TH Sarabun New"/>
                <w:b w:val="0"/>
                <w:sz w:val="19"/>
              </w:rPr>
              <w:t>OBJ/TOWS; owner/timing/budget/KPI/gate</w:t>
            </w:r>
          </w:p>
        </w:tc>
        <w:tc>
          <w:tcPr>
            <w:tcW w:type="dxa" w:w="2520"/>
            <w:vAlign w:val="center"/>
          </w:tcPr>
          <w:p>
            <w:pPr>
              <w:spacing w:before="0" w:after="0" w:line="240" w:lineRule="auto"/>
              <w:jc w:val="center"/>
            </w:pPr>
            <w:r>
              <w:rPr>
                <w:rFonts w:ascii="TH Sarabun New" w:hAnsi="TH Sarabun New" w:eastAsia="TH Sarabun New"/>
                <w:b w:val="0"/>
                <w:sz w:val="19"/>
              </w:rPr>
              <w:t>ตาราง 17–18</w:t>
            </w:r>
          </w:p>
        </w:tc>
      </w:tr>
      <w:tr>
        <w:trPr/>
        <w:tc>
          <w:tcPr>
            <w:tcW w:type="dxa" w:w="2500"/>
            <w:vAlign w:val="center"/>
          </w:tcPr>
          <w:p>
            <w:pPr>
              <w:spacing w:before="0" w:after="0" w:line="240" w:lineRule="auto"/>
              <w:jc w:val="left"/>
            </w:pPr>
            <w:r>
              <w:rPr>
                <w:rFonts w:ascii="TH Sarabun New" w:hAnsi="TH Sarabun New" w:eastAsia="TH Sarabun New"/>
                <w:b w:val="0"/>
                <w:sz w:val="19"/>
              </w:rPr>
              <w:t>BSC / risks</w:t>
            </w:r>
          </w:p>
        </w:tc>
        <w:tc>
          <w:tcPr>
            <w:tcW w:type="dxa" w:w="4000"/>
            <w:vAlign w:val="center"/>
          </w:tcPr>
          <w:p>
            <w:pPr>
              <w:spacing w:before="0" w:after="0" w:line="240" w:lineRule="auto"/>
              <w:jc w:val="center"/>
            </w:pPr>
            <w:r>
              <w:rPr>
                <w:rFonts w:ascii="TH Sarabun New" w:hAnsi="TH Sarabun New" w:eastAsia="TH Sarabun New"/>
                <w:b w:val="0"/>
                <w:sz w:val="19"/>
              </w:rPr>
              <w:t>OBJ + projects + early warning/contingency</w:t>
            </w:r>
          </w:p>
        </w:tc>
        <w:tc>
          <w:tcPr>
            <w:tcW w:type="dxa" w:w="2520"/>
            <w:vAlign w:val="center"/>
          </w:tcPr>
          <w:p>
            <w:pPr>
              <w:spacing w:before="0" w:after="0" w:line="240" w:lineRule="auto"/>
              <w:jc w:val="center"/>
            </w:pPr>
            <w:r>
              <w:rPr>
                <w:rFonts w:ascii="TH Sarabun New" w:hAnsi="TH Sarabun New" w:eastAsia="TH Sarabun New"/>
                <w:b w:val="0"/>
                <w:sz w:val="19"/>
              </w:rPr>
              <w:t>ตาราง 19–20</w:t>
            </w:r>
          </w:p>
        </w:tc>
      </w:tr>
      <w:tr>
        <w:trPr/>
        <w:tc>
          <w:tcPr>
            <w:tcW w:type="dxa" w:w="2500"/>
            <w:vAlign w:val="center"/>
          </w:tcPr>
          <w:p>
            <w:pPr>
              <w:spacing w:before="0" w:after="0" w:line="240" w:lineRule="auto"/>
              <w:jc w:val="left"/>
            </w:pPr>
            <w:r>
              <w:rPr>
                <w:rFonts w:ascii="TH Sarabun New" w:hAnsi="TH Sarabun New" w:eastAsia="TH Sarabun New"/>
                <w:b w:val="0"/>
                <w:sz w:val="19"/>
              </w:rPr>
              <w:t>Base / Strategic Case</w:t>
            </w:r>
          </w:p>
        </w:tc>
        <w:tc>
          <w:tcPr>
            <w:tcW w:type="dxa" w:w="4000"/>
            <w:vAlign w:val="center"/>
          </w:tcPr>
          <w:p>
            <w:pPr>
              <w:spacing w:before="0" w:after="0" w:line="240" w:lineRule="auto"/>
              <w:jc w:val="center"/>
            </w:pPr>
            <w:r>
              <w:rPr>
                <w:rFonts w:ascii="TH Sarabun New" w:hAnsi="TH Sarabun New" w:eastAsia="TH Sarabun New"/>
                <w:b w:val="0"/>
                <w:sz w:val="19"/>
              </w:rPr>
              <w:t>Actual 2568 + explicit formulas/assumptions</w:t>
            </w:r>
          </w:p>
        </w:tc>
        <w:tc>
          <w:tcPr>
            <w:tcW w:type="dxa" w:w="2520"/>
            <w:vAlign w:val="center"/>
          </w:tcPr>
          <w:p>
            <w:pPr>
              <w:spacing w:before="0" w:after="0" w:line="240" w:lineRule="auto"/>
              <w:jc w:val="center"/>
            </w:pPr>
            <w:r>
              <w:rPr>
                <w:rFonts w:ascii="TH Sarabun New" w:hAnsi="TH Sarabun New" w:eastAsia="TH Sarabun New"/>
                <w:b w:val="0"/>
                <w:sz w:val="19"/>
              </w:rPr>
              <w:t>ตาราง 21–23</w:t>
            </w:r>
          </w:p>
        </w:tc>
      </w:tr>
      <w:tr>
        <w:trPr/>
        <w:tc>
          <w:tcPr>
            <w:tcW w:type="dxa" w:w="2500"/>
            <w:vAlign w:val="center"/>
          </w:tcPr>
          <w:p>
            <w:pPr>
              <w:spacing w:before="0" w:after="0" w:line="240" w:lineRule="auto"/>
              <w:jc w:val="left"/>
            </w:pPr>
            <w:r>
              <w:rPr>
                <w:rFonts w:ascii="TH Sarabun New" w:hAnsi="TH Sarabun New" w:eastAsia="TH Sarabun New"/>
                <w:b w:val="0"/>
                <w:sz w:val="19"/>
              </w:rPr>
              <w:t>Projected SFP / ROE</w:t>
            </w:r>
          </w:p>
        </w:tc>
        <w:tc>
          <w:tcPr>
            <w:tcW w:type="dxa" w:w="4000"/>
            <w:vAlign w:val="center"/>
          </w:tcPr>
          <w:p>
            <w:pPr>
              <w:spacing w:before="0" w:after="0" w:line="240" w:lineRule="auto"/>
              <w:jc w:val="center"/>
            </w:pPr>
            <w:r>
              <w:rPr>
                <w:rFonts w:ascii="TH Sarabun New" w:hAnsi="TH Sarabun New" w:eastAsia="TH Sarabun New"/>
                <w:b w:val="0"/>
                <w:sz w:val="19"/>
              </w:rPr>
              <w:t>AR/Inventory/AP/Capex/Dep./Fin assets/Debt/Dividend/RE/Cash</w:t>
            </w:r>
          </w:p>
        </w:tc>
        <w:tc>
          <w:tcPr>
            <w:tcW w:type="dxa" w:w="2520"/>
            <w:vAlign w:val="center"/>
          </w:tcPr>
          <w:p>
            <w:pPr>
              <w:spacing w:before="0" w:after="0" w:line="240" w:lineRule="auto"/>
              <w:jc w:val="center"/>
            </w:pPr>
            <w:r>
              <w:rPr>
                <w:rFonts w:ascii="TH Sarabun New" w:hAnsi="TH Sarabun New" w:eastAsia="TH Sarabun New"/>
                <w:b w:val="0"/>
                <w:sz w:val="19"/>
              </w:rPr>
              <w:t>ตาราง 23–24</w:t>
            </w:r>
          </w:p>
        </w:tc>
      </w:tr>
      <w:tr>
        <w:trPr/>
        <w:tc>
          <w:tcPr>
            <w:tcW w:type="dxa" w:w="2500"/>
            <w:vAlign w:val="center"/>
          </w:tcPr>
          <w:p>
            <w:pPr>
              <w:spacing w:before="0" w:after="0" w:line="240" w:lineRule="auto"/>
              <w:jc w:val="left"/>
            </w:pPr>
            <w:r>
              <w:rPr>
                <w:rFonts w:ascii="TH Sarabun New" w:hAnsi="TH Sarabun New" w:eastAsia="TH Sarabun New"/>
                <w:b w:val="0"/>
                <w:sz w:val="19"/>
              </w:rPr>
              <w:t>H1/2569 narrative</w:t>
            </w:r>
          </w:p>
        </w:tc>
        <w:tc>
          <w:tcPr>
            <w:tcW w:type="dxa" w:w="4000"/>
            <w:vAlign w:val="center"/>
          </w:tcPr>
          <w:p>
            <w:pPr>
              <w:spacing w:before="0" w:after="0" w:line="240" w:lineRule="auto"/>
              <w:jc w:val="center"/>
            </w:pPr>
            <w:r>
              <w:rPr>
                <w:rFonts w:ascii="TH Sarabun New" w:hAnsi="TH Sarabun New" w:eastAsia="TH Sarabun New"/>
                <w:b w:val="0"/>
                <w:sz w:val="19"/>
              </w:rPr>
              <w:t>SG&amp;A reduction + valuation reversal; other income down</w:t>
            </w:r>
          </w:p>
        </w:tc>
        <w:tc>
          <w:tcPr>
            <w:tcW w:type="dxa" w:w="2520"/>
            <w:vAlign w:val="center"/>
          </w:tcPr>
          <w:p>
            <w:pPr>
              <w:spacing w:before="0" w:after="0" w:line="240" w:lineRule="auto"/>
              <w:jc w:val="center"/>
            </w:pPr>
            <w:r>
              <w:rPr>
                <w:rFonts w:ascii="TH Sarabun New" w:hAnsi="TH Sarabun New" w:eastAsia="TH Sarabun New"/>
                <w:b w:val="0"/>
                <w:sz w:val="19"/>
              </w:rPr>
              <w:t>ตาราง 3, [4]</w:t>
            </w:r>
          </w:p>
        </w:tc>
      </w:tr>
      <w:tr>
        <w:trPr/>
        <w:tc>
          <w:tcPr>
            <w:tcW w:type="dxa" w:w="2500"/>
            <w:vAlign w:val="center"/>
          </w:tcPr>
          <w:p>
            <w:pPr>
              <w:spacing w:before="0" w:after="0" w:line="240" w:lineRule="auto"/>
              <w:jc w:val="left"/>
            </w:pPr>
            <w:r>
              <w:rPr>
                <w:rFonts w:ascii="TH Sarabun New" w:hAnsi="TH Sarabun New" w:eastAsia="TH Sarabun New"/>
                <w:b w:val="0"/>
                <w:sz w:val="19"/>
              </w:rPr>
              <w:t>EU compliance</w:t>
            </w:r>
          </w:p>
        </w:tc>
        <w:tc>
          <w:tcPr>
            <w:tcW w:type="dxa" w:w="4000"/>
            <w:vAlign w:val="center"/>
          </w:tcPr>
          <w:p>
            <w:pPr>
              <w:spacing w:before="0" w:after="0" w:line="240" w:lineRule="auto"/>
              <w:jc w:val="center"/>
            </w:pPr>
            <w:r>
              <w:rPr>
                <w:rFonts w:ascii="TH Sarabun New" w:hAnsi="TH Sarabun New" w:eastAsia="TH Sarabun New"/>
                <w:b w:val="0"/>
                <w:sz w:val="19"/>
              </w:rPr>
              <w:t>CBAM sectors; FLR 14 Dec 2027; cautious DPP</w:t>
            </w:r>
          </w:p>
        </w:tc>
        <w:tc>
          <w:tcPr>
            <w:tcW w:type="dxa" w:w="2520"/>
            <w:vAlign w:val="center"/>
          </w:tcPr>
          <w:p>
            <w:pPr>
              <w:spacing w:before="0" w:after="0" w:line="240" w:lineRule="auto"/>
              <w:jc w:val="center"/>
            </w:pPr>
            <w:r>
              <w:rPr>
                <w:rFonts w:ascii="TH Sarabun New" w:hAnsi="TH Sarabun New" w:eastAsia="TH Sarabun New"/>
                <w:b w:val="0"/>
                <w:sz w:val="19"/>
              </w:rPr>
              <w:t>[10][11][12][18]</w:t>
            </w:r>
          </w:p>
        </w:tc>
      </w:tr>
    </w:tbl>
    <w:p>
      <w:r>
        <w:rPr>
          <w:rFonts w:ascii="TH Sarabun New" w:hAnsi="TH Sarabun New" w:eastAsia="TH Sarabun New"/>
          <w:i/>
          <w:color w:val="666666"/>
          <w:sz w:val="20"/>
        </w:rPr>
        <w:t>ที่มา: Strategic traceability audit ของผู้จัดทำ; แหล่งหลัก [1]–[23]</w:t>
      </w:r>
    </w:p>
    <w:p>
      <w:pPr>
        <w:keepNext w:val="false"/>
        <w:spacing w:after="50" w:line="240"/>
        <w:ind w:firstLine="480"/>
        <w:jc w:val="both"/>
      </w:pPr>
      <w:r>
        <w:rPr>
          <w:rFonts w:ascii="TH Sarabun New" w:hAnsi="TH Sarabun New" w:eastAsia="TH Sarabun New"/>
          <w:sz w:val="32"/>
        </w:rPr>
        <w:t>การตรวจสอบเชิงตัวเลขและเนื้อหาฉบับปรับปรุงดำเนินการด้วยโปรแกรม: EFAS/IFAS/SFAS/KSF/decision weights รวม 1.00; weighted score = weight×rating; budget low/high = 102.5/174.0; Gross Profit = Revenue×Gross Margin; core proxy = GP−SG&amp;A; DIO = Average Inventory/COGS×365; projected assets = liabilities+equity; ROE ใช้ average equity; ไม่พบรหัสวัตถุประสงค์ซ้ำกับ TOWS</w:t>
      </w:r>
    </w:p>
    <w:sectPr>
      <w:footerReference w:type="default" r:id="rId10"/>
      <w:pgSz w:w="11906" w:h="16838" w:orient="portrait"/>
      <w:pgMar w:top="1191" w:right="1077" w:bottom="1077" w:left="136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sz w:val="28"/>
        <w:szCs w:val="2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32"/>
        <w:szCs w:val="32"/>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H Sarabun New" w:cs="TH Sarabun New" w:eastAsia="TH Sarabun New" w:hAnsi="TH Sarabun New"/>
      <w:b/>
      <w:bCs/>
      <w:color w:val="1F3864"/>
      <w:sz w:val="36"/>
      <w:szCs w:val="36"/>
    </w:rPr>
  </w:style>
  <w:style w:type="paragraph" w:styleId="Heading2">
    <w:name w:val="Heading 2"/>
    <w:basedOn w:val="Normal"/>
    <w:next w:val="Normal"/>
    <w:qFormat/>
    <w:rPr>
      <w:rFonts w:ascii="TH Sarabun New" w:cs="TH Sarabun New" w:eastAsia="TH Sarabun New" w:hAnsi="TH Sarabun New"/>
      <w:b/>
      <w:bCs/>
      <w:color w:val="2E5496"/>
      <w:sz w:val="32"/>
      <w:szCs w:val="32"/>
    </w:rPr>
  </w:style>
  <w:style w:type="paragraph" w:styleId="Heading3">
    <w:name w:val="Heading 3"/>
    <w:basedOn w:val="Normal"/>
    <w:next w:val="Normal"/>
    <w:qFormat/>
    <w:rPr>
      <w:rFonts w:ascii="TH Sarabun New" w:cs="TH Sarabun New" w:eastAsia="TH Sarabun New" w:hAnsi="TH Sarabun New"/>
      <w:b/>
      <w:bCs/>
      <w:color w:val="000000"/>
      <w:sz w:val="32"/>
      <w:szCs w:val="3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40"/>
    </w:pPr>
    <w:rPr>
      <w:rFonts w:ascii="TH Sarabun New" w:cs="TH Sarabun New" w:eastAsia="TH Sarabun New" w:hAnsi="TH Sarabun New"/>
      <w:sz w:val="32"/>
      <w:szCs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01bf0d776b9b1b5e38e5bee50a76016c78e32bbd.png"/><Relationship Id="rId12" Type="http://schemas.openxmlformats.org/officeDocument/2006/relationships/image" Target="media/7d64a379f93eb4f48ad018abc6e97c7b9cf0aed2.png"/><Relationship Id="rId13" Type="http://schemas.openxmlformats.org/officeDocument/2006/relationships/image" Target="media/453350a91fb2fe6a6851c42f61b19352b6a00e49.png"/><Relationship Id="rId14" Type="http://schemas.openxmlformats.org/officeDocument/2006/relationships/image" Target="media/21e4b4006640321a1dd6f0bbdf992a467e2ddde8.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แผนกลยุทธ์ บริษัท ประชาอาภรณ์ จำกัด (มหาชน) ฉบับปรับปรุง 2569</dc:title>
  <dc:creator>คณะผู้จัดทำรายงานวิชา 460-401 การจัดการเชิงกลยุทธ์</dc:creator>
  <cp:lastModifiedBy>Un-named</cp:lastModifiedBy>
  <cp:revision>1</cp:revision>
  <dcterms:created xsi:type="dcterms:W3CDTF">2026-09-01T09:39:51.628Z</dcterms:created>
  <dcterms:modified xsi:type="dcterms:W3CDTF">2026-09-01T09:39:51.628Z</dcterms:modified>
  <dc:subject>Focused Turnaround + Concentrated Growth, 2570–2574</dc:subject>
  <dc:description>ปรับปรุงข้อมูลถึง 31 สิงหาคม 2569; Management Target Scenario ไม่ใช่คำแนะนำของบริษัท</dc:description>
</cp:coreProperties>
</file>

<file path=docProps/custom.xml><?xml version="1.0" encoding="utf-8"?>
<Properties xmlns="http://schemas.openxmlformats.org/officeDocument/2006/custom-properties" xmlns:vt="http://schemas.openxmlformats.org/officeDocument/2006/docPropsVTypes"/>
</file>