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80"/>
        <w:rPr/>
      </w:pPr>
      <w:r>
        <w:rPr/>
      </w:r>
    </w:p>
    <w:p>
      <w:pPr>
        <w:pStyle w:val="Normal"/>
        <w:spacing w:before="0" w:after="60"/>
        <w:jc w:val="center"/>
        <w:rPr/>
      </w:pPr>
      <w:r>
        <w:rPr>
          <w:b/>
          <w:bCs/>
          <w:color w:val="146C94"/>
          <w:sz w:val="32"/>
          <w:szCs w:val="32"/>
        </w:rPr>
        <w:t>EncryptEdge Labs</w:t>
      </w:r>
    </w:p>
    <w:p>
      <w:pPr>
        <w:pStyle w:val="Normal"/>
        <w:spacing w:before="0" w:after="40"/>
        <w:jc w:val="center"/>
        <w:rPr/>
      </w:pPr>
      <w:r>
        <w:rPr>
          <w:color w:val="6B8CA3"/>
          <w:sz w:val="22"/>
          <w:szCs w:val="22"/>
        </w:rPr>
        <w:t>Junior Cloud Security Engineer Internship Programme</w:t>
      </w:r>
    </w:p>
    <w:p>
      <w:pPr>
        <w:pStyle w:val="Normal"/>
        <w:pBdr>
          <w:bottom w:val="single" w:sz="8" w:space="8" w:color="146C94"/>
        </w:pBdr>
        <w:spacing w:before="0" w:after="360"/>
        <w:jc w:val="center"/>
        <w:rPr/>
      </w:pPr>
      <w:r>
        <w:rPr/>
      </w:r>
    </w:p>
    <w:p>
      <w:pPr>
        <w:pStyle w:val="Normal"/>
        <w:spacing w:before="0" w:after="100"/>
        <w:jc w:val="center"/>
        <w:rPr/>
      </w:pPr>
      <w:r>
        <w:rPr>
          <w:b/>
          <w:bCs/>
          <w:color w:val="0D2137"/>
          <w:sz w:val="56"/>
          <w:szCs w:val="56"/>
        </w:rPr>
        <w:t>Junior Cloud Security Engineer</w:t>
      </w:r>
    </w:p>
    <w:p>
      <w:pPr>
        <w:pStyle w:val="Normal"/>
        <w:spacing w:before="0" w:after="560"/>
        <w:jc w:val="center"/>
        <w:rPr/>
      </w:pPr>
      <w:r>
        <w:rPr>
          <w:color w:val="0E4F6E"/>
          <w:sz w:val="40"/>
          <w:szCs w:val="40"/>
        </w:rPr>
        <w:t>Internship Task Report</w:t>
      </w:r>
    </w:p>
    <w:tbl>
      <w:tblPr>
        <w:tblW w:w="7560" w:type="dxa"/>
        <w:jc w:val="center"/>
        <w:tblInd w:w="0" w:type="dxa"/>
        <w:tblLayout w:type="fixed"/>
        <w:tblCellMar>
          <w:top w:w="80" w:type="dxa"/>
          <w:left w:w="120" w:type="dxa"/>
          <w:bottom w:w="80" w:type="dxa"/>
          <w:right w:w="120" w:type="dxa"/>
        </w:tblCellMar>
        <w:tblLook w:firstRow="1" w:noVBand="1" w:lastRow="0" w:firstColumn="1" w:lastColumn="0" w:noHBand="0" w:val="04a0"/>
      </w:tblPr>
      <w:tblGrid>
        <w:gridCol w:w="2760"/>
        <w:gridCol w:w="4799"/>
      </w:tblGrid>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Intern Full Name</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spacing w:before="0" w:after="160"/>
              <w:rPr/>
            </w:pPr>
            <w:r>
              <w:rPr>
                <w:i/>
                <w:iCs/>
                <w:color w:val="2E7EB8"/>
                <w:sz w:val="20"/>
                <w:szCs w:val="20"/>
              </w:rPr>
              <w:t>Yusuf Nusirat Titilayo</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Intern Email</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titilayoyusuf109@gmail.com</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Cohort</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spacing w:before="0" w:after="160"/>
              <w:rPr>
                <w:i/>
                <w:i/>
                <w:iCs/>
                <w:color w:val="2E7EB8"/>
                <w:sz w:val="20"/>
                <w:szCs w:val="20"/>
              </w:rPr>
            </w:pPr>
            <w:r>
              <w:rPr>
                <w:i/>
                <w:iCs/>
                <w:color w:val="2E7EB8"/>
                <w:sz w:val="20"/>
                <w:szCs w:val="20"/>
              </w:rPr>
              <w:t xml:space="preserve"> </w:t>
            </w:r>
            <w:r>
              <w:rPr>
                <w:i/>
                <w:iCs/>
                <w:color w:val="2E7EB8"/>
                <w:sz w:val="20"/>
                <w:szCs w:val="20"/>
              </w:rPr>
              <w:t>Cohort EEL-2026-09-INT-C08</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Task ID</w:t>
            </w:r>
          </w:p>
        </w:tc>
        <w:tc>
          <w:tcPr>
            <w:tcW w:w="4799" w:type="dxa"/>
            <w:tcBorders>
              <w:top w:val="single" w:sz="4" w:space="0" w:color="C6D3DB"/>
              <w:left w:val="single" w:sz="4" w:space="0" w:color="C6D3DB"/>
              <w:bottom w:val="single" w:sz="4" w:space="0" w:color="C6D3DB"/>
              <w:right w:val="single" w:sz="4" w:space="0" w:color="C6D3DB"/>
            </w:tcBorders>
            <w:shd w:color="auto" w:fill="FFFFFF" w:val="clear"/>
            <w:vAlign w:val="center"/>
          </w:tcPr>
          <w:p>
            <w:pPr>
              <w:pStyle w:val="Normal"/>
              <w:widowControl/>
              <w:bidi w:val="0"/>
              <w:spacing w:lineRule="auto" w:line="259" w:before="0" w:after="160"/>
              <w:jc w:val="left"/>
              <w:rPr/>
            </w:pPr>
            <w:r>
              <w:rPr>
                <w:i/>
                <w:iCs/>
                <w:color w:val="2E7EB8"/>
                <w:sz w:val="19"/>
                <w:szCs w:val="19"/>
              </w:rPr>
              <w:t>CSE-AWS-L-007-04</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Task Title</w:t>
            </w:r>
          </w:p>
        </w:tc>
        <w:tc>
          <w:tcPr>
            <w:tcW w:w="4799" w:type="dxa"/>
            <w:tcBorders>
              <w:top w:val="single" w:sz="4" w:space="0" w:color="C6D3DB"/>
              <w:left w:val="single" w:sz="4" w:space="0" w:color="C6D3DB"/>
              <w:bottom w:val="single" w:sz="4" w:space="0" w:color="C6D3DB"/>
              <w:right w:val="single" w:sz="4" w:space="0" w:color="C6D3DB"/>
            </w:tcBorders>
            <w:shd w:color="auto" w:fill="FFFFFF" w:val="clear"/>
            <w:vAlign w:val="center"/>
          </w:tcPr>
          <w:p>
            <w:pPr>
              <w:pStyle w:val="Normal"/>
              <w:spacing w:before="0" w:after="160"/>
              <w:rPr>
                <w:i/>
                <w:i/>
                <w:iCs/>
                <w:color w:val="2E7EB8"/>
                <w:sz w:val="19"/>
                <w:szCs w:val="19"/>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iCs/>
                <w:caps w:val="false"/>
                <w:smallCaps w:val="false"/>
                <w:color w:val="1D2125"/>
                <w:spacing w:val="0"/>
                <w:sz w:val="21"/>
                <w:szCs w:val="19"/>
              </w:rPr>
              <w:t>IAM Enumeration, Visibility Analysis, and Access Mapping</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Skill Domain</w:t>
            </w:r>
          </w:p>
        </w:tc>
        <w:tc>
          <w:tcPr>
            <w:tcW w:w="4799" w:type="dxa"/>
            <w:tcBorders>
              <w:top w:val="single" w:sz="4" w:space="0" w:color="C6D3DB"/>
              <w:left w:val="single" w:sz="4" w:space="0" w:color="C6D3DB"/>
              <w:bottom w:val="single" w:sz="4" w:space="0" w:color="C6D3DB"/>
              <w:right w:val="single" w:sz="4" w:space="0" w:color="C6D3DB"/>
            </w:tcBorders>
            <w:shd w:color="auto" w:fill="FFFFFF" w:val="clear"/>
            <w:vAlign w:val="center"/>
          </w:tcPr>
          <w:p>
            <w:pPr>
              <w:pStyle w:val="Normal"/>
              <w:spacing w:before="0" w:after="160"/>
              <w:rPr>
                <w:i/>
                <w:i/>
                <w:iCs/>
                <w:color w:val="2E7EB8"/>
                <w:sz w:val="19"/>
                <w:szCs w:val="19"/>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iCs/>
                <w:caps w:val="false"/>
                <w:smallCaps w:val="false"/>
                <w:color w:val="1D2125"/>
                <w:spacing w:val="0"/>
                <w:sz w:val="21"/>
                <w:szCs w:val="19"/>
              </w:rPr>
              <w:t>AWS Identity and Access Management (IAM) Security</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Difficulty Level</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Advanced</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CPE Credits</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4 CPE Credits</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Guiding Framework(s)</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MITRE ATT&amp;CK / NIST CSF / NIST SP 800-53 / CIS Benchmarks / ISO 27001 / OWASP / NICE Framework]</w:t>
            </w:r>
          </w:p>
        </w:tc>
      </w:tr>
      <w:tr>
        <w:trPr/>
        <w:tc>
          <w:tcPr>
            <w:tcW w:w="2760"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color w:val="0D2137"/>
                <w:sz w:val="20"/>
                <w:szCs w:val="20"/>
              </w:rPr>
              <w:t>Submission Date</w:t>
            </w:r>
          </w:p>
        </w:tc>
        <w:tc>
          <w:tcPr>
            <w:tcW w:w="4799"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pPr>
            <w:r>
              <w:rPr>
                <w:i/>
                <w:iCs/>
                <w:color w:val="2E7EB8"/>
                <w:sz w:val="20"/>
                <w:szCs w:val="20"/>
              </w:rPr>
              <w:t>19 October 2026</w:t>
            </w:r>
          </w:p>
        </w:tc>
      </w:tr>
    </w:tbl>
    <w:p>
      <w:pPr>
        <w:pStyle w:val="Normal"/>
        <w:pBdr>
          <w:top w:val="single" w:sz="6" w:space="8" w:color="C6D3DB"/>
        </w:pBdr>
        <w:spacing w:before="480" w:after="40"/>
        <w:jc w:val="center"/>
        <w:rPr/>
      </w:pPr>
      <w:r>
        <w:rPr>
          <w:color w:val="6B8CA3"/>
          <w:sz w:val="16"/>
          <w:szCs w:val="16"/>
        </w:rPr>
        <w:t>Copyright © 2026 EncryptEdge Labs Limited  |  Company No. 15830711  |  United Kingdom</w:t>
      </w:r>
    </w:p>
    <w:p>
      <w:pPr>
        <w:pStyle w:val="Normal"/>
        <w:jc w:val="center"/>
        <w:rPr/>
      </w:pPr>
      <w:r>
        <w:rPr>
          <w:i/>
          <w:iCs/>
          <w:color w:val="6B8CA3"/>
          <w:sz w:val="16"/>
          <w:szCs w:val="16"/>
        </w:rPr>
        <w:t>All activities in this report were performed within authorised lab environments as defined by the task brief.</w:t>
      </w:r>
    </w:p>
    <w:p>
      <w:pPr>
        <w:pStyle w:val="Normal"/>
        <w:rPr/>
      </w:pPr>
      <w:r>
        <w:rPr/>
      </w:r>
      <w:r>
        <w:br w:type="page"/>
      </w:r>
    </w:p>
    <w:p>
      <w:pPr>
        <w:pStyle w:val="Heading1"/>
        <w:pBdr>
          <w:bottom w:val="single" w:sz="8" w:space="6" w:color="146C94"/>
        </w:pBdr>
        <w:spacing w:before="0" w:after="160"/>
        <w:rPr/>
      </w:pPr>
      <w:r>
        <w:rPr>
          <w:b/>
          <w:bCs/>
          <w:color w:val="0D2137"/>
        </w:rPr>
        <w:t>How to Use This Template</w:t>
      </w:r>
    </w:p>
    <w:p>
      <w:pPr>
        <w:pStyle w:val="Normal"/>
        <w:spacing w:before="0" w:after="120"/>
        <w:rPr>
          <w:sz w:val="22"/>
          <w:szCs w:val="22"/>
        </w:rPr>
      </w:pPr>
      <w:r>
        <w:rPr>
          <w:color w:val="0D2137"/>
          <w:sz w:val="22"/>
          <w:szCs w:val="22"/>
        </w:rPr>
        <w:t>This template is designed for all tasks within the EncryptEdge Labs Junior Cloud Security Engineer Internship Programme — covering account hardening, IAM and access control, storage security, network security, compute security, container security, IaC security, threat detection, logging and monitoring, vulnerability assessment, compliance validation, and incident response.</w:t>
      </w:r>
    </w:p>
    <w:p>
      <w:pPr>
        <w:pStyle w:val="Normal"/>
        <w:spacing w:before="0" w:after="80"/>
        <w:rPr>
          <w:sz w:val="22"/>
          <w:szCs w:val="22"/>
        </w:rPr>
      </w:pPr>
      <w:r>
        <w:rPr>
          <w:sz w:val="22"/>
          <w:szCs w:val="22"/>
        </w:rPr>
      </w:r>
    </w:p>
    <w:p>
      <w:pPr>
        <w:pStyle w:val="Normal"/>
        <w:spacing w:before="0" w:after="120"/>
        <w:rPr>
          <w:sz w:val="22"/>
          <w:szCs w:val="22"/>
        </w:rPr>
      </w:pPr>
      <w:r>
        <w:rPr>
          <w:b/>
          <w:bCs/>
          <w:color w:val="0D2137"/>
          <w:sz w:val="22"/>
          <w:szCs w:val="22"/>
        </w:rPr>
        <w:t>Three rules apply to every section:</w:t>
      </w:r>
    </w:p>
    <w:p>
      <w:pPr>
        <w:pStyle w:val="ListParagraph"/>
        <w:numPr>
          <w:ilvl w:val="0"/>
          <w:numId w:val="55"/>
        </w:numPr>
        <w:spacing w:before="0" w:after="60"/>
        <w:ind w:hanging="360" w:left="360"/>
        <w:rPr>
          <w:sz w:val="22"/>
          <w:szCs w:val="22"/>
        </w:rPr>
      </w:pPr>
      <w:r>
        <w:rPr>
          <w:color w:val="0D2137"/>
          <w:sz w:val="22"/>
          <w:szCs w:val="22"/>
        </w:rPr>
        <w:t>Replace every placeholder shown in blue italic text with your own content.</w:t>
      </w:r>
    </w:p>
    <w:p>
      <w:pPr>
        <w:pStyle w:val="ListParagraph"/>
        <w:numPr>
          <w:ilvl w:val="0"/>
          <w:numId w:val="56"/>
        </w:numPr>
        <w:spacing w:before="0" w:after="60"/>
        <w:ind w:hanging="360" w:left="360"/>
        <w:rPr>
          <w:sz w:val="22"/>
          <w:szCs w:val="22"/>
        </w:rPr>
      </w:pPr>
      <w:r>
        <w:rPr>
          <w:color w:val="0D2137"/>
          <w:sz w:val="22"/>
          <w:szCs w:val="22"/>
        </w:rPr>
        <w:t>Delete any hint or guidance line that begins with ℹ once you have used it. These are scaffolding notes, not part of your final report.</w:t>
      </w:r>
    </w:p>
    <w:p>
      <w:pPr>
        <w:pStyle w:val="ListParagraph"/>
        <w:numPr>
          <w:ilvl w:val="0"/>
          <w:numId w:val="57"/>
        </w:numPr>
        <w:spacing w:before="0" w:after="60"/>
        <w:ind w:hanging="360" w:left="360"/>
        <w:rPr>
          <w:sz w:val="22"/>
          <w:szCs w:val="22"/>
        </w:rPr>
      </w:pPr>
      <w:r>
        <w:rPr>
          <w:color w:val="0D2137"/>
          <w:sz w:val="22"/>
          <w:szCs w:val="22"/>
        </w:rPr>
        <w:t>Do not add or remove sections. Every section is required. If a section genuinely does not apply to your specific task, write one sentence explaining why rather than leaving it blank.</w:t>
      </w:r>
    </w:p>
    <w:p>
      <w:pPr>
        <w:pStyle w:val="Normal"/>
        <w:rPr/>
      </w:pPr>
      <w:r>
        <w:rPr/>
      </w:r>
    </w:p>
    <w:tbl>
      <w:tblPr>
        <w:tblW w:w="9360" w:type="dxa"/>
        <w:jc w:val="left"/>
        <w:tblInd w:w="0" w:type="dxa"/>
        <w:tblLayout w:type="fixed"/>
        <w:tblCellMar>
          <w:top w:w="80" w:type="dxa"/>
          <w:left w:w="120" w:type="dxa"/>
          <w:bottom w:w="80" w:type="dxa"/>
          <w:right w:w="80" w:type="dxa"/>
        </w:tblCellMar>
        <w:tblLook w:firstRow="1" w:noVBand="1" w:lastRow="0" w:firstColumn="1" w:lastColumn="0" w:noHBand="0" w:val="04a0"/>
      </w:tblPr>
      <w:tblGrid>
        <w:gridCol w:w="9360"/>
      </w:tblGrid>
      <w:tr>
        <w:trPr/>
        <w:tc>
          <w:tcPr>
            <w:tcW w:w="9360" w:type="dxa"/>
            <w:tcBorders>
              <w:left w:val="single" w:sz="12" w:space="0" w:color="C6D3DB"/>
            </w:tcBorders>
            <w:shd w:color="auto" w:fill="F4F7F9" w:val="clear"/>
          </w:tcPr>
          <w:p>
            <w:pPr>
              <w:pStyle w:val="Normal"/>
              <w:spacing w:before="0" w:after="60"/>
              <w:rPr>
                <w:sz w:val="24"/>
                <w:szCs w:val="24"/>
              </w:rPr>
            </w:pPr>
            <w:r>
              <w:rPr>
                <w:color w:val="0D2137"/>
                <w:sz w:val="22"/>
                <w:szCs w:val="22"/>
              </w:rPr>
              <w:t>Naming convention for your submitted file:  CSE_[TaskID]_[YourInitials]_[YYYYMMDD].pdf</w:t>
            </w:r>
          </w:p>
          <w:p>
            <w:pPr>
              <w:pStyle w:val="Normal"/>
              <w:spacing w:before="0" w:after="60"/>
              <w:rPr/>
            </w:pPr>
            <w:r>
              <w:rPr>
                <w:i/>
                <w:iCs/>
                <w:color w:val="0D2137"/>
                <w:sz w:val="18"/>
                <w:szCs w:val="18"/>
              </w:rPr>
              <w:t xml:space="preserve">ℹ  </w:t>
            </w:r>
            <w:r>
              <w:rPr>
                <w:i/>
                <w:iCs/>
                <w:color w:val="0D2137"/>
                <w:sz w:val="18"/>
                <w:szCs w:val="18"/>
              </w:rPr>
              <w:t>Example:  CSE-AWS-L-002-04_MAR_20260315.pdf</w:t>
            </w:r>
          </w:p>
          <w:p>
            <w:pPr>
              <w:pStyle w:val="Normal"/>
              <w:spacing w:before="0" w:after="60"/>
              <w:rPr/>
            </w:pPr>
            <w:r>
              <w:rPr>
                <w:color w:val="0D2137"/>
                <w:sz w:val="22"/>
                <w:szCs w:val="22"/>
              </w:rPr>
              <w:t>Evidence folder:  [TaskID]_Evidence_[YourInitials]/  — zip all phase evidence files and submit alongside the PDF report</w:t>
            </w:r>
            <w:r>
              <w:rPr>
                <w:color w:val="0D2137"/>
                <w:sz w:val="18"/>
                <w:szCs w:val="18"/>
              </w:rPr>
              <w:t>.</w:t>
            </w:r>
          </w:p>
        </w:tc>
      </w:tr>
    </w:tbl>
    <w:p>
      <w:pPr>
        <w:pStyle w:val="Normal"/>
        <w:spacing w:before="0" w:after="200"/>
        <w:rPr/>
      </w:pPr>
      <w:r>
        <w:rPr/>
      </w:r>
    </w:p>
    <w:p>
      <w:pPr>
        <w:pStyle w:val="Normal"/>
        <w:spacing w:before="0" w:after="120"/>
        <w:rPr>
          <w:sz w:val="22"/>
          <w:szCs w:val="22"/>
        </w:rPr>
      </w:pPr>
      <w:r>
        <w:rPr>
          <w:b/>
          <w:bCs/>
          <w:color w:val="0D2137"/>
          <w:sz w:val="22"/>
          <w:szCs w:val="22"/>
        </w:rPr>
        <w:t>Evidence naming convention for phase files:</w:t>
      </w:r>
    </w:p>
    <w:p>
      <w:pPr>
        <w:pStyle w:val="ListParagraph"/>
        <w:numPr>
          <w:ilvl w:val="0"/>
          <w:numId w:val="58"/>
        </w:numPr>
        <w:spacing w:before="0" w:after="60"/>
        <w:ind w:hanging="360" w:left="360"/>
        <w:rPr>
          <w:sz w:val="22"/>
          <w:szCs w:val="22"/>
        </w:rPr>
      </w:pPr>
      <w:r>
        <w:rPr>
          <w:color w:val="0D2137"/>
          <w:sz w:val="22"/>
          <w:szCs w:val="22"/>
        </w:rPr>
        <w:t>Phase A evidence: PhaseA_[descriptor].[ext]  e.g. PhaseA_ArchDiagram.png, PhaseA_Notes.pdf</w:t>
      </w:r>
    </w:p>
    <w:p>
      <w:pPr>
        <w:pStyle w:val="ListParagraph"/>
        <w:numPr>
          <w:ilvl w:val="0"/>
          <w:numId w:val="59"/>
        </w:numPr>
        <w:spacing w:before="0" w:after="60"/>
        <w:ind w:hanging="360" w:left="360"/>
        <w:rPr>
          <w:sz w:val="22"/>
          <w:szCs w:val="22"/>
        </w:rPr>
      </w:pPr>
      <w:r>
        <w:rPr>
          <w:color w:val="0D2137"/>
          <w:sz w:val="22"/>
          <w:szCs w:val="22"/>
        </w:rPr>
        <w:t>Phase B evidence: PhaseB_[descriptor].[ext]  e.g. PhaseB_CLI_Setup.png, PhaseB_IAMPolicy.json</w:t>
      </w:r>
    </w:p>
    <w:p>
      <w:pPr>
        <w:pStyle w:val="ListParagraph"/>
        <w:numPr>
          <w:ilvl w:val="0"/>
          <w:numId w:val="60"/>
        </w:numPr>
        <w:spacing w:before="0" w:after="60"/>
        <w:ind w:hanging="360" w:left="360"/>
        <w:rPr>
          <w:sz w:val="22"/>
          <w:szCs w:val="22"/>
        </w:rPr>
      </w:pPr>
      <w:r>
        <w:rPr>
          <w:color w:val="0D2137"/>
          <w:sz w:val="22"/>
          <w:szCs w:val="22"/>
        </w:rPr>
        <w:t>Phase C evidence: PhaseC_[descriptor].[ext]  e.g. PhaseC_TestResults.log, PhaseC_QueryOutput.png</w:t>
      </w:r>
    </w:p>
    <w:p>
      <w:pPr>
        <w:pStyle w:val="ListParagraph"/>
        <w:numPr>
          <w:ilvl w:val="0"/>
          <w:numId w:val="61"/>
        </w:numPr>
        <w:spacing w:before="0" w:after="60"/>
        <w:ind w:hanging="360" w:left="360"/>
        <w:rPr>
          <w:sz w:val="22"/>
          <w:szCs w:val="22"/>
        </w:rPr>
      </w:pPr>
      <w:r>
        <w:rPr>
          <w:color w:val="0D2137"/>
          <w:sz w:val="22"/>
          <w:szCs w:val="22"/>
        </w:rPr>
        <w:t>Phase D evidence: PhaseD_[descriptor].[ext]  e.g. PhaseD_RiskMatrix.xlsx, PhaseD_HardenedPolicy.json</w:t>
      </w:r>
    </w:p>
    <w:p>
      <w:pPr>
        <w:pStyle w:val="Normal"/>
        <w:spacing w:before="0" w:after="0"/>
        <w:rPr/>
      </w:pPr>
      <w:r>
        <w:rPr/>
      </w:r>
      <w:r>
        <w:br w:type="page"/>
      </w:r>
    </w:p>
    <w:p>
      <w:pPr>
        <w:pStyle w:val="Heading1"/>
        <w:pBdr>
          <w:bottom w:val="single" w:sz="8" w:space="6" w:color="146C94"/>
        </w:pBdr>
        <w:spacing w:before="0" w:after="160"/>
        <w:rPr/>
      </w:pPr>
      <w:r>
        <w:rPr>
          <w:b/>
          <w:bCs/>
          <w:color w:val="0D2137"/>
        </w:rPr>
        <w:t>1.0 Task Overview</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879"/>
        <w:gridCol w:w="7185"/>
      </w:tblGrid>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Task ID</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CSE-AWS-L-007-04</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Task Title</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iCs/>
                <w:caps w:val="false"/>
                <w:smallCaps w:val="false"/>
                <w:color w:val="1D2125"/>
                <w:spacing w:val="0"/>
                <w:sz w:val="21"/>
                <w:szCs w:val="20"/>
              </w:rPr>
              <w:t>IAM Enumeration, Visibility Analysis, and Access Mapping</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Skill Domain</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iCs/>
                <w:caps w:val="false"/>
                <w:smallCaps w:val="false"/>
                <w:color w:val="1D2125"/>
                <w:spacing w:val="0"/>
                <w:sz w:val="21"/>
                <w:szCs w:val="20"/>
              </w:rPr>
              <w:t>AWS Identity and Access Management (IAM) Security</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Difficulty</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Advanced</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Duration</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14 Hours</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CPE Credits</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4 CPE Credits</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Cloud Platform(s)</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 </w:t>
            </w:r>
            <w:r>
              <w:rPr>
                <w:i/>
                <w:iCs/>
                <w:color w:val="0D2137"/>
                <w:sz w:val="20"/>
                <w:szCs w:val="20"/>
              </w:rPr>
              <w:t>AWS Free Tier account / CloudGoat scenario name / PwnedLabs lab / Cybr lab]</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AWS Region(s) Used</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us-east-1</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Primary Tools</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iCs/>
                <w:caps w:val="false"/>
                <w:smallCaps w:val="false"/>
                <w:color w:val="1D2125"/>
                <w:spacing w:val="0"/>
                <w:sz w:val="21"/>
                <w:szCs w:val="20"/>
              </w:rPr>
              <w:t>AWS CLI, CloudGoat, IAM Access Analyzer, Policy Sentry, Steampipe, ChatGPT or Claude for AI-assisted analysis</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Target Environment</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AWS Free Tier account / CloudGoat scenario name / PwnedLabs lab / Cybr lab]</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MITRE ATT&amp;CK IDs</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iCs/>
                <w:caps w:val="false"/>
                <w:smallCaps w:val="false"/>
                <w:color w:val="1D2125"/>
                <w:spacing w:val="0"/>
                <w:sz w:val="21"/>
                <w:szCs w:val="20"/>
              </w:rPr>
              <w:t>T1078 (Valid Accounts), T1087.004 (Account Discovery: Cloud Account), T1069.003 (Permission Groups Discovery: Cloud Groups)</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Guiding Frameworks</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CIS AWS Foundations Benchmark v1.5, NIST SP 800-53, ISO 27001, OWASP Cloud Top 10]</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Regulatory Alignment</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ISO 27001 A.9 Access Control, A.12 Operations Security; NICE PR-CDA-001; SFIA Level 3-4]</w:t>
            </w:r>
          </w:p>
        </w:tc>
      </w:tr>
    </w:tbl>
    <w:p>
      <w:pPr>
        <w:pStyle w:val="Heading2"/>
        <w:rPr/>
      </w:pPr>
      <w:r>
        <w:rPr/>
      </w:r>
    </w:p>
    <w:p>
      <w:pPr>
        <w:pStyle w:val="Heading2"/>
        <w:rPr>
          <w:b/>
          <w:bCs/>
          <w:color w:themeColor="accent1" w:themeShade="80" w:val="1F3864"/>
        </w:rPr>
      </w:pPr>
      <w:r>
        <w:rPr>
          <w:b/>
          <w:bCs/>
          <w:color w:themeColor="accent1" w:themeShade="80" w:val="1F3864"/>
        </w:rPr>
        <w:t>1.1 Introduction</w:t>
      </w:r>
    </w:p>
    <w:p>
      <w:pPr>
        <w:pStyle w:val="Normal"/>
        <w:spacing w:before="0" w:after="120"/>
        <w:rPr>
          <w:color w:val="auto"/>
          <w:sz w:val="22"/>
          <w:szCs w:val="22"/>
        </w:rPr>
      </w:pPr>
      <w:r>
        <w:rPr>
          <w:i/>
          <w:iCs/>
          <w:color w:val="auto"/>
          <w:sz w:val="22"/>
          <w:szCs w:val="22"/>
        </w:rPr>
        <w:t xml:space="preserve">IAM enumeration, visibility analysis, and access mapping address the challenge of understanding who can access AWS resources and what their permissions allow. These skills help cloud security engineers identify excessive privileges, unintended access, and gaps in identity oversight. Week 2, Task 7 explores how exposed or compromised credentials and misconfigured IAM permissions could enable unauthorised access and lateral movement within a cloud environment. </w:t>
      </w:r>
    </w:p>
    <w:p>
      <w:pPr>
        <w:pStyle w:val="Heading2"/>
        <w:rPr>
          <w:b/>
          <w:bCs/>
          <w:color w:themeColor="text2" w:themeShade="bf" w:val="323E4F"/>
        </w:rPr>
      </w:pPr>
      <w:r>
        <w:rPr>
          <w:b/>
          <w:bCs/>
          <w:color w:themeColor="text2" w:themeShade="bf" w:val="323E4F"/>
        </w:rPr>
        <w:t>1.2 Objectives &amp; Learning Outcomes</w:t>
      </w:r>
    </w:p>
    <w:p>
      <w:pPr>
        <w:pStyle w:val="Normal"/>
        <w:spacing w:before="0" w:after="120"/>
        <w:rPr>
          <w:color w:val="auto"/>
          <w:sz w:val="22"/>
          <w:szCs w:val="22"/>
        </w:rPr>
      </w:pPr>
      <w:r>
        <w:rPr>
          <w:i/>
          <w:iCs/>
          <w:color w:val="auto"/>
          <w:sz w:val="22"/>
          <w:szCs w:val="22"/>
        </w:rPr>
        <w:t>[List the objectives from the Objectives &amp; Measurable Outcomes section of your task brief. Below each objective, write one sentence confirming how you met it.]</w:t>
      </w:r>
    </w:p>
    <w:p>
      <w:pPr>
        <w:pStyle w:val="Heading2"/>
        <w:numPr>
          <w:ilvl w:val="0"/>
          <w:numId w:val="62"/>
        </w:numPr>
        <w:spacing w:before="0" w:after="60"/>
        <w:ind w:hanging="360" w:left="360"/>
        <w:rPr/>
      </w:pPr>
      <w:r>
        <w:rPr>
          <w:rStyle w:val="Strong"/>
          <w:b w:val="false"/>
          <w:bCs w:val="false"/>
          <w:i/>
          <w:iCs/>
          <w:color w:val="000000"/>
        </w:rPr>
        <w:t>Phase A: Understand IAM enumeration fundamentals and how attackers exploit misconfigurations.</w:t>
      </w:r>
      <w:r>
        <w:rPr>
          <w:b w:val="false"/>
          <w:bCs w:val="false"/>
          <w:i/>
          <w:iCs/>
          <w:color w:val="000000"/>
        </w:rPr>
        <w:br/>
        <w:t>I met this objective by reviewing IAM entity relationships, executing enumeration commands, and summarising explicit allows, explicit denies, and implicit denies.</w:t>
      </w:r>
    </w:p>
    <w:p>
      <w:pPr>
        <w:pStyle w:val="Heading2"/>
        <w:numPr>
          <w:ilvl w:val="0"/>
          <w:numId w:val="63"/>
        </w:numPr>
        <w:spacing w:before="0" w:after="60"/>
        <w:ind w:hanging="360" w:left="360"/>
        <w:rPr/>
      </w:pPr>
      <w:r>
        <w:rPr>
          <w:rStyle w:val="Strong"/>
          <w:b w:val="false"/>
          <w:bCs w:val="false"/>
          <w:i/>
          <w:iCs/>
          <w:color w:val="000000"/>
        </w:rPr>
        <w:t>Phase B: Deploy a controlled environment using CloudGoat’s IAM scenario.</w:t>
      </w:r>
      <w:r>
        <w:rPr>
          <w:b w:val="false"/>
          <w:bCs w:val="false"/>
          <w:i/>
          <w:iCs/>
          <w:color w:val="000000"/>
        </w:rPr>
        <w:br/>
        <w:t xml:space="preserve">I met this objective by deploying the </w:t>
      </w:r>
      <w:r>
        <w:rPr>
          <w:rStyle w:val="SourceText"/>
          <w:b w:val="false"/>
          <w:bCs w:val="false"/>
          <w:i/>
          <w:iCs/>
          <w:color w:val="000000"/>
        </w:rPr>
        <w:t>iam_privesc_by_attachment</w:t>
      </w:r>
      <w:r>
        <w:rPr>
          <w:b w:val="false"/>
          <w:bCs w:val="false"/>
          <w:i/>
          <w:iCs/>
          <w:color w:val="000000"/>
        </w:rPr>
        <w:t xml:space="preserve"> scenario, verifying the created IAM resources, and recording the users and roles in </w:t>
      </w:r>
      <w:r>
        <w:rPr>
          <w:rStyle w:val="SourceText"/>
          <w:b w:val="false"/>
          <w:bCs w:val="false"/>
          <w:i/>
          <w:iCs/>
          <w:color w:val="000000"/>
        </w:rPr>
        <w:t>iam_entities.csv</w:t>
      </w:r>
      <w:r>
        <w:rPr>
          <w:b w:val="false"/>
          <w:bCs w:val="false"/>
          <w:i/>
          <w:iCs/>
          <w:color w:val="000000"/>
        </w:rPr>
        <w:t>.</w:t>
      </w:r>
    </w:p>
    <w:p>
      <w:pPr>
        <w:pStyle w:val="Heading2"/>
        <w:numPr>
          <w:ilvl w:val="0"/>
          <w:numId w:val="64"/>
        </w:numPr>
        <w:spacing w:before="0" w:after="60"/>
        <w:ind w:hanging="360" w:left="360"/>
        <w:rPr/>
      </w:pPr>
      <w:r>
        <w:rPr>
          <w:rStyle w:val="Strong"/>
          <w:b w:val="false"/>
          <w:bCs w:val="false"/>
          <w:i/>
          <w:iCs/>
          <w:color w:val="000000"/>
        </w:rPr>
        <w:t>Phase C: Enumerate all identities and map their permissions manually and programmatically.</w:t>
      </w:r>
      <w:r>
        <w:rPr>
          <w:b w:val="false"/>
          <w:bCs w:val="false"/>
          <w:i/>
          <w:iCs/>
          <w:color w:val="000000"/>
        </w:rPr>
        <w:br/>
        <w:t xml:space="preserve">I met this objective by enumerating IAM identities and policies, examining role trust relationships, and documenting permission analysis in </w:t>
      </w:r>
      <w:r>
        <w:rPr>
          <w:rStyle w:val="SourceText"/>
          <w:b w:val="false"/>
          <w:bCs w:val="false"/>
          <w:i/>
          <w:iCs/>
          <w:color w:val="000000"/>
        </w:rPr>
        <w:t>analysis.txt</w:t>
      </w:r>
      <w:r>
        <w:rPr>
          <w:b w:val="false"/>
          <w:bCs w:val="false"/>
          <w:i/>
          <w:iCs/>
          <w:color w:val="000000"/>
        </w:rPr>
        <w:t>.</w:t>
      </w:r>
    </w:p>
    <w:p>
      <w:pPr>
        <w:pStyle w:val="Heading2"/>
        <w:numPr>
          <w:ilvl w:val="0"/>
          <w:numId w:val="65"/>
        </w:numPr>
        <w:spacing w:before="0" w:after="60"/>
        <w:ind w:hanging="360" w:left="360"/>
        <w:rPr/>
      </w:pPr>
      <w:r>
        <w:rPr>
          <w:rStyle w:val="Strong"/>
          <w:b w:val="false"/>
          <w:bCs w:val="false"/>
          <w:i/>
          <w:iCs/>
          <w:color w:val="000000"/>
        </w:rPr>
        <w:t>Phase D: Perform visibility gap analysis and create a risk matrix linking misconfigurations to business assets.</w:t>
      </w:r>
      <w:r>
        <w:rPr>
          <w:b w:val="false"/>
          <w:bCs w:val="false"/>
          <w:i/>
          <w:iCs/>
          <w:color w:val="000000"/>
        </w:rPr>
        <w:br/>
        <w:t>I met this objective by reviewing IAM Access Analyzer findings and producing a risk matrix linking identified misconfigurations to affected assets and business impacts.</w:t>
      </w:r>
    </w:p>
    <w:p>
      <w:pPr>
        <w:pStyle w:val="Heading2"/>
        <w:numPr>
          <w:ilvl w:val="0"/>
          <w:numId w:val="66"/>
        </w:numPr>
        <w:spacing w:before="0" w:after="60"/>
        <w:ind w:hanging="360" w:left="360"/>
        <w:rPr/>
      </w:pPr>
      <w:r>
        <w:rPr>
          <w:rStyle w:val="Strong"/>
          <w:b w:val="false"/>
          <w:bCs w:val="false"/>
          <w:i/>
          <w:iCs/>
          <w:color w:val="000000"/>
        </w:rPr>
        <w:t>Phase E: Reinforce learning through guided external labs.</w:t>
      </w:r>
      <w:r>
        <w:rPr>
          <w:b w:val="false"/>
          <w:bCs w:val="false"/>
          <w:i/>
          <w:iCs/>
          <w:color w:val="000000"/>
        </w:rPr>
        <w:br/>
        <w:t xml:space="preserve">I partially met this objective by completing Cybr’s </w:t>
      </w:r>
      <w:r>
        <w:rPr>
          <w:rStyle w:val="Strong"/>
          <w:b w:val="false"/>
          <w:bCs w:val="false"/>
          <w:i/>
          <w:iCs/>
          <w:color w:val="000000"/>
        </w:rPr>
        <w:t>Generate IAM Credentials Reports</w:t>
      </w:r>
      <w:r>
        <w:rPr>
          <w:b w:val="false"/>
          <w:bCs w:val="false"/>
          <w:i/>
          <w:iCs/>
          <w:color w:val="000000"/>
        </w:rPr>
        <w:t xml:space="preserve"> lab and progressing through PwnedLabs’ </w:t>
      </w:r>
      <w:r>
        <w:rPr>
          <w:rStyle w:val="Strong"/>
          <w:b w:val="false"/>
          <w:bCs w:val="false"/>
          <w:i/>
          <w:iCs/>
          <w:color w:val="000000"/>
        </w:rPr>
        <w:t>Execute and Identify Credential Abuse in AWS</w:t>
      </w:r>
      <w:r>
        <w:rPr>
          <w:b w:val="false"/>
          <w:bCs w:val="false"/>
          <w:i/>
          <w:iCs/>
          <w:color w:val="000000"/>
        </w:rPr>
        <w:t xml:space="preserve"> lab, documenting the blockers that prevented completion.</w:t>
      </w:r>
    </w:p>
    <w:p>
      <w:pPr>
        <w:pStyle w:val="BodyText"/>
        <w:spacing w:lineRule="auto" w:line="259" w:before="0" w:after="60"/>
        <w:rPr>
          <w:rStyle w:val="Strong"/>
        </w:rPr>
      </w:pPr>
      <w:r>
        <w:rPr/>
      </w:r>
    </w:p>
    <w:p>
      <w:pPr>
        <w:pStyle w:val="ListParagraph"/>
        <w:numPr>
          <w:ilvl w:val="0"/>
          <w:numId w:val="0"/>
        </w:numPr>
        <w:spacing w:before="0" w:after="60"/>
        <w:ind w:hanging="0" w:left="360"/>
        <w:rPr>
          <w:color w:val="auto"/>
          <w:sz w:val="22"/>
          <w:szCs w:val="22"/>
        </w:rPr>
      </w:pPr>
      <w:r>
        <w:rPr/>
      </w:r>
    </w:p>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Every task has 4–5 measurable objectives. All must appear here.</w:t>
      </w:r>
    </w:p>
    <w:p>
      <w:pPr>
        <w:pStyle w:val="Normal"/>
        <w:spacing w:before="0" w:after="80"/>
        <w:rPr/>
      </w:pPr>
      <w:r>
        <w:rPr/>
      </w:r>
    </w:p>
    <w:p>
      <w:pPr>
        <w:pStyle w:val="Heading2"/>
        <w:rPr>
          <w:b/>
          <w:bCs/>
          <w:color w:themeColor="text2" w:themeShade="bf" w:val="323E4F"/>
        </w:rPr>
      </w:pPr>
      <w:r>
        <w:rPr>
          <w:b/>
          <w:bCs/>
          <w:color w:themeColor="text2" w:themeShade="bf" w:val="323E4F"/>
        </w:rPr>
        <w:t>1.3 Scope &amp; Legal Authorisation</w:t>
      </w:r>
    </w:p>
    <w:p>
      <w:pPr>
        <w:pStyle w:val="Normal"/>
        <w:spacing w:before="0" w:after="120"/>
        <w:rPr>
          <w:color w:val="auto"/>
          <w:sz w:val="22"/>
          <w:szCs w:val="22"/>
        </w:rPr>
      </w:pPr>
      <w:r>
        <w:rPr>
          <w:i/>
          <w:iCs/>
          <w:color w:val="auto"/>
          <w:sz w:val="22"/>
          <w:szCs w:val="22"/>
        </w:rPr>
        <w:t>[State explicitly that all activities were performed within authorised environments. List every environment used. This section is mandatory for every cloud security task.]</w:t>
      </w:r>
    </w:p>
    <w:p>
      <w:pPr>
        <w:pStyle w:val="Normal"/>
        <w:spacing w:before="0" w:after="120"/>
        <w:rPr>
          <w:i/>
          <w:i/>
          <w:iCs/>
        </w:rPr>
      </w:pPr>
      <w:r>
        <w:rPr>
          <w:i/>
          <w:iCs/>
          <w:color w:val="auto"/>
          <w:sz w:val="22"/>
          <w:szCs w:val="22"/>
        </w:rPr>
        <w:t>Authorised environments used:</w:t>
      </w:r>
    </w:p>
    <w:p>
      <w:pPr>
        <w:pStyle w:val="ListParagraph"/>
        <w:numPr>
          <w:ilvl w:val="0"/>
          <w:numId w:val="67"/>
        </w:numPr>
        <w:spacing w:before="0" w:after="60"/>
        <w:ind w:hanging="360" w:left="360"/>
        <w:rPr>
          <w:i/>
          <w:i/>
          <w:iCs/>
        </w:rPr>
      </w:pPr>
      <w:r>
        <w:rPr>
          <w:i/>
          <w:iCs/>
          <w:color w:val="auto"/>
          <w:sz w:val="22"/>
          <w:szCs w:val="22"/>
        </w:rPr>
        <w:t xml:space="preserve"> </w:t>
      </w:r>
      <w:r>
        <w:rPr>
          <w:i/>
          <w:iCs/>
          <w:color w:val="auto"/>
          <w:sz w:val="22"/>
          <w:szCs w:val="22"/>
        </w:rPr>
        <w:t>Personal AWS Free Tier account — Account ID ending in 8561 — us-east-1 region</w:t>
      </w:r>
    </w:p>
    <w:p>
      <w:pPr>
        <w:pStyle w:val="ListParagraph"/>
        <w:numPr>
          <w:ilvl w:val="0"/>
          <w:numId w:val="68"/>
        </w:numPr>
        <w:spacing w:before="0" w:after="60"/>
        <w:ind w:hanging="360" w:left="360"/>
        <w:rPr>
          <w:i/>
          <w:i/>
          <w:iCs/>
        </w:rPr>
      </w:pPr>
      <w:r>
        <w:rPr>
          <w:i/>
          <w:iCs/>
          <w:color w:val="auto"/>
          <w:sz w:val="22"/>
          <w:szCs w:val="22"/>
        </w:rPr>
        <w:t>CloudGoat scenario: iam_privesc_by_rollback — deployed in isolated sandbox VPC</w:t>
      </w:r>
    </w:p>
    <w:p>
      <w:pPr>
        <w:pStyle w:val="ListParagraph"/>
        <w:numPr>
          <w:ilvl w:val="0"/>
          <w:numId w:val="69"/>
        </w:numPr>
        <w:spacing w:before="0" w:after="60"/>
        <w:ind w:hanging="360" w:left="360"/>
        <w:rPr>
          <w:i/>
          <w:i/>
          <w:iCs/>
        </w:rPr>
      </w:pPr>
      <w:r>
        <w:rPr>
          <w:i/>
          <w:iCs/>
          <w:color w:val="auto"/>
          <w:sz w:val="22"/>
          <w:szCs w:val="22"/>
        </w:rPr>
        <w:t>PwnedLabs: Assume Privileged Role with External ID — authorised lab environm</w:t>
      </w:r>
      <w:r>
        <w:rPr>
          <w:i/>
          <w:iCs/>
          <w:color w:val="auto"/>
          <w:sz w:val="22"/>
          <w:szCs w:val="22"/>
        </w:rPr>
        <w:t>ent</w:t>
      </w:r>
    </w:p>
    <w:p>
      <w:pPr>
        <w:pStyle w:val="ListParagraph"/>
        <w:numPr>
          <w:ilvl w:val="0"/>
          <w:numId w:val="70"/>
        </w:numPr>
        <w:spacing w:before="0" w:after="60"/>
        <w:ind w:hanging="360" w:left="360"/>
        <w:rPr>
          <w:i/>
          <w:i/>
          <w:iCs/>
        </w:rPr>
      </w:pPr>
      <w:r>
        <w:rPr>
          <w:i/>
          <w:iCs/>
          <w:color w:val="auto"/>
          <w:sz w:val="22"/>
          <w:szCs w:val="22"/>
        </w:rPr>
        <w:t>Cybr IAM Challenge Labs — authorised training environment</w:t>
      </w:r>
    </w:p>
    <w:p>
      <w:pPr>
        <w:pStyle w:val="Normal"/>
        <w:spacing w:before="0" w:after="120"/>
        <w:rPr>
          <w:color w:val="auto"/>
          <w:sz w:val="22"/>
          <w:szCs w:val="22"/>
        </w:rPr>
      </w:pPr>
      <w:r>
        <w:rPr>
          <w:i/>
          <w:iCs/>
          <w:color w:val="auto"/>
          <w:sz w:val="22"/>
          <w:szCs w:val="22"/>
        </w:rPr>
        <w:t>[Confirm: no external AWS accounts, production environments, third-party cloud resources, or real customer data were accessed. If AI tools were used, confirm they were used only for analysis, explanation, and documentation — not to execute cloud commands or generate technical evidence.]</w:t>
      </w:r>
    </w:p>
    <w:p>
      <w:pPr>
        <w:pStyle w:val="Heading2"/>
        <w:rPr>
          <w:b/>
          <w:bCs/>
          <w:color w:themeColor="text2" w:themeShade="bf" w:val="323E4F"/>
        </w:rPr>
      </w:pPr>
      <w:r>
        <w:rPr>
          <w:b/>
          <w:bCs/>
          <w:color w:themeColor="text2" w:themeShade="bf" w:val="323E4F"/>
        </w:rPr>
        <w:t>1.4 MITRE ATT&amp;CK Cloud Threat Mapping</w:t>
      </w:r>
    </w:p>
    <w:tbl>
      <w:tblPr>
        <w:tblW w:w="10206"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000"/>
        <w:gridCol w:w="2996"/>
        <w:gridCol w:w="5210"/>
      </w:tblGrid>
      <w:tr>
        <w:trPr>
          <w:tblHeader w:val="true"/>
        </w:trPr>
        <w:tc>
          <w:tcPr>
            <w:tcW w:w="20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MITRE ATT&amp;CK Technique ID</w:t>
            </w:r>
          </w:p>
        </w:tc>
        <w:tc>
          <w:tcPr>
            <w:tcW w:w="2996"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Technique Name</w:t>
            </w:r>
          </w:p>
        </w:tc>
        <w:tc>
          <w:tcPr>
            <w:tcW w:w="521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Relevance to This Task</w:t>
            </w:r>
          </w:p>
        </w:tc>
      </w:tr>
      <w:tr>
        <w:trPr/>
        <w:tc>
          <w:tcPr>
            <w:tcW w:w="20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T1087.004 </w:t>
            </w:r>
          </w:p>
        </w:tc>
        <w:tc>
          <w:tcPr>
            <w:tcW w:w="299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Account Discovery: Cloud Account </w:t>
            </w:r>
          </w:p>
        </w:tc>
        <w:tc>
          <w:tcPr>
            <w:tcW w:w="521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IAM enumeration can reveal cloud identities that attackers could target for further access. Relevant to reviewing users and mapping identities. </w:t>
            </w:r>
          </w:p>
        </w:tc>
      </w:tr>
      <w:tr>
        <w:trPr/>
        <w:tc>
          <w:tcPr>
            <w:tcW w:w="20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T1069.003 </w:t>
            </w:r>
          </w:p>
        </w:tc>
        <w:tc>
          <w:tcPr>
            <w:tcW w:w="299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Permission Groups Discovery: Cloud Groups </w:t>
            </w:r>
          </w:p>
        </w:tc>
        <w:tc>
          <w:tcPr>
            <w:tcW w:w="521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Enumerating IAM groups and memberships helps reveal permission structures and potentially privileged accounts. </w:t>
            </w:r>
          </w:p>
        </w:tc>
      </w:tr>
      <w:tr>
        <w:trPr/>
        <w:tc>
          <w:tcPr>
            <w:tcW w:w="20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T1098.003 </w:t>
            </w:r>
          </w:p>
        </w:tc>
        <w:tc>
          <w:tcPr>
            <w:tcW w:w="299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t xml:space="preserve">Account Manipulation: Additional Cloud Roles </w:t>
            </w:r>
          </w:p>
        </w:tc>
        <w:tc>
          <w:tcPr>
            <w:tcW w:w="5210" w:type="dxa"/>
            <w:tcBorders>
              <w:bottom w:val="single" w:sz="4" w:space="0" w:color="C6D3DB"/>
              <w:right w:val="single" w:sz="4" w:space="0" w:color="C6D3DB"/>
            </w:tcBorders>
            <w:shd w:color="auto" w:fill="F4F7F9" w:val="clear"/>
            <w:vAlign w:val="center"/>
          </w:tcPr>
          <w:p>
            <w:pPr>
              <w:pStyle w:val="Normal"/>
              <w:spacing w:before="0" w:after="0"/>
              <w:rPr>
                <w:i/>
                <w:i/>
                <w:iCs/>
                <w:sz w:val="20"/>
                <w:szCs w:val="20"/>
              </w:rPr>
            </w:pPr>
            <w:r>
              <w:rPr>
                <w:i/>
                <w:iCs/>
                <w:sz w:val="20"/>
                <w:szCs w:val="20"/>
              </w:rPr>
              <w:t xml:space="preserve">Relevant to the CloudGoat scenario’s policy-attachment risk: attackers with excessive permissions could assign additional privileges to cloud identities. </w:t>
            </w:r>
          </w:p>
        </w:tc>
      </w:tr>
    </w:tbl>
    <w:tbl>
      <w:tblPr>
        <w:tblW w:w="10190" w:type="dxa"/>
        <w:jc w:val="left"/>
        <w:tblInd w:w="-55" w:type="dxa"/>
        <w:tblLayout w:type="fixed"/>
        <w:tblCellMar>
          <w:top w:w="55" w:type="dxa"/>
          <w:left w:w="55" w:type="dxa"/>
          <w:bottom w:w="55" w:type="dxa"/>
          <w:right w:w="55" w:type="dxa"/>
        </w:tblCellMar>
      </w:tblPr>
      <w:tblGrid>
        <w:gridCol w:w="2040"/>
        <w:gridCol w:w="3010"/>
        <w:gridCol w:w="5140"/>
      </w:tblGrid>
      <w:tr>
        <w:trPr/>
        <w:tc>
          <w:tcPr>
            <w:tcW w:w="2040" w:type="dxa"/>
            <w:tcBorders>
              <w:top w:val="single" w:sz="4" w:space="0" w:color="000000"/>
              <w:left w:val="single" w:sz="4" w:space="0" w:color="000000"/>
              <w:bottom w:val="single" w:sz="4" w:space="0" w:color="000000"/>
            </w:tcBorders>
          </w:tcPr>
          <w:p>
            <w:pPr>
              <w:pStyle w:val="TableContents"/>
              <w:spacing w:before="0" w:after="160"/>
              <w:rPr>
                <w:i/>
                <w:i/>
                <w:iCs/>
              </w:rPr>
            </w:pPr>
            <w:r>
              <w:rPr>
                <w:i/>
                <w:iCs/>
              </w:rPr>
              <w:t xml:space="preserve">T1110.004 </w:t>
            </w:r>
          </w:p>
        </w:tc>
        <w:tc>
          <w:tcPr>
            <w:tcW w:w="3010" w:type="dxa"/>
            <w:tcBorders>
              <w:top w:val="single" w:sz="4" w:space="0" w:color="000000"/>
              <w:left w:val="single" w:sz="4" w:space="0" w:color="000000"/>
              <w:bottom w:val="single" w:sz="4" w:space="0" w:color="000000"/>
            </w:tcBorders>
          </w:tcPr>
          <w:p>
            <w:pPr>
              <w:pStyle w:val="TableContents"/>
              <w:spacing w:before="0" w:after="160"/>
              <w:rPr>
                <w:i/>
                <w:i/>
                <w:iCs/>
              </w:rPr>
            </w:pPr>
            <w:r>
              <w:rPr>
                <w:i/>
                <w:iCs/>
              </w:rPr>
              <w:t xml:space="preserve">Brute Force: Credential Stuffing </w:t>
            </w:r>
          </w:p>
        </w:tc>
        <w:tc>
          <w:tcPr>
            <w:tcW w:w="5140"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i/>
                <w:i/>
                <w:iCs/>
              </w:rPr>
            </w:pPr>
            <w:r>
              <w:rPr>
                <w:i/>
                <w:iCs/>
              </w:rPr>
              <w:t xml:space="preserve">Relevant to the PwnedLabs walkthrough’s testing of recovered credentials against AWS Console accounts. Successful execution was not verified in my session </w:t>
            </w:r>
          </w:p>
        </w:tc>
      </w:tr>
    </w:tbl>
    <w:p>
      <w:pPr>
        <w:pStyle w:val="Normal"/>
        <w:spacing w:before="0" w:after="80"/>
        <w:rPr>
          <w:i/>
          <w:i/>
          <w:iCs/>
          <w:color w:val="6B8CA3"/>
          <w:sz w:val="18"/>
          <w:szCs w:val="18"/>
        </w:rPr>
      </w:pPr>
      <w:r>
        <w:rPr>
          <w:i/>
          <w:iCs/>
          <w:color w:val="6B8CA3"/>
          <w:sz w:val="18"/>
          <w:szCs w:val="18"/>
        </w:rPr>
      </w:r>
    </w:p>
    <w:p>
      <w:pPr>
        <w:pStyle w:val="Normal"/>
        <w:spacing w:before="0" w:after="80"/>
        <w:rPr>
          <w:i/>
          <w:i/>
          <w:iCs/>
          <w:color w:val="6B8CA3"/>
          <w:sz w:val="18"/>
          <w:szCs w:val="18"/>
        </w:rPr>
      </w:pPr>
      <w:r>
        <w:rPr>
          <w:i/>
          <w:iCs/>
          <w:color w:val="6B8CA3"/>
          <w:sz w:val="18"/>
          <w:szCs w:val="18"/>
        </w:rPr>
      </w:r>
    </w:p>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Map your task to the relevant MITRE ATT&amp;CK techniques. Cloud-specific techniques frequently seen in this programme include: T1078 (Valid Accounts), T1530 (Data from Cloud Storage Object), T1087 (Account Discovery), T1562.001 (Impair Defenses), T1098 (Account Manipulation), T1550.001 (Web Session Cookie), T1190 (Exploit Public-Facing Application). Remove rows that do not apply.</w:t>
      </w:r>
    </w:p>
    <w:p>
      <w:pPr>
        <w:pStyle w:val="Normal"/>
        <w:spacing w:before="0" w:after="0"/>
        <w:rPr/>
      </w:pPr>
      <w:r>
        <w:rPr/>
      </w:r>
      <w:r>
        <w:br w:type="page"/>
      </w:r>
    </w:p>
    <w:p>
      <w:pPr>
        <w:pStyle w:val="Heading1"/>
        <w:pBdr>
          <w:bottom w:val="single" w:sz="8" w:space="6" w:color="146C94"/>
        </w:pBdr>
        <w:spacing w:before="0" w:after="160"/>
        <w:rPr/>
      </w:pPr>
      <w:r>
        <w:rPr>
          <w:b/>
          <w:bCs/>
          <w:color w:val="0D2137"/>
        </w:rPr>
        <w:t>2.0 Environment &amp; Tool Setup</w:t>
      </w:r>
    </w:p>
    <w:p>
      <w:pPr>
        <w:pStyle w:val="Heading2"/>
        <w:rPr>
          <w:b/>
          <w:bCs/>
          <w:color w:themeColor="text2" w:themeShade="bf" w:val="323E4F"/>
        </w:rPr>
      </w:pPr>
      <w:r>
        <w:rPr>
          <w:b/>
          <w:bCs/>
          <w:color w:themeColor="text2" w:themeShade="bf" w:val="323E4F"/>
        </w:rPr>
        <w:t>2.1 Cloud Architecture Overview</w:t>
      </w:r>
    </w:p>
    <w:p>
      <w:pPr>
        <w:pStyle w:val="Normal"/>
        <w:spacing w:before="0" w:after="120"/>
        <w:rPr>
          <w:color w:val="auto"/>
          <w:sz w:val="22"/>
          <w:szCs w:val="22"/>
        </w:rPr>
      </w:pPr>
      <w:r>
        <w:rPr>
          <w:i/>
          <w:iCs/>
          <w:color w:val="auto"/>
          <w:sz w:val="22"/>
          <w:szCs w:val="22"/>
        </w:rPr>
        <w:t>[Describe your cloud lab environment. Complete the table below for every resource deployed. Add or remove rows to match your specific task. Include both the AWS services you configured and any local tools used alongside them.]</w:t>
      </w:r>
    </w:p>
    <w:tbl>
      <w:tblPr>
        <w:tblW w:w="10030" w:type="dxa"/>
        <w:jc w:val="left"/>
        <w:tblInd w:w="40" w:type="dxa"/>
        <w:tblLayout w:type="fixed"/>
        <w:tblCellMar>
          <w:top w:w="60" w:type="dxa"/>
          <w:left w:w="80" w:type="dxa"/>
          <w:bottom w:w="60" w:type="dxa"/>
          <w:right w:w="80" w:type="dxa"/>
        </w:tblCellMar>
        <w:tblLook w:firstRow="1" w:noVBand="1" w:lastRow="0" w:firstColumn="1" w:lastColumn="0" w:noHBand="0" w:val="04a0"/>
      </w:tblPr>
      <w:tblGrid>
        <w:gridCol w:w="2160"/>
        <w:gridCol w:w="2000"/>
        <w:gridCol w:w="2600"/>
        <w:gridCol w:w="3270"/>
      </w:tblGrid>
      <w:tr>
        <w:trPr>
          <w:tblHeader w:val="true"/>
        </w:trPr>
        <w:tc>
          <w:tcPr>
            <w:tcW w:w="216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Cloud Resource / Component</w:t>
            </w:r>
          </w:p>
        </w:tc>
        <w:tc>
          <w:tcPr>
            <w:tcW w:w="2000" w:type="dxa"/>
            <w:tcBorders>
              <w:bottom w:val="single" w:sz="6" w:space="0" w:color="C6D3DB"/>
              <w:right w:val="single" w:sz="4" w:space="0" w:color="C6D3DB"/>
            </w:tcBorders>
            <w:shd w:color="auto" w:fill="146C94" w:val="clear"/>
            <w:vAlign w:val="center"/>
          </w:tcPr>
          <w:p>
            <w:pPr>
              <w:pStyle w:val="Normal"/>
              <w:spacing w:before="0" w:after="0"/>
              <w:jc w:val="center"/>
              <w:rPr/>
            </w:pPr>
            <w:r>
              <w:rPr>
                <w:b/>
                <w:bCs/>
                <w:color w:val="FFFFFF"/>
                <w:sz w:val="18"/>
                <w:szCs w:val="18"/>
              </w:rPr>
              <w:t>Type / Service</w:t>
            </w:r>
          </w:p>
        </w:tc>
        <w:tc>
          <w:tcPr>
            <w:tcW w:w="2600" w:type="dxa"/>
            <w:tcBorders>
              <w:bottom w:val="single" w:sz="6" w:space="0" w:color="C6D3DB"/>
              <w:right w:val="single" w:sz="4" w:space="0" w:color="C6D3DB"/>
            </w:tcBorders>
            <w:shd w:color="auto" w:fill="146C94" w:val="clear"/>
            <w:vAlign w:val="center"/>
          </w:tcPr>
          <w:p>
            <w:pPr>
              <w:pStyle w:val="Normal"/>
              <w:spacing w:before="0" w:after="0"/>
              <w:jc w:val="center"/>
              <w:rPr/>
            </w:pPr>
            <w:r>
              <w:rPr>
                <w:b/>
                <w:bCs/>
                <w:color w:val="FFFFFF"/>
                <w:sz w:val="18"/>
                <w:szCs w:val="18"/>
              </w:rPr>
              <w:t>Role in Task</w:t>
            </w:r>
          </w:p>
        </w:tc>
        <w:tc>
          <w:tcPr>
            <w:tcW w:w="3270" w:type="dxa"/>
            <w:tcBorders>
              <w:bottom w:val="single" w:sz="6" w:space="0" w:color="C6D3DB"/>
              <w:right w:val="single" w:sz="4" w:space="0" w:color="C6D3DB"/>
            </w:tcBorders>
            <w:shd w:color="auto" w:fill="146C94" w:val="clear"/>
            <w:vAlign w:val="center"/>
          </w:tcPr>
          <w:p>
            <w:pPr>
              <w:pStyle w:val="Normal"/>
              <w:spacing w:before="0" w:after="0"/>
              <w:jc w:val="center"/>
              <w:rPr/>
            </w:pPr>
            <w:r>
              <w:rPr>
                <w:b/>
                <w:bCs/>
                <w:color w:val="FFFFFF"/>
                <w:sz w:val="18"/>
                <w:szCs w:val="18"/>
              </w:rPr>
              <w:t>Region / Config Notes</w:t>
            </w:r>
          </w:p>
        </w:tc>
      </w:tr>
      <w:tr>
        <w:trPr/>
        <w:tc>
          <w:tcPr>
            <w:tcW w:w="216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AWS IAM </w:t>
            </w:r>
          </w:p>
        </w:tc>
        <w:tc>
          <w:tcPr>
            <w:tcW w:w="2000" w:type="dxa"/>
            <w:tcBorders>
              <w:bottom w:val="single" w:sz="4" w:space="0" w:color="C6D3DB"/>
              <w:right w:val="single" w:sz="4" w:space="0" w:color="C6D3DB"/>
            </w:tcBorders>
            <w:shd w:color="auto" w:fill="F4F7F9" w:val="clear"/>
            <w:vAlign w:val="center"/>
          </w:tcPr>
          <w:p>
            <w:pPr>
              <w:pStyle w:val="Normal"/>
              <w:spacing w:before="0" w:after="0"/>
              <w:rPr>
                <w:i/>
                <w:i/>
                <w:iCs/>
                <w:color w:val="0D2137"/>
                <w:sz w:val="18"/>
                <w:szCs w:val="18"/>
              </w:rPr>
            </w:pPr>
            <w:r>
              <w:rPr>
                <w:i/>
                <w:iCs/>
                <w:color w:val="0D2137"/>
                <w:sz w:val="18"/>
                <w:szCs w:val="18"/>
              </w:rPr>
              <w:t xml:space="preserve">AWS identity service </w:t>
            </w:r>
          </w:p>
        </w:tc>
        <w:tc>
          <w:tcPr>
            <w:tcW w:w="2600" w:type="dxa"/>
            <w:tcBorders>
              <w:bottom w:val="single" w:sz="4" w:space="0" w:color="C6D3DB"/>
              <w:right w:val="single" w:sz="4" w:space="0" w:color="C6D3DB"/>
            </w:tcBorders>
            <w:shd w:color="auto" w:fill="F4F7F9" w:val="clear"/>
            <w:vAlign w:val="center"/>
          </w:tcPr>
          <w:p>
            <w:pPr>
              <w:pStyle w:val="Normal"/>
              <w:spacing w:before="0" w:after="0"/>
              <w:rPr>
                <w:i/>
                <w:i/>
                <w:iCs/>
                <w:color w:val="0D2137"/>
                <w:sz w:val="18"/>
                <w:szCs w:val="18"/>
              </w:rPr>
            </w:pPr>
            <w:r>
              <w:rPr>
                <w:i/>
                <w:iCs/>
                <w:color w:val="0D2137"/>
                <w:sz w:val="18"/>
                <w:szCs w:val="18"/>
              </w:rPr>
              <w:t xml:space="preserve">Provided identity and credential information for review. </w:t>
            </w:r>
          </w:p>
        </w:tc>
        <w:tc>
          <w:tcPr>
            <w:tcW w:w="3270" w:type="dxa"/>
            <w:tcBorders>
              <w:bottom w:val="single" w:sz="4" w:space="0" w:color="C6D3DB"/>
              <w:right w:val="single" w:sz="4" w:space="0" w:color="C6D3DB"/>
            </w:tcBorders>
            <w:shd w:color="auto" w:fill="F4F7F9" w:val="clear"/>
            <w:vAlign w:val="center"/>
          </w:tcPr>
          <w:p>
            <w:pPr>
              <w:pStyle w:val="Normal"/>
              <w:spacing w:before="0" w:after="0"/>
              <w:rPr>
                <w:i/>
                <w:i/>
                <w:iCs/>
                <w:color w:val="0D2137"/>
                <w:sz w:val="18"/>
                <w:szCs w:val="18"/>
              </w:rPr>
            </w:pPr>
            <w:r>
              <w:rPr>
                <w:i/>
                <w:iCs/>
                <w:color w:val="0D2137"/>
                <w:sz w:val="18"/>
                <w:szCs w:val="18"/>
              </w:rPr>
              <w:t xml:space="preserve">Global service </w:t>
            </w:r>
          </w:p>
        </w:tc>
      </w:tr>
      <w:tr>
        <w:trPr/>
        <w:tc>
          <w:tcPr>
            <w:tcW w:w="216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t xml:space="preserve">IAM credential report </w:t>
            </w:r>
          </w:p>
        </w:tc>
        <w:tc>
          <w:tcPr>
            <w:tcW w:w="2000" w:type="dxa"/>
            <w:tcBorders>
              <w:bottom w:val="single" w:sz="4" w:space="0" w:color="C6D3DB"/>
              <w:right w:val="single" w:sz="4" w:space="0" w:color="C6D3DB"/>
            </w:tcBorders>
            <w:shd w:color="auto" w:fill="FFFFFF" w:val="clear"/>
            <w:vAlign w:val="center"/>
          </w:tcPr>
          <w:p>
            <w:pPr>
              <w:pStyle w:val="Normal"/>
              <w:spacing w:before="0" w:after="0"/>
              <w:rPr>
                <w:i/>
                <w:i/>
                <w:iCs/>
                <w:color w:val="0D2137"/>
                <w:sz w:val="18"/>
                <w:szCs w:val="18"/>
              </w:rPr>
            </w:pPr>
            <w:r>
              <w:rPr>
                <w:i/>
                <w:iCs/>
                <w:color w:val="0D2137"/>
                <w:sz w:val="18"/>
                <w:szCs w:val="18"/>
              </w:rPr>
              <w:t xml:space="preserve">AWS IAM report </w:t>
            </w:r>
          </w:p>
        </w:tc>
        <w:tc>
          <w:tcPr>
            <w:tcW w:w="2600" w:type="dxa"/>
            <w:tcBorders>
              <w:bottom w:val="single" w:sz="4" w:space="0" w:color="C6D3DB"/>
              <w:right w:val="single" w:sz="4" w:space="0" w:color="C6D3DB"/>
            </w:tcBorders>
            <w:shd w:color="auto" w:fill="FFFFFF" w:val="clear"/>
            <w:vAlign w:val="center"/>
          </w:tcPr>
          <w:p>
            <w:pPr>
              <w:pStyle w:val="Normal"/>
              <w:spacing w:before="0" w:after="0"/>
              <w:rPr>
                <w:i/>
                <w:i/>
                <w:iCs/>
                <w:color w:val="0D2137"/>
                <w:sz w:val="18"/>
                <w:szCs w:val="18"/>
              </w:rPr>
            </w:pPr>
            <w:r>
              <w:rPr>
                <w:i/>
                <w:iCs/>
                <w:color w:val="0D2137"/>
                <w:sz w:val="18"/>
                <w:szCs w:val="18"/>
              </w:rPr>
              <w:t xml:space="preserve">Supported review of password status, MFA, and access-key activity. </w:t>
            </w:r>
          </w:p>
        </w:tc>
        <w:tc>
          <w:tcPr>
            <w:tcW w:w="3270" w:type="dxa"/>
            <w:tcBorders>
              <w:bottom w:val="single" w:sz="4" w:space="0" w:color="C6D3DB"/>
              <w:right w:val="single" w:sz="4" w:space="0" w:color="C6D3DB"/>
            </w:tcBorders>
            <w:shd w:color="auto" w:fill="FFFFFF" w:val="clear"/>
            <w:vAlign w:val="center"/>
          </w:tcPr>
          <w:p>
            <w:pPr>
              <w:pStyle w:val="Normal"/>
              <w:spacing w:before="0" w:after="0"/>
              <w:rPr>
                <w:i/>
                <w:i/>
                <w:iCs/>
                <w:color w:val="0D2137"/>
                <w:sz w:val="18"/>
                <w:szCs w:val="18"/>
              </w:rPr>
            </w:pPr>
            <w:r>
              <w:rPr>
                <w:i/>
                <w:iCs/>
                <w:color w:val="0D2137"/>
                <w:sz w:val="18"/>
                <w:szCs w:val="18"/>
              </w:rPr>
              <w:t xml:space="preserve">Account-level report retrieved as Base64-encoded CSV content </w:t>
            </w:r>
          </w:p>
        </w:tc>
      </w:tr>
      <w:tr>
        <w:trPr/>
        <w:tc>
          <w:tcPr>
            <w:tcW w:w="216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Cybr lab environment </w:t>
            </w:r>
          </w:p>
        </w:tc>
        <w:tc>
          <w:tcPr>
            <w:tcW w:w="2000" w:type="dxa"/>
            <w:tcBorders>
              <w:bottom w:val="single" w:sz="4" w:space="0" w:color="C6D3DB"/>
              <w:right w:val="single" w:sz="4" w:space="0" w:color="C6D3DB"/>
            </w:tcBorders>
            <w:shd w:color="auto" w:fill="F4F7F9" w:val="clear"/>
            <w:vAlign w:val="center"/>
          </w:tcPr>
          <w:p>
            <w:pPr>
              <w:pStyle w:val="Normal"/>
              <w:spacing w:before="0" w:after="0"/>
              <w:rPr>
                <w:i/>
                <w:i/>
                <w:iCs/>
                <w:color w:val="0D2137"/>
                <w:sz w:val="18"/>
                <w:szCs w:val="18"/>
              </w:rPr>
            </w:pPr>
            <w:r>
              <w:rPr>
                <w:i/>
                <w:iCs/>
                <w:color w:val="0D2137"/>
                <w:sz w:val="18"/>
                <w:szCs w:val="18"/>
              </w:rPr>
              <w:t xml:space="preserve">Hosted AWS training environment </w:t>
            </w:r>
          </w:p>
        </w:tc>
        <w:tc>
          <w:tcPr>
            <w:tcW w:w="2600" w:type="dxa"/>
            <w:tcBorders>
              <w:bottom w:val="single" w:sz="4" w:space="0" w:color="C6D3DB"/>
              <w:right w:val="single" w:sz="4" w:space="0" w:color="C6D3DB"/>
            </w:tcBorders>
            <w:shd w:color="auto" w:fill="F4F7F9" w:val="clear"/>
            <w:vAlign w:val="center"/>
          </w:tcPr>
          <w:p>
            <w:pPr>
              <w:pStyle w:val="Normal"/>
              <w:spacing w:before="0" w:after="0"/>
              <w:rPr>
                <w:i/>
                <w:i/>
                <w:iCs/>
                <w:color w:val="0D2137"/>
                <w:sz w:val="18"/>
                <w:szCs w:val="18"/>
              </w:rPr>
            </w:pPr>
            <w:r>
              <w:rPr>
                <w:i/>
                <w:iCs/>
                <w:color w:val="0D2137"/>
                <w:sz w:val="18"/>
                <w:szCs w:val="18"/>
              </w:rPr>
              <w:t xml:space="preserve">Used to complete </w:t>
            </w:r>
            <w:r>
              <w:rPr>
                <w:rStyle w:val="Strong"/>
                <w:i/>
                <w:iCs/>
                <w:color w:val="0D2137"/>
                <w:sz w:val="18"/>
                <w:szCs w:val="18"/>
              </w:rPr>
              <w:t>Generate IAM Credentials Reports</w:t>
            </w:r>
            <w:r>
              <w:rPr>
                <w:i/>
                <w:iCs/>
                <w:color w:val="0D2137"/>
                <w:sz w:val="18"/>
                <w:szCs w:val="18"/>
              </w:rPr>
              <w:t xml:space="preserve"> through the Console and CLI. </w:t>
            </w:r>
          </w:p>
        </w:tc>
        <w:tc>
          <w:tcPr>
            <w:tcW w:w="3270" w:type="dxa"/>
            <w:tcBorders>
              <w:bottom w:val="single" w:sz="4" w:space="0" w:color="C6D3DB"/>
              <w:right w:val="single" w:sz="4" w:space="0" w:color="C6D3DB"/>
            </w:tcBorders>
            <w:shd w:color="auto" w:fill="F4F7F9" w:val="clear"/>
            <w:vAlign w:val="center"/>
          </w:tcPr>
          <w:p>
            <w:pPr>
              <w:pStyle w:val="Normal"/>
              <w:spacing w:before="0" w:after="0"/>
              <w:rPr>
                <w:i/>
                <w:i/>
                <w:iCs/>
                <w:color w:val="0D2137"/>
                <w:sz w:val="18"/>
                <w:szCs w:val="18"/>
              </w:rPr>
            </w:pPr>
            <w:r>
              <w:rPr>
                <w:i/>
                <w:iCs/>
                <w:color w:val="0D2137"/>
                <w:sz w:val="18"/>
                <w:szCs w:val="18"/>
              </w:rPr>
              <w:t xml:space="preserve">Provider-managed account; region not recorded. </w:t>
            </w:r>
          </w:p>
        </w:tc>
      </w:tr>
      <w:tr>
        <w:trPr/>
        <w:tc>
          <w:tcPr>
            <w:tcW w:w="216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PwnedLabs environment </w:t>
            </w:r>
          </w:p>
        </w:tc>
        <w:tc>
          <w:tcPr>
            <w:tcW w:w="2000" w:type="dxa"/>
            <w:tcBorders>
              <w:bottom w:val="single" w:sz="4" w:space="0" w:color="C6D3DB"/>
              <w:right w:val="single" w:sz="4" w:space="0" w:color="C6D3DB"/>
            </w:tcBorders>
            <w:shd w:color="auto" w:fill="FFFFFF" w:val="clear"/>
            <w:vAlign w:val="center"/>
          </w:tcPr>
          <w:p>
            <w:pPr>
              <w:pStyle w:val="Normal"/>
              <w:spacing w:before="0" w:after="0"/>
              <w:rPr>
                <w:i/>
                <w:i/>
                <w:iCs/>
                <w:color w:val="0D2137"/>
                <w:sz w:val="18"/>
                <w:szCs w:val="18"/>
              </w:rPr>
            </w:pPr>
            <w:r>
              <w:rPr>
                <w:i/>
                <w:iCs/>
                <w:color w:val="0D2137"/>
                <w:sz w:val="18"/>
                <w:szCs w:val="18"/>
              </w:rPr>
              <w:t xml:space="preserve">Hosted AWS training environment </w:t>
            </w:r>
          </w:p>
        </w:tc>
        <w:tc>
          <w:tcPr>
            <w:tcW w:w="2600" w:type="dxa"/>
            <w:tcBorders>
              <w:bottom w:val="single" w:sz="4" w:space="0" w:color="C6D3DB"/>
              <w:right w:val="single" w:sz="4" w:space="0" w:color="C6D3DB"/>
            </w:tcBorders>
            <w:shd w:color="auto" w:fill="FFFFFF" w:val="clear"/>
            <w:vAlign w:val="center"/>
          </w:tcPr>
          <w:p>
            <w:pPr>
              <w:pStyle w:val="Normal"/>
              <w:spacing w:before="0" w:after="0"/>
              <w:rPr>
                <w:i/>
                <w:i/>
                <w:iCs/>
                <w:color w:val="0D2137"/>
                <w:sz w:val="18"/>
                <w:szCs w:val="18"/>
              </w:rPr>
            </w:pPr>
            <w:r>
              <w:rPr>
                <w:i/>
                <w:iCs/>
                <w:color w:val="0D2137"/>
                <w:sz w:val="18"/>
                <w:szCs w:val="18"/>
              </w:rPr>
              <w:t xml:space="preserve">Used for the </w:t>
            </w:r>
            <w:r>
              <w:rPr>
                <w:rStyle w:val="Strong"/>
                <w:i/>
                <w:iCs/>
                <w:color w:val="0D2137"/>
                <w:sz w:val="18"/>
                <w:szCs w:val="18"/>
              </w:rPr>
              <w:t>Execute and Identify Credential Abuse in AWS</w:t>
            </w:r>
            <w:r>
              <w:rPr>
                <w:i/>
                <w:iCs/>
                <w:color w:val="0D2137"/>
                <w:sz w:val="18"/>
                <w:szCs w:val="18"/>
              </w:rPr>
              <w:t xml:space="preserve"> exercise. </w:t>
            </w:r>
          </w:p>
        </w:tc>
        <w:tc>
          <w:tcPr>
            <w:tcW w:w="3270" w:type="dxa"/>
            <w:tcBorders>
              <w:bottom w:val="single" w:sz="4" w:space="0" w:color="C6D3DB"/>
              <w:right w:val="single" w:sz="4" w:space="0" w:color="C6D3DB"/>
            </w:tcBorders>
            <w:shd w:color="auto" w:fill="FFFFFF" w:val="clear"/>
            <w:vAlign w:val="center"/>
          </w:tcPr>
          <w:p>
            <w:pPr>
              <w:pStyle w:val="Normal"/>
              <w:spacing w:before="0" w:after="0"/>
              <w:rPr>
                <w:i/>
                <w:i/>
                <w:iCs/>
                <w:color w:val="0D2137"/>
                <w:sz w:val="18"/>
                <w:szCs w:val="18"/>
              </w:rPr>
            </w:pPr>
            <w:r>
              <w:rPr>
                <w:i/>
                <w:iCs/>
                <w:color w:val="0D2137"/>
                <w:sz w:val="18"/>
                <w:szCs w:val="18"/>
              </w:rPr>
              <w:t xml:space="preserve">Partially completed; successful AWS Console credential reuse was not verified. </w:t>
            </w:r>
          </w:p>
        </w:tc>
      </w:tr>
      <w:tr>
        <w:trPr/>
        <w:tc>
          <w:tcPr>
            <w:tcW w:w="216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Public S3 bucket examined in PwnedLabs </w:t>
            </w:r>
          </w:p>
        </w:tc>
        <w:tc>
          <w:tcPr>
            <w:tcW w:w="2000" w:type="dxa"/>
            <w:tcBorders>
              <w:bottom w:val="single" w:sz="4" w:space="0" w:color="C6D3DB"/>
              <w:right w:val="single" w:sz="4" w:space="0" w:color="C6D3DB"/>
            </w:tcBorders>
            <w:shd w:color="auto" w:fill="F4F7F9" w:val="clear"/>
            <w:vAlign w:val="center"/>
          </w:tcPr>
          <w:p>
            <w:pPr>
              <w:pStyle w:val="Normal"/>
              <w:spacing w:before="0" w:after="0"/>
              <w:rPr/>
            </w:pPr>
            <w:r>
              <w:rPr/>
              <w:t xml:space="preserve">Amazon S3 </w:t>
            </w:r>
          </w:p>
        </w:tc>
        <w:tc>
          <w:tcPr>
            <w:tcW w:w="2600" w:type="dxa"/>
            <w:tcBorders>
              <w:bottom w:val="single" w:sz="4" w:space="0" w:color="C6D3DB"/>
              <w:right w:val="single" w:sz="4" w:space="0" w:color="C6D3DB"/>
            </w:tcBorders>
            <w:shd w:color="auto" w:fill="F4F7F9" w:val="clear"/>
            <w:vAlign w:val="center"/>
          </w:tcPr>
          <w:p>
            <w:pPr>
              <w:pStyle w:val="Normal"/>
              <w:spacing w:before="0" w:after="0"/>
              <w:rPr/>
            </w:pPr>
            <w:r>
              <w:rPr/>
              <w:t xml:space="preserve">Bucket listing captured as supporting evidence. </w:t>
            </w:r>
          </w:p>
        </w:tc>
        <w:tc>
          <w:tcPr>
            <w:tcW w:w="3270" w:type="dxa"/>
            <w:tcBorders>
              <w:bottom w:val="single" w:sz="4" w:space="0" w:color="C6D3DB"/>
              <w:right w:val="single" w:sz="4" w:space="0" w:color="C6D3DB"/>
            </w:tcBorders>
            <w:shd w:color="auto" w:fill="F4F7F9" w:val="clear"/>
            <w:vAlign w:val="center"/>
          </w:tcPr>
          <w:p>
            <w:pPr>
              <w:pStyle w:val="Normal"/>
              <w:spacing w:before="0" w:after="0"/>
              <w:rPr/>
            </w:pPr>
            <w:r>
              <w:rPr/>
              <w:t xml:space="preserve">Bucket name and region should be taken from the saved evidence </w:t>
            </w:r>
          </w:p>
        </w:tc>
      </w:tr>
    </w:tbl>
    <w:tbl>
      <w:tblPr>
        <w:tblW w:w="10160" w:type="dxa"/>
        <w:jc w:val="left"/>
        <w:tblInd w:w="-25" w:type="dxa"/>
        <w:tblLayout w:type="fixed"/>
        <w:tblCellMar>
          <w:top w:w="55" w:type="dxa"/>
          <w:left w:w="55" w:type="dxa"/>
          <w:bottom w:w="55" w:type="dxa"/>
          <w:right w:w="55" w:type="dxa"/>
        </w:tblCellMar>
      </w:tblPr>
      <w:tblGrid>
        <w:gridCol w:w="2180"/>
        <w:gridCol w:w="2040"/>
        <w:gridCol w:w="2610"/>
        <w:gridCol w:w="3290"/>
        <w:gridCol w:w="40"/>
      </w:tblGrid>
      <w:tr>
        <w:trPr/>
        <w:tc>
          <w:tcPr>
            <w:tcW w:w="2180" w:type="dxa"/>
            <w:tcBorders>
              <w:top w:val="single" w:sz="4" w:space="0" w:color="000000"/>
              <w:left w:val="single" w:sz="4" w:space="0" w:color="000000"/>
              <w:bottom w:val="single" w:sz="4" w:space="0" w:color="000000"/>
            </w:tcBorders>
          </w:tcPr>
          <w:p>
            <w:pPr>
              <w:pStyle w:val="TableContents"/>
              <w:spacing w:before="0" w:after="160"/>
              <w:rPr>
                <w:i/>
                <w:i/>
                <w:iCs/>
              </w:rPr>
            </w:pPr>
            <w:r>
              <w:rPr>
                <w:i/>
                <w:iCs/>
              </w:rPr>
              <w:t xml:space="preserve">AWS CLI </w:t>
            </w:r>
          </w:p>
        </w:tc>
        <w:tc>
          <w:tcPr>
            <w:tcW w:w="2040" w:type="dxa"/>
            <w:tcBorders>
              <w:top w:val="single" w:sz="4" w:space="0" w:color="000000"/>
              <w:left w:val="single" w:sz="4" w:space="0" w:color="000000"/>
              <w:bottom w:val="single" w:sz="4" w:space="0" w:color="000000"/>
            </w:tcBorders>
          </w:tcPr>
          <w:p>
            <w:pPr>
              <w:pStyle w:val="TableContents"/>
              <w:spacing w:before="0" w:after="160"/>
              <w:rPr>
                <w:i/>
                <w:i/>
                <w:iCs/>
              </w:rPr>
            </w:pPr>
            <w:r>
              <w:rPr>
                <w:i/>
                <w:iCs/>
              </w:rPr>
              <w:t xml:space="preserve">Command-line tool </w:t>
            </w:r>
          </w:p>
        </w:tc>
        <w:tc>
          <w:tcPr>
            <w:tcW w:w="2610" w:type="dxa"/>
            <w:tcBorders>
              <w:top w:val="single" w:sz="4" w:space="0" w:color="000000"/>
              <w:left w:val="single" w:sz="4" w:space="0" w:color="000000"/>
              <w:bottom w:val="single" w:sz="4" w:space="0" w:color="000000"/>
            </w:tcBorders>
          </w:tcPr>
          <w:p>
            <w:pPr>
              <w:pStyle w:val="TableContents"/>
              <w:spacing w:before="0" w:after="160"/>
              <w:rPr>
                <w:i/>
                <w:i/>
                <w:iCs/>
              </w:rPr>
            </w:pPr>
            <w:r>
              <w:rPr>
                <w:i/>
                <w:iCs/>
              </w:rPr>
              <w:t xml:space="preserve">Generated and retrieved IAM credential reports. </w:t>
            </w:r>
          </w:p>
        </w:tc>
        <w:tc>
          <w:tcPr>
            <w:tcW w:w="3290" w:type="dxa"/>
            <w:tcBorders>
              <w:top w:val="single" w:sz="4" w:space="0" w:color="000000"/>
              <w:left w:val="single" w:sz="4" w:space="0" w:color="000000"/>
              <w:bottom w:val="single" w:sz="4" w:space="0" w:color="000000"/>
            </w:tcBorders>
          </w:tcPr>
          <w:p>
            <w:pPr>
              <w:pStyle w:val="TableContents"/>
              <w:spacing w:before="0" w:after="160"/>
              <w:rPr>
                <w:i/>
                <w:i/>
                <w:iCs/>
              </w:rPr>
            </w:pPr>
            <w:r>
              <w:rPr>
                <w:i/>
                <w:iCs/>
              </w:rPr>
              <w:t xml:space="preserve">Used with the applicable lab credentials. </w:t>
            </w:r>
          </w:p>
        </w:tc>
        <w:tc>
          <w:tcPr>
            <w:tcW w:w="40" w:type="dxa"/>
            <w:tcBorders>
              <w:top w:val="single" w:sz="4" w:space="0" w:color="000000"/>
              <w:left w:val="single" w:sz="4" w:space="0" w:color="000000"/>
              <w:bottom w:val="single" w:sz="4" w:space="0" w:color="000000"/>
              <w:right w:val="single" w:sz="4" w:space="0" w:color="000000"/>
            </w:tcBorders>
          </w:tcPr>
          <w:p>
            <w:pPr>
              <w:pStyle w:val="TableContents"/>
              <w:widowControl w:val="false"/>
              <w:suppressLineNumbers/>
              <w:spacing w:before="0" w:after="160"/>
              <w:rPr/>
            </w:pPr>
            <w:r>
              <w:rPr/>
            </w:r>
          </w:p>
        </w:tc>
      </w:tr>
      <w:tr>
        <w:trPr/>
        <w:tc>
          <w:tcPr>
            <w:tcW w:w="2180" w:type="dxa"/>
            <w:tcBorders>
              <w:left w:val="single" w:sz="4" w:space="0" w:color="000000"/>
              <w:bottom w:val="single" w:sz="4" w:space="0" w:color="000000"/>
            </w:tcBorders>
          </w:tcPr>
          <w:p>
            <w:pPr>
              <w:pStyle w:val="TableContents"/>
              <w:spacing w:before="0" w:after="160"/>
              <w:rPr>
                <w:i/>
                <w:i/>
                <w:iCs/>
              </w:rPr>
            </w:pPr>
            <w:r>
              <w:rPr>
                <w:i/>
                <w:iCs/>
              </w:rPr>
              <w:t xml:space="preserve">Windows PowerShell </w:t>
            </w:r>
          </w:p>
        </w:tc>
        <w:tc>
          <w:tcPr>
            <w:tcW w:w="2040" w:type="dxa"/>
            <w:tcBorders>
              <w:left w:val="single" w:sz="4" w:space="0" w:color="000000"/>
              <w:bottom w:val="single" w:sz="4" w:space="0" w:color="000000"/>
            </w:tcBorders>
          </w:tcPr>
          <w:p>
            <w:pPr>
              <w:pStyle w:val="TableContents"/>
              <w:spacing w:before="0" w:after="160"/>
              <w:rPr>
                <w:i/>
                <w:i/>
                <w:iCs/>
              </w:rPr>
            </w:pPr>
            <w:r>
              <w:rPr>
                <w:i/>
                <w:iCs/>
              </w:rPr>
              <w:t xml:space="preserve">Local shell </w:t>
            </w:r>
          </w:p>
        </w:tc>
        <w:tc>
          <w:tcPr>
            <w:tcW w:w="2610" w:type="dxa"/>
            <w:tcBorders>
              <w:left w:val="single" w:sz="4" w:space="0" w:color="000000"/>
              <w:bottom w:val="single" w:sz="4" w:space="0" w:color="000000"/>
            </w:tcBorders>
          </w:tcPr>
          <w:p>
            <w:pPr>
              <w:pStyle w:val="TableContents"/>
              <w:spacing w:before="0" w:after="160"/>
              <w:rPr>
                <w:i/>
                <w:i/>
                <w:iCs/>
              </w:rPr>
            </w:pPr>
            <w:r>
              <w:rPr>
                <w:i/>
                <w:iCs/>
              </w:rPr>
              <w:t xml:space="preserve">Supported CLI work and access to WSL environments. </w:t>
            </w:r>
          </w:p>
        </w:tc>
        <w:tc>
          <w:tcPr>
            <w:tcW w:w="3290" w:type="dxa"/>
            <w:tcBorders>
              <w:left w:val="single" w:sz="4" w:space="0" w:color="000000"/>
              <w:bottom w:val="single" w:sz="4" w:space="0" w:color="000000"/>
            </w:tcBorders>
          </w:tcPr>
          <w:p>
            <w:pPr>
              <w:pStyle w:val="TableContents"/>
              <w:spacing w:before="0" w:after="160"/>
              <w:rPr>
                <w:i/>
                <w:i/>
                <w:iCs/>
              </w:rPr>
            </w:pPr>
            <w:r>
              <w:rPr>
                <w:i/>
                <w:iCs/>
              </w:rPr>
              <w:t xml:space="preserve">Local Windows computer </w:t>
            </w:r>
          </w:p>
        </w:tc>
        <w:tc>
          <w:tcPr>
            <w:tcW w:w="40" w:type="dxa"/>
            <w:tcBorders>
              <w:left w:val="single" w:sz="4" w:space="0" w:color="000000"/>
              <w:bottom w:val="single" w:sz="4" w:space="0" w:color="000000"/>
              <w:right w:val="single" w:sz="4" w:space="0" w:color="000000"/>
            </w:tcBorders>
          </w:tcPr>
          <w:p>
            <w:pPr>
              <w:pStyle w:val="TableContents"/>
              <w:widowControl w:val="false"/>
              <w:suppressLineNumbers/>
              <w:spacing w:before="0" w:after="160"/>
              <w:rPr/>
            </w:pPr>
            <w:r>
              <w:rPr/>
            </w:r>
          </w:p>
        </w:tc>
      </w:tr>
      <w:tr>
        <w:trPr/>
        <w:tc>
          <w:tcPr>
            <w:tcW w:w="2180" w:type="dxa"/>
            <w:tcBorders>
              <w:left w:val="single" w:sz="4" w:space="0" w:color="000000"/>
              <w:bottom w:val="single" w:sz="4" w:space="0" w:color="000000"/>
            </w:tcBorders>
          </w:tcPr>
          <w:p>
            <w:pPr>
              <w:pStyle w:val="TableContents"/>
              <w:spacing w:before="0" w:after="160"/>
              <w:rPr>
                <w:i/>
                <w:i/>
                <w:iCs/>
              </w:rPr>
            </w:pPr>
            <w:r>
              <w:rPr>
                <w:i/>
                <w:iCs/>
              </w:rPr>
              <w:t xml:space="preserve">Ubuntu on WSL 2 </w:t>
            </w:r>
          </w:p>
        </w:tc>
        <w:tc>
          <w:tcPr>
            <w:tcW w:w="2040" w:type="dxa"/>
            <w:tcBorders>
              <w:left w:val="single" w:sz="4" w:space="0" w:color="000000"/>
              <w:bottom w:val="single" w:sz="4" w:space="0" w:color="000000"/>
            </w:tcBorders>
          </w:tcPr>
          <w:p>
            <w:pPr>
              <w:pStyle w:val="TableContents"/>
              <w:spacing w:before="0" w:after="160"/>
              <w:rPr>
                <w:i/>
                <w:i/>
                <w:iCs/>
              </w:rPr>
            </w:pPr>
            <w:r>
              <w:rPr>
                <w:i/>
                <w:iCs/>
              </w:rPr>
              <w:t xml:space="preserve">Local Linux environment </w:t>
            </w:r>
          </w:p>
        </w:tc>
        <w:tc>
          <w:tcPr>
            <w:tcW w:w="2610" w:type="dxa"/>
            <w:tcBorders>
              <w:left w:val="single" w:sz="4" w:space="0" w:color="000000"/>
              <w:bottom w:val="single" w:sz="4" w:space="0" w:color="000000"/>
            </w:tcBorders>
          </w:tcPr>
          <w:p>
            <w:pPr>
              <w:pStyle w:val="TableContents"/>
              <w:spacing w:before="0" w:after="160"/>
              <w:rPr>
                <w:i/>
                <w:i/>
                <w:iCs/>
              </w:rPr>
            </w:pPr>
            <w:r>
              <w:rPr>
                <w:i/>
                <w:iCs/>
              </w:rPr>
              <w:t xml:space="preserve">Hosted John the Ripper and supported file searches. </w:t>
            </w:r>
          </w:p>
        </w:tc>
        <w:tc>
          <w:tcPr>
            <w:tcW w:w="3290" w:type="dxa"/>
            <w:tcBorders>
              <w:left w:val="single" w:sz="4" w:space="0" w:color="000000"/>
              <w:bottom w:val="single" w:sz="4" w:space="0" w:color="000000"/>
            </w:tcBorders>
          </w:tcPr>
          <w:p>
            <w:pPr>
              <w:pStyle w:val="TableContents"/>
              <w:bidi w:val="0"/>
              <w:spacing w:before="0" w:after="160"/>
              <w:ind w:hanging="0" w:left="0" w:right="0"/>
              <w:rPr/>
            </w:pPr>
            <w:r>
              <w:rPr>
                <w:i/>
                <w:iCs/>
              </w:rPr>
              <w:t xml:space="preserve">Opened using </w:t>
            </w:r>
            <w:r>
              <w:rPr>
                <w:rStyle w:val="SourceText"/>
                <w:i/>
                <w:iCs/>
              </w:rPr>
              <w:t>wsl -d Ubuntu</w:t>
            </w:r>
            <w:r>
              <w:rPr>
                <w:i/>
                <w:iCs/>
              </w:rPr>
              <w:t xml:space="preserve">. </w:t>
            </w:r>
          </w:p>
        </w:tc>
        <w:tc>
          <w:tcPr>
            <w:tcW w:w="40" w:type="dxa"/>
            <w:tcBorders>
              <w:left w:val="single" w:sz="4" w:space="0" w:color="000000"/>
              <w:bottom w:val="single" w:sz="4" w:space="0" w:color="000000"/>
              <w:right w:val="single" w:sz="4" w:space="0" w:color="000000"/>
            </w:tcBorders>
          </w:tcPr>
          <w:p>
            <w:pPr>
              <w:pStyle w:val="TableContents"/>
              <w:widowControl w:val="false"/>
              <w:suppressLineNumbers/>
              <w:spacing w:before="0" w:after="160"/>
              <w:rPr/>
            </w:pPr>
            <w:r>
              <w:rPr/>
            </w:r>
          </w:p>
        </w:tc>
      </w:tr>
      <w:tr>
        <w:trPr/>
        <w:tc>
          <w:tcPr>
            <w:tcW w:w="2180" w:type="dxa"/>
            <w:tcBorders>
              <w:left w:val="single" w:sz="4" w:space="0" w:color="000000"/>
              <w:bottom w:val="single" w:sz="4" w:space="0" w:color="000000"/>
            </w:tcBorders>
          </w:tcPr>
          <w:p>
            <w:pPr>
              <w:pStyle w:val="TableContents"/>
              <w:spacing w:before="0" w:after="160"/>
              <w:rPr>
                <w:i/>
                <w:i/>
                <w:iCs/>
              </w:rPr>
            </w:pPr>
            <w:r>
              <w:rPr>
                <w:i/>
                <w:iCs/>
              </w:rPr>
              <w:t>John the Rippe</w:t>
            </w:r>
            <w:r>
              <w:rPr>
                <w:i/>
                <w:iCs/>
              </w:rPr>
              <w:t>r</w:t>
            </w:r>
            <w:r>
              <w:rPr>
                <w:i/>
                <w:iCs/>
              </w:rPr>
              <w:t xml:space="preserve"> </w:t>
            </w:r>
          </w:p>
        </w:tc>
        <w:tc>
          <w:tcPr>
            <w:tcW w:w="2040" w:type="dxa"/>
            <w:tcBorders>
              <w:left w:val="single" w:sz="4" w:space="0" w:color="000000"/>
              <w:bottom w:val="single" w:sz="4" w:space="0" w:color="000000"/>
            </w:tcBorders>
          </w:tcPr>
          <w:p>
            <w:pPr>
              <w:pStyle w:val="TableContents"/>
              <w:spacing w:before="0" w:after="160"/>
              <w:rPr>
                <w:i/>
                <w:i/>
                <w:iCs/>
              </w:rPr>
            </w:pPr>
            <w:r>
              <w:rPr>
                <w:i/>
                <w:iCs/>
              </w:rPr>
              <w:t xml:space="preserve">Local password-auditing tool </w:t>
            </w:r>
          </w:p>
        </w:tc>
        <w:tc>
          <w:tcPr>
            <w:tcW w:w="2610" w:type="dxa"/>
            <w:tcBorders>
              <w:left w:val="single" w:sz="4" w:space="0" w:color="000000"/>
              <w:bottom w:val="single" w:sz="4" w:space="0" w:color="000000"/>
            </w:tcBorders>
          </w:tcPr>
          <w:p>
            <w:pPr>
              <w:pStyle w:val="TableContents"/>
              <w:spacing w:before="0" w:after="160"/>
              <w:rPr>
                <w:i/>
                <w:i/>
                <w:iCs/>
              </w:rPr>
            </w:pPr>
            <w:r>
              <w:rPr>
                <w:i/>
                <w:iCs/>
              </w:rPr>
              <w:t xml:space="preserve">Prepared for offline recovery of lab password hashes. </w:t>
            </w:r>
          </w:p>
        </w:tc>
        <w:tc>
          <w:tcPr>
            <w:tcW w:w="3290" w:type="dxa"/>
            <w:tcBorders>
              <w:left w:val="single" w:sz="4" w:space="0" w:color="000000"/>
              <w:bottom w:val="single" w:sz="4" w:space="0" w:color="000000"/>
            </w:tcBorders>
          </w:tcPr>
          <w:p>
            <w:pPr>
              <w:pStyle w:val="TableContents"/>
              <w:bidi w:val="0"/>
              <w:spacing w:before="0" w:after="160"/>
              <w:ind w:hanging="0" w:left="0" w:right="0"/>
              <w:rPr/>
            </w:pPr>
            <w:r>
              <w:rPr>
                <w:i/>
                <w:iCs/>
              </w:rPr>
              <w:t xml:space="preserve">Executable confirmed at </w:t>
            </w:r>
            <w:r>
              <w:rPr>
                <w:rStyle w:val="SourceText"/>
                <w:i/>
                <w:iCs/>
              </w:rPr>
              <w:t>~/john/run/john</w:t>
            </w:r>
            <w:r>
              <w:rPr>
                <w:i/>
                <w:iCs/>
              </w:rPr>
              <w:t xml:space="preserve">; required hash file was not located. </w:t>
            </w:r>
          </w:p>
        </w:tc>
        <w:tc>
          <w:tcPr>
            <w:tcW w:w="40" w:type="dxa"/>
            <w:tcBorders>
              <w:left w:val="single" w:sz="4" w:space="0" w:color="000000"/>
              <w:bottom w:val="single" w:sz="4" w:space="0" w:color="000000"/>
              <w:right w:val="single" w:sz="4" w:space="0" w:color="000000"/>
            </w:tcBorders>
          </w:tcPr>
          <w:p>
            <w:pPr>
              <w:pStyle w:val="TableContents"/>
              <w:widowControl w:val="false"/>
              <w:suppressLineNumbers/>
              <w:spacing w:before="0" w:after="160"/>
              <w:rPr/>
            </w:pPr>
            <w:r>
              <w:rPr/>
            </w:r>
          </w:p>
        </w:tc>
      </w:tr>
    </w:tbl>
    <w:p>
      <w:pPr>
        <w:pStyle w:val="Normal"/>
        <w:spacing w:before="0" w:after="80"/>
        <w:rPr>
          <w:i/>
          <w:i/>
          <w:iCs/>
          <w:color w:val="6B8CA3"/>
          <w:sz w:val="18"/>
          <w:szCs w:val="18"/>
        </w:rPr>
      </w:pPr>
      <w:r>
        <w:rPr>
          <w:i/>
          <w:iCs/>
          <w:color w:val="6B8CA3"/>
          <w:sz w:val="18"/>
          <w:szCs w:val="18"/>
        </w:rPr>
      </w:r>
    </w:p>
    <w:p>
      <w:pPr>
        <w:pStyle w:val="Normal"/>
        <w:spacing w:before="0" w:after="80"/>
        <w:rPr>
          <w:i/>
          <w:i/>
          <w:iCs/>
          <w:color w:val="6B8CA3"/>
          <w:sz w:val="18"/>
          <w:szCs w:val="18"/>
        </w:rPr>
      </w:pPr>
      <w:r>
        <w:rPr>
          <w:i/>
          <w:iCs/>
          <w:color w:val="6B8CA3"/>
          <w:sz w:val="18"/>
          <w:szCs w:val="18"/>
        </w:rPr>
      </w:r>
    </w:p>
    <w:p>
      <w:pPr>
        <w:pStyle w:val="Normal"/>
        <w:spacing w:before="0" w:after="80"/>
        <w:rPr>
          <w:i/>
          <w:i/>
          <w:iCs/>
          <w:color w:val="6B8CA3"/>
          <w:sz w:val="18"/>
          <w:szCs w:val="18"/>
        </w:rPr>
      </w:pPr>
      <w:r>
        <w:rPr>
          <w:i/>
          <w:iCs/>
          <w:color w:val="6B8CA3"/>
          <w:sz w:val="18"/>
          <w:szCs w:val="18"/>
        </w:rPr>
      </w:r>
    </w:p>
    <w:p>
      <w:pPr>
        <w:pStyle w:val="Normal"/>
        <w:spacing w:before="0" w:after="80"/>
        <w:rPr>
          <w:i/>
          <w:i/>
          <w:iCs/>
          <w:color w:val="6B8CA3"/>
          <w:sz w:val="18"/>
          <w:szCs w:val="18"/>
        </w:rPr>
      </w:pPr>
      <w:r>
        <w:rPr>
          <w:i/>
          <w:iCs/>
          <w:color w:val="6B8CA3"/>
          <w:sz w:val="18"/>
          <w:szCs w:val="18"/>
        </w:rPr>
      </w:r>
    </w:p>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Insert an architecture or environment diagram here — e.g. a VPC network diagram, a trust policy relationship diagram, or a screenshot of your AWS Console resource view. Label it Figure 1 with a one-sentence caption. For tasks without a visual architecture, a labelled screenshot of your AWS Console environment is acceptable.</w:t>
      </w:r>
    </w:p>
    <w:p>
      <w:pPr>
        <w:pStyle w:val="Normal"/>
        <w:spacing w:before="0" w:after="80"/>
        <w:rPr/>
      </w:pPr>
      <w:r>
        <w:rPr/>
      </w:r>
    </w:p>
    <w:p>
      <w:pPr>
        <w:pStyle w:val="Heading2"/>
        <w:rPr>
          <w:b/>
          <w:bCs/>
          <w:color w:themeColor="text2" w:themeShade="bf" w:val="323E4F"/>
        </w:rPr>
      </w:pPr>
      <w:r>
        <w:rPr>
          <w:b/>
          <w:bCs/>
          <w:color w:themeColor="text2" w:themeShade="bf" w:val="323E4F"/>
        </w:rPr>
        <w:t>2.2 AWS CLI &amp; Tool Configuration</w:t>
      </w:r>
    </w:p>
    <w:p>
      <w:pPr>
        <w:pStyle w:val="Normal"/>
        <w:spacing w:before="0" w:after="120"/>
        <w:rPr>
          <w:color w:val="auto"/>
          <w:sz w:val="22"/>
          <w:szCs w:val="22"/>
        </w:rPr>
      </w:pPr>
      <w:r>
        <w:rPr>
          <w:i/>
          <w:iCs/>
          <w:color w:val="auto"/>
          <w:sz w:val="22"/>
          <w:szCs w:val="22"/>
        </w:rPr>
        <w:t>[For each primary tool used, document how you installed and configured it. Use the table below — copy and add rows as needed. Focus on configuration choices that were specific to this task (e.g. which AWS profile, region, or access key type used).]</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1996"/>
        <w:gridCol w:w="1400"/>
        <w:gridCol w:w="2807"/>
        <w:gridCol w:w="3861"/>
      </w:tblGrid>
      <w:tr>
        <w:trPr>
          <w:tblHeader w:val="true"/>
        </w:trPr>
        <w:tc>
          <w:tcPr>
            <w:tcW w:w="1996"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Tool / Service</w:t>
            </w:r>
          </w:p>
        </w:tc>
        <w:tc>
          <w:tcPr>
            <w:tcW w:w="14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Version</w:t>
            </w:r>
          </w:p>
        </w:tc>
        <w:tc>
          <w:tcPr>
            <w:tcW w:w="2807"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Installation Method</w:t>
            </w:r>
          </w:p>
        </w:tc>
        <w:tc>
          <w:tcPr>
            <w:tcW w:w="3861"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Purpose in This Task</w:t>
            </w:r>
          </w:p>
        </w:tc>
      </w:tr>
      <w:tr>
        <w:trPr/>
        <w:tc>
          <w:tcPr>
            <w:tcW w:w="199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AWS CLI </w:t>
            </w:r>
          </w:p>
        </w:tc>
        <w:tc>
          <w:tcPr>
            <w:tcW w:w="14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Version not recorded for this task </w:t>
            </w:r>
          </w:p>
        </w:tc>
        <w:tc>
          <w:tcPr>
            <w:tcW w:w="280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Version not recorded for this task </w:t>
            </w:r>
          </w:p>
        </w:tc>
        <w:tc>
          <w:tcPr>
            <w:tcW w:w="386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Generated and retrieved IAM credential reports using </w:t>
            </w:r>
            <w:r>
              <w:rPr>
                <w:rStyle w:val="SourceText"/>
                <w:i/>
                <w:iCs/>
                <w:color w:val="0D2137"/>
                <w:sz w:val="20"/>
                <w:szCs w:val="20"/>
              </w:rPr>
              <w:t>aws iam generate-credential-report</w:t>
            </w:r>
            <w:r>
              <w:rPr>
                <w:i/>
                <w:iCs/>
                <w:color w:val="0D2137"/>
                <w:sz w:val="20"/>
                <w:szCs w:val="20"/>
              </w:rPr>
              <w:t xml:space="preserve"> and </w:t>
            </w:r>
            <w:r>
              <w:rPr>
                <w:rStyle w:val="SourceText"/>
                <w:i/>
                <w:iCs/>
                <w:color w:val="0D2137"/>
                <w:sz w:val="20"/>
                <w:szCs w:val="20"/>
              </w:rPr>
              <w:t>aws iam get-credential-report</w:t>
            </w:r>
            <w:r>
              <w:rPr>
                <w:i/>
                <w:iCs/>
                <w:color w:val="0D2137"/>
                <w:sz w:val="20"/>
                <w:szCs w:val="20"/>
              </w:rPr>
              <w:t xml:space="preserve">. </w:t>
            </w:r>
          </w:p>
        </w:tc>
      </w:tr>
      <w:tr>
        <w:trPr/>
        <w:tc>
          <w:tcPr>
            <w:tcW w:w="199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Windows PowerShell </w:t>
            </w:r>
          </w:p>
        </w:tc>
        <w:tc>
          <w:tcPr>
            <w:tcW w:w="14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Version not recorded </w:t>
            </w:r>
          </w:p>
        </w:tc>
        <w:tc>
          <w:tcPr>
            <w:tcW w:w="280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Existing Windows installation. </w:t>
            </w:r>
          </w:p>
        </w:tc>
        <w:tc>
          <w:tcPr>
            <w:tcW w:w="386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Supported CLI operations, Base64 decoding, and launching Ubuntu through WSL. </w:t>
            </w:r>
          </w:p>
        </w:tc>
      </w:tr>
      <w:tr>
        <w:trPr/>
        <w:tc>
          <w:tcPr>
            <w:tcW w:w="199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Ubuntu on WSL </w:t>
            </w:r>
          </w:p>
        </w:tc>
        <w:tc>
          <w:tcPr>
            <w:tcW w:w="14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Ubuntu version not recorded; WSL 2 confirmed </w:t>
            </w:r>
          </w:p>
        </w:tc>
        <w:tc>
          <w:tcPr>
            <w:tcW w:w="280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Previously installed; accessed using </w:t>
            </w:r>
            <w:r>
              <w:rPr>
                <w:rStyle w:val="SourceText"/>
                <w:i/>
                <w:iCs/>
                <w:color w:val="0D2137"/>
                <w:sz w:val="20"/>
                <w:szCs w:val="20"/>
              </w:rPr>
              <w:t>wsl -d Ubuntu</w:t>
            </w:r>
            <w:r>
              <w:rPr>
                <w:i/>
                <w:iCs/>
                <w:color w:val="0D2137"/>
                <w:sz w:val="20"/>
                <w:szCs w:val="20"/>
              </w:rPr>
              <w:t xml:space="preserve">. </w:t>
            </w:r>
          </w:p>
        </w:tc>
        <w:tc>
          <w:tcPr>
            <w:tcW w:w="386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Provided the Linux environment for John the Ripper and troubleshooting </w:t>
            </w:r>
          </w:p>
        </w:tc>
      </w:tr>
      <w:tr>
        <w:trPr/>
        <w:tc>
          <w:tcPr>
            <w:tcW w:w="199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John the Ripper </w:t>
            </w:r>
          </w:p>
        </w:tc>
        <w:tc>
          <w:tcPr>
            <w:tcW w:w="14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Version not recorded </w:t>
            </w:r>
          </w:p>
        </w:tc>
        <w:tc>
          <w:tcPr>
            <w:tcW w:w="280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Local source build present under </w:t>
            </w:r>
            <w:r>
              <w:rPr>
                <w:rStyle w:val="SourceText"/>
                <w:i/>
                <w:iCs/>
                <w:color w:val="0D2137"/>
                <w:sz w:val="20"/>
                <w:szCs w:val="20"/>
              </w:rPr>
              <w:t>~/john</w:t>
            </w:r>
            <w:r>
              <w:rPr>
                <w:i/>
                <w:iCs/>
                <w:color w:val="0D2137"/>
                <w:sz w:val="20"/>
                <w:szCs w:val="20"/>
              </w:rPr>
              <w:t xml:space="preserve">; executable verified at </w:t>
            </w:r>
            <w:r>
              <w:rPr>
                <w:rStyle w:val="SourceText"/>
                <w:i/>
                <w:iCs/>
                <w:color w:val="0D2137"/>
                <w:sz w:val="20"/>
                <w:szCs w:val="20"/>
              </w:rPr>
              <w:t>~/john/run/john</w:t>
            </w:r>
            <w:r>
              <w:rPr>
                <w:i/>
                <w:iCs/>
                <w:color w:val="0D2137"/>
                <w:sz w:val="20"/>
                <w:szCs w:val="20"/>
              </w:rPr>
              <w:t xml:space="preserve"> </w:t>
            </w:r>
          </w:p>
        </w:tc>
        <w:tc>
          <w:tcPr>
            <w:tcW w:w="386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Prepared for offline password-hash recovery; recovery was not verified because the required input file was not located </w:t>
            </w:r>
          </w:p>
        </w:tc>
      </w:tr>
      <w:tr>
        <w:trPr/>
        <w:tc>
          <w:tcPr>
            <w:tcW w:w="199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GoAWSConsoleSpra </w:t>
            </w:r>
          </w:p>
        </w:tc>
        <w:tc>
          <w:tcPr>
            <w:tcW w:w="14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Not installed successfully </w:t>
            </w:r>
          </w:p>
        </w:tc>
        <w:tc>
          <w:tcPr>
            <w:tcW w:w="2807"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Attempted installation using </w:t>
            </w:r>
            <w:r>
              <w:rPr>
                <w:rStyle w:val="SourceText"/>
                <w:i/>
                <w:iCs/>
                <w:color w:val="0D2137"/>
                <w:sz w:val="20"/>
                <w:szCs w:val="20"/>
              </w:rPr>
              <w:t>go install github.com/WhiteOakSecurity/GoAWSConsoleSpray@latest</w:t>
            </w:r>
            <w:r>
              <w:rPr>
                <w:i/>
                <w:iCs/>
                <w:color w:val="0D2137"/>
                <w:sz w:val="20"/>
                <w:szCs w:val="20"/>
              </w:rPr>
              <w:t xml:space="preserve">; blocked because Go was unavailable. </w:t>
            </w:r>
          </w:p>
        </w:tc>
        <w:tc>
          <w:tcPr>
            <w:tcW w:w="386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I</w:t>
            </w:r>
            <w:r>
              <w:rPr>
                <w:i/>
                <w:iCs/>
                <w:color w:val="0D2137"/>
                <w:sz w:val="20"/>
                <w:szCs w:val="20"/>
              </w:rPr>
              <w:t xml:space="preserve">ntended for AWS Console credential-reuse testing within the PwnedLabs exercise; not executed. </w:t>
            </w:r>
          </w:p>
        </w:tc>
      </w:tr>
      <w:tr>
        <w:trPr/>
        <w:tc>
          <w:tcPr>
            <w:tcW w:w="199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
          </w:p>
        </w:tc>
        <w:tc>
          <w:tcPr>
            <w:tcW w:w="14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c>
          <w:tcPr>
            <w:tcW w:w="2807"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c>
          <w:tcPr>
            <w:tcW w:w="386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r>
    </w:tbl>
    <w:p>
      <w:pPr>
        <w:pStyle w:val="Heading3"/>
        <w:spacing w:before="200" w:after="80"/>
        <w:rPr>
          <w:sz w:val="22"/>
          <w:szCs w:val="22"/>
        </w:rPr>
      </w:pPr>
      <w:r>
        <w:rPr>
          <w:b/>
          <w:bCs/>
          <w:color w:val="0D2137"/>
          <w:sz w:val="22"/>
          <w:szCs w:val="22"/>
        </w:rPr>
        <w:t>Key Configuration Commands Used</w:t>
      </w:r>
    </w:p>
    <w:p>
      <w:pPr>
        <w:pStyle w:val="Normal"/>
        <w:spacing w:before="0" w:after="120"/>
        <w:rPr>
          <w:color w:val="auto"/>
          <w:sz w:val="22"/>
          <w:szCs w:val="22"/>
        </w:rPr>
      </w:pPr>
      <w:r>
        <w:rPr>
          <w:i/>
          <w:iCs/>
          <w:color w:val="auto"/>
          <w:sz w:val="22"/>
          <w:szCs w:val="22"/>
        </w:rPr>
        <w:t>[List the CLI configuration and verification commands you ran during setup — not task execution commands (those go in Section 3). Include the actual output where it confirms successful configuration.]</w:t>
      </w:r>
    </w:p>
    <w:p>
      <w:pPr>
        <w:pStyle w:val="Normal"/>
        <w:spacing w:before="0" w:after="40"/>
        <w:rPr/>
      </w:pPr>
      <w:r>
        <w:rPr>
          <w:b/>
          <w:bCs/>
          <w:i/>
          <w:iCs/>
          <w:color w:val="6B8CA3"/>
          <w:sz w:val="18"/>
          <w:szCs w:val="18"/>
        </w:rPr>
        <w:t>Example — AWS CLI credential configuration:</w:t>
      </w:r>
    </w:p>
    <w:p>
      <w:pPr>
        <w:pStyle w:val="Heading3"/>
        <w:rPr/>
      </w:pPr>
      <w:r>
        <w:rPr>
          <w:rFonts w:eastAsia="Courier New" w:cs="Courier New" w:ascii="Courier New" w:hAnsi="Courier New"/>
          <w:color w:val="0D2137"/>
          <w:sz w:val="18"/>
          <w:szCs w:val="18"/>
        </w:rPr>
        <w:t xml:space="preserve">wsl --list –verbose  </w:t>
      </w:r>
      <w:r>
        <w:rPr>
          <w:rFonts w:eastAsia="Courier New" w:cs="Courier New" w:ascii="Courier New" w:hAnsi="Courier New"/>
          <w:color w:val="0D2137"/>
          <w:sz w:val="18"/>
          <w:szCs w:val="18"/>
        </w:rPr>
        <w:t>outcome:  NAME              STATE           VERSION</w:t>
      </w:r>
    </w:p>
    <w:p>
      <w:pPr>
        <w:pStyle w:val="Heading3"/>
        <w:rPr>
          <w:rFonts w:ascii="Courier New" w:hAnsi="Courier New" w:eastAsia="Courier New" w:cs="Courier New"/>
          <w:color w:val="0D2137"/>
          <w:sz w:val="18"/>
          <w:szCs w:val="18"/>
        </w:rPr>
      </w:pPr>
      <w:r>
        <w:rPr>
          <w:rFonts w:eastAsia="Courier New" w:cs="Courier New" w:ascii="Courier New" w:hAnsi="Courier New"/>
          <w:color w:val="0D2137"/>
          <w:sz w:val="18"/>
          <w:szCs w:val="18"/>
        </w:rPr>
        <w:t>* docker-desktop    Running         2</w:t>
      </w:r>
    </w:p>
    <w:p>
      <w:pPr>
        <w:pStyle w:val="Heading3"/>
        <w:rPr/>
      </w:pPr>
      <w:r>
        <w:rPr>
          <w:rFonts w:eastAsia="Courier New" w:cs="Courier New" w:ascii="Courier New" w:hAnsi="Courier New"/>
          <w:color w:val="0D2137"/>
          <w:sz w:val="18"/>
          <w:szCs w:val="18"/>
        </w:rPr>
        <w:t xml:space="preserve">  </w:t>
      </w:r>
      <w:r>
        <w:rPr>
          <w:rFonts w:eastAsia="Courier New" w:cs="Courier New" w:ascii="Courier New" w:hAnsi="Courier New"/>
          <w:color w:val="0D2137"/>
          <w:sz w:val="18"/>
          <w:szCs w:val="18"/>
        </w:rPr>
        <w:t>Ubuntu            Stopped         2</w:t>
      </w:r>
      <w:r>
        <w:rPr>
          <w:rFonts w:eastAsia="Courier New" w:cs="Courier New" w:ascii="Courier New" w:hAnsi="Courier New"/>
          <w:color w:val="0D2137"/>
          <w:sz w:val="18"/>
          <w:szCs w:val="18"/>
        </w:rPr>
        <w:t xml:space="preserve">    wsl -d Ubuntu      </w:t>
      </w:r>
      <w:r>
        <w:rPr>
          <w:rFonts w:eastAsia="Courier New" w:cs="Courier New" w:ascii="Courier New" w:hAnsi="Courier New"/>
          <w:color w:val="0D2137"/>
          <w:sz w:val="18"/>
          <w:szCs w:val="18"/>
        </w:rPr>
        <w:t>outcome: cd ~/john/src</w:t>
      </w:r>
    </w:p>
    <w:p>
      <w:pPr>
        <w:pStyle w:val="Heading3"/>
        <w:rPr/>
      </w:pPr>
      <w:r>
        <w:rPr>
          <w:rFonts w:eastAsia="Courier New" w:cs="Courier New" w:ascii="Courier New" w:hAnsi="Courier New"/>
          <w:color w:val="0D2137"/>
          <w:sz w:val="18"/>
          <w:szCs w:val="18"/>
        </w:rPr>
        <w:t>ls -l ../run/john*     a</w:t>
      </w:r>
    </w:p>
    <w:p>
      <w:pPr>
        <w:pStyle w:val="Normal"/>
        <w:spacing w:before="0" w:after="40"/>
        <w:rPr/>
      </w:pPr>
      <w:r>
        <w:rPr>
          <w:b/>
          <w:bCs/>
          <w:i/>
          <w:iCs/>
          <w:color w:val="6B8CA3"/>
          <w:sz w:val="18"/>
          <w:szCs w:val="18"/>
        </w:rPr>
        <w:t>Example — Verify identity and connectivity:</w:t>
      </w:r>
    </w:p>
    <w:p>
      <w:pPr>
        <w:pStyle w:val="Normal"/>
        <w:pBdr>
          <w:left w:val="single" w:sz="12" w:space="0" w:color="C6D3DB"/>
        </w:pBdr>
        <w:shd w:val="clear" w:color="auto" w:fill="F4F7F9"/>
        <w:spacing w:before="0" w:after="120"/>
        <w:ind w:left="288"/>
        <w:rPr/>
      </w:pPr>
      <w:r>
        <w:rPr>
          <w:rFonts w:eastAsia="Courier New" w:cs="Courier New" w:ascii="Courier New" w:hAnsi="Courier New"/>
          <w:color w:val="0D2137"/>
          <w:sz w:val="18"/>
          <w:szCs w:val="18"/>
        </w:rPr>
        <w:t>aws sts get-caller-identity # Expected output: Account ID, ARN, and UserId</w:t>
      </w:r>
    </w:p>
    <w:p>
      <w:pPr>
        <w:pStyle w:val="Normal"/>
        <w:spacing w:before="0" w:after="120"/>
        <w:rPr>
          <w:i/>
          <w:i/>
          <w:iCs/>
          <w:color w:val="auto"/>
          <w:sz w:val="22"/>
          <w:szCs w:val="22"/>
        </w:rPr>
      </w:pPr>
      <w:r>
        <w:rPr>
          <w:i/>
          <w:iCs/>
          <w:color w:val="auto"/>
          <w:sz w:val="22"/>
          <w:szCs w:val="22"/>
        </w:rPr>
        <w:t>[Replace the examples above with your actual configuration commands and their outputs. Use code-block formatting for all CLI content.]</w:t>
      </w:r>
    </w:p>
    <w:p>
      <w:pPr>
        <w:pStyle w:val="Normal"/>
        <w:spacing w:before="0" w:after="120"/>
        <w:rPr>
          <w:color w:val="auto"/>
          <w:sz w:val="12"/>
          <w:szCs w:val="12"/>
        </w:rPr>
      </w:pPr>
      <w:r>
        <w:rPr>
          <w:color w:val="auto"/>
          <w:sz w:val="12"/>
          <w:szCs w:val="12"/>
        </w:rPr>
      </w:r>
    </w:p>
    <w:p>
      <w:pPr>
        <w:pStyle w:val="Heading2"/>
        <w:rPr>
          <w:b/>
          <w:bCs/>
          <w:color w:themeColor="text2" w:themeShade="bf" w:val="323E4F"/>
        </w:rPr>
      </w:pPr>
      <w:r>
        <w:rPr>
          <w:b/>
          <w:bCs/>
          <w:color w:themeColor="text2" w:themeShade="bf" w:val="323E4F"/>
        </w:rPr>
        <w:t>2.3 AI Tool Usage Declaration</w:t>
      </w:r>
    </w:p>
    <w:p>
      <w:pPr>
        <w:pStyle w:val="Normal"/>
        <w:spacing w:before="0" w:after="120"/>
        <w:rPr>
          <w:color w:val="auto"/>
          <w:sz w:val="22"/>
          <w:szCs w:val="22"/>
        </w:rPr>
      </w:pPr>
      <w:r>
        <w:rPr>
          <w:i/>
          <w:iCs/>
          <w:color w:val="auto"/>
          <w:sz w:val="22"/>
          <w:szCs w:val="22"/>
        </w:rPr>
        <w:t>[Declare any AI tools used during this task. Be specific about what they were used for. If no AI tools were used, write: No AI tools were used in this task.]</w:t>
      </w:r>
    </w:p>
    <w:tbl>
      <w:tblPr>
        <w:tblW w:w="10206"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400"/>
        <w:gridCol w:w="3500"/>
        <w:gridCol w:w="4306"/>
      </w:tblGrid>
      <w:tr>
        <w:trPr>
          <w:tblHeader w:val="true"/>
        </w:trPr>
        <w:tc>
          <w:tcPr>
            <w:tcW w:w="24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AI Tool</w:t>
            </w:r>
          </w:p>
        </w:tc>
        <w:tc>
          <w:tcPr>
            <w:tcW w:w="35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Used For</w:t>
            </w:r>
          </w:p>
        </w:tc>
        <w:tc>
          <w:tcPr>
            <w:tcW w:w="4306"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What Was NOT Done with AI</w:t>
            </w:r>
          </w:p>
        </w:tc>
      </w:tr>
      <w:tr>
        <w:trPr/>
        <w:tc>
          <w:tcPr>
            <w:tcW w:w="24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ChatGPT  </w:t>
            </w:r>
          </w:p>
        </w:tc>
        <w:tc>
          <w:tcPr>
            <w:tcW w:w="35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I used ChatGPT to clarify IAM concepts, interpret credential-report fields, troubleshoot local tool setup, and structure my GitHub documentation. It also </w:t>
            </w:r>
            <w:r>
              <w:rPr>
                <w:i/>
                <w:iCs/>
                <w:color w:val="0D2137"/>
                <w:sz w:val="20"/>
                <w:szCs w:val="20"/>
              </w:rPr>
              <w:t xml:space="preserve">help </w:t>
            </w:r>
            <w:r>
              <w:rPr>
                <w:i/>
                <w:iCs/>
                <w:color w:val="0D2137"/>
                <w:sz w:val="20"/>
                <w:szCs w:val="20"/>
              </w:rPr>
              <w:t xml:space="preserve">map relevant threats to MITRE ATT&amp;CK techniques.  </w:t>
            </w:r>
          </w:p>
        </w:tc>
        <w:tc>
          <w:tcPr>
            <w:tcW w:w="430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AI did not generate technical findings, execute CLI commands, produce screenshots, or create any evidence files]</w:t>
            </w:r>
          </w:p>
        </w:tc>
      </w:tr>
    </w:tbl>
    <w:p>
      <w:pPr>
        <w:pStyle w:val="Normal"/>
        <w:spacing w:before="0" w:after="120"/>
        <w:rPr>
          <w:color w:val="auto"/>
          <w:sz w:val="22"/>
          <w:szCs w:val="22"/>
        </w:rPr>
      </w:pPr>
      <w:r>
        <w:rPr>
          <w:color w:val="auto"/>
          <w:sz w:val="22"/>
          <w:szCs w:val="22"/>
        </w:rPr>
        <w:t>All technical findings, CLI outputs, configurations, and evidence in this report are the intern's own work.</w:t>
      </w:r>
    </w:p>
    <w:p>
      <w:pPr>
        <w:pStyle w:val="Normal"/>
        <w:spacing w:before="0" w:after="80"/>
        <w:rPr/>
      </w:pPr>
      <w:r>
        <w:rPr>
          <w:i/>
          <w:iCs/>
          <w:color w:val="6B8CA3"/>
          <w:sz w:val="18"/>
          <w:szCs w:val="18"/>
        </w:rPr>
        <w:t xml:space="preserve">ℹ  </w:t>
      </w:r>
      <w:r>
        <w:rPr>
          <w:i/>
          <w:iCs/>
          <w:color w:val="6B8CA3"/>
          <w:sz w:val="18"/>
          <w:szCs w:val="18"/>
        </w:rPr>
        <w:t>Honest AI declaration is assessed. Using AI to execute cloud commands, generate JSON policies as task outputs, or produce screenshots is not permitted and must not be declared as your own work.</w:t>
      </w:r>
    </w:p>
    <w:p>
      <w:pPr>
        <w:pStyle w:val="Normal"/>
        <w:spacing w:before="0" w:after="0"/>
        <w:rPr/>
      </w:pPr>
      <w:r>
        <w:rPr/>
      </w:r>
      <w:r>
        <w:br w:type="page"/>
      </w:r>
    </w:p>
    <w:p>
      <w:pPr>
        <w:pStyle w:val="Heading1"/>
        <w:pBdr>
          <w:bottom w:val="single" w:sz="8" w:space="6" w:color="146C94"/>
        </w:pBdr>
        <w:spacing w:before="0" w:after="160"/>
        <w:rPr/>
      </w:pPr>
      <w:r>
        <w:rPr>
          <w:b/>
          <w:bCs/>
          <w:color w:val="0D2137"/>
        </w:rPr>
        <w:t>3.0 Methodology — Phase Execution</w:t>
      </w:r>
    </w:p>
    <w:p>
      <w:pPr>
        <w:pStyle w:val="Normal"/>
        <w:spacing w:before="0" w:after="120"/>
        <w:rPr>
          <w:color w:val="auto"/>
          <w:sz w:val="22"/>
          <w:szCs w:val="22"/>
        </w:rPr>
      </w:pPr>
      <w:r>
        <w:rPr>
          <w:i/>
          <w:iCs/>
          <w:color w:val="auto"/>
          <w:sz w:val="22"/>
          <w:szCs w:val="22"/>
        </w:rPr>
        <w:t>[This section documents what you did across each phase of the task. Work through Phase A to Phase D in order. For each phase, describe your actions, observations, and evidence produced. The structure is consistent — the content will vary depending on your specific task brief.]</w:t>
      </w:r>
    </w:p>
    <w:p>
      <w:pPr>
        <w:pStyle w:val="Normal"/>
        <w:spacing w:before="0" w:after="80"/>
        <w:rPr/>
      </w:pPr>
      <w:r>
        <w:rPr>
          <w:i/>
          <w:iCs/>
          <w:color w:val="6B8CA3"/>
          <w:sz w:val="18"/>
          <w:szCs w:val="18"/>
        </w:rPr>
        <w:t xml:space="preserve">ℹ  </w:t>
      </w:r>
      <w:r>
        <w:rPr>
          <w:i/>
          <w:iCs/>
          <w:color w:val="6B8CA3"/>
          <w:sz w:val="18"/>
          <w:szCs w:val="18"/>
        </w:rPr>
        <w:t>Do not copy task instructions into this section. Write what you did, what you observed, and what you produced.</w:t>
      </w:r>
    </w:p>
    <w:p>
      <w:pPr>
        <w:pStyle w:val="Heading2"/>
        <w:shd w:val="clear" w:color="auto" w:fill="FFFFFF" w:themeFill="background1"/>
        <w:spacing w:before="280" w:after="140"/>
        <w:rPr>
          <w:color w:themeColor="text2" w:themeShade="bf" w:val="323E4F"/>
        </w:rPr>
      </w:pPr>
      <w:r>
        <w:rPr>
          <w:b/>
          <w:bCs/>
          <w:color w:themeColor="text2" w:themeShade="bf" w:val="323E4F"/>
        </w:rPr>
        <w:t>Phase A: Theory &amp; Conceptual Foundation</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879"/>
        <w:gridCol w:w="7185"/>
      </w:tblGrid>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Objective</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Understand IAM enumeration fundamentals and how attackers exploit misconfigurations.</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Estimated Time</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90 minutes</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File(s)</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PhaseA_get_role.png, PhaseA_list_policies.png, PhaseA_list_users.png, PhaseA_summary.csv</w:t>
            </w:r>
          </w:p>
        </w:tc>
      </w:tr>
    </w:tbl>
    <w:p>
      <w:pPr>
        <w:pStyle w:val="Heading3"/>
        <w:spacing w:before="200" w:after="80"/>
        <w:rPr>
          <w:color w:val="auto"/>
          <w:sz w:val="28"/>
          <w:szCs w:val="28"/>
        </w:rPr>
      </w:pPr>
      <w:r>
        <w:rPr>
          <w:b/>
          <w:bCs/>
          <w:color w:val="auto"/>
          <w:sz w:val="22"/>
          <w:szCs w:val="22"/>
        </w:rPr>
        <w:t>Actions Taken</w:t>
      </w:r>
    </w:p>
    <w:p>
      <w:pPr>
        <w:pStyle w:val="BodyText"/>
        <w:spacing w:before="0" w:after="120"/>
        <w:rPr>
          <w:color w:val="auto"/>
          <w:sz w:val="22"/>
          <w:szCs w:val="22"/>
        </w:rPr>
      </w:pPr>
      <w:r>
        <w:rPr>
          <w:i/>
          <w:iCs/>
          <w:color w:val="auto"/>
          <w:sz w:val="22"/>
          <w:szCs w:val="22"/>
        </w:rPr>
        <w:t>During Phase A, I reviewed how IAM users, groups, roles, trust policies, and permissions policies interact. I learned that a role’s trust policy defines who can assume it, while its permissions policies define what actions it can perform. I also reviewed how permissions boundaries limit access without granting permissions themselves.</w:t>
      </w:r>
    </w:p>
    <w:p>
      <w:pPr>
        <w:pStyle w:val="BodyText"/>
        <w:spacing w:lineRule="auto" w:line="259" w:before="0" w:after="120"/>
        <w:rPr>
          <w:i/>
          <w:i/>
          <w:iCs/>
          <w:color w:val="auto"/>
          <w:sz w:val="22"/>
          <w:szCs w:val="22"/>
        </w:rPr>
      </w:pPr>
      <w:r>
        <w:rPr>
          <w:i/>
          <w:iCs/>
          <w:color w:val="auto"/>
          <w:sz w:val="22"/>
          <w:szCs w:val="22"/>
        </w:rPr>
        <w:t xml:space="preserve">The conceptual review drew on AWS IAM documentation covering </w:t>
      </w:r>
      <w:r>
        <w:rPr>
          <w:rStyle w:val="Strong"/>
          <w:i/>
          <w:iCs/>
          <w:color w:val="auto"/>
          <w:sz w:val="22"/>
          <w:szCs w:val="22"/>
        </w:rPr>
        <w:t>policy evaluation logic</w:t>
      </w:r>
      <w:r>
        <w:rPr>
          <w:i/>
          <w:iCs/>
          <w:color w:val="auto"/>
          <w:sz w:val="22"/>
          <w:szCs w:val="22"/>
        </w:rPr>
        <w:t xml:space="preserve"> and </w:t>
      </w:r>
      <w:r>
        <w:rPr>
          <w:rStyle w:val="Strong"/>
          <w:i/>
          <w:iCs/>
          <w:color w:val="auto"/>
          <w:sz w:val="22"/>
          <w:szCs w:val="22"/>
        </w:rPr>
        <w:t>the difference between explicit and implicit denies</w:t>
      </w:r>
      <w:r>
        <w:rPr>
          <w:i/>
          <w:iCs/>
          <w:color w:val="auto"/>
          <w:sz w:val="22"/>
          <w:szCs w:val="22"/>
        </w:rPr>
        <w:t>, as explained through ChatGPT. No AWS whitepapers, CIS Benchmarks, or MITRE ATT&amp;CK entries were directly reviewed during this phase.</w:t>
      </w:r>
    </w:p>
    <w:p>
      <w:pPr>
        <w:pStyle w:val="BodyText"/>
        <w:spacing w:lineRule="auto" w:line="259" w:before="0" w:after="120"/>
        <w:rPr>
          <w:i/>
          <w:i/>
          <w:iCs/>
          <w:color w:val="auto"/>
          <w:sz w:val="22"/>
          <w:szCs w:val="22"/>
        </w:rPr>
      </w:pPr>
      <w:r>
        <w:rPr>
          <w:i/>
          <w:iCs/>
          <w:color w:val="auto"/>
          <w:sz w:val="22"/>
          <w:szCs w:val="22"/>
        </w:rPr>
        <w:t xml:space="preserve">I used ChatGPT to address the task instruction: </w:t>
      </w:r>
      <w:r>
        <w:rPr>
          <w:rStyle w:val="Strong"/>
          <w:i/>
          <w:iCs/>
          <w:color w:val="auto"/>
          <w:sz w:val="22"/>
          <w:szCs w:val="22"/>
        </w:rPr>
        <w:t>“</w:t>
      </w:r>
      <w:r>
        <w:rPr>
          <w:rStyle w:val="Strong"/>
          <w:b w:val="false"/>
          <w:bCs w:val="false"/>
          <w:i/>
          <w:iCs/>
          <w:color w:val="auto"/>
          <w:sz w:val="22"/>
          <w:szCs w:val="22"/>
        </w:rPr>
        <w:t>Summarize the difference between explicit vs implicit permissions in AWS.”</w:t>
      </w:r>
      <w:r>
        <w:rPr>
          <w:i/>
          <w:iCs/>
          <w:color w:val="auto"/>
          <w:sz w:val="22"/>
          <w:szCs w:val="22"/>
        </w:rPr>
        <w:t xml:space="preserve"> In my own words, AWS denies access by default when the required permission is absent; this is an implicit deny. An explicit allow grants an action subject to other applicable controls, while an explicit deny overrides an allow.</w:t>
      </w:r>
    </w:p>
    <w:p>
      <w:pPr>
        <w:pStyle w:val="BodyText"/>
        <w:bidi w:val="0"/>
        <w:spacing w:lineRule="auto" w:line="259" w:before="0" w:after="120"/>
        <w:ind w:hanging="0" w:left="0" w:right="0"/>
        <w:rPr>
          <w:i/>
          <w:i/>
          <w:iCs/>
          <w:color w:val="auto"/>
          <w:sz w:val="22"/>
          <w:szCs w:val="22"/>
        </w:rPr>
      </w:pPr>
      <w:r>
        <w:rPr>
          <w:i/>
          <w:iCs/>
          <w:color w:val="auto"/>
          <w:sz w:val="22"/>
          <w:szCs w:val="22"/>
        </w:rPr>
        <w:t xml:space="preserve">To connect the theory with my environment, I executed </w:t>
      </w:r>
      <w:r>
        <w:rPr>
          <w:rStyle w:val="SourceText"/>
          <w:i/>
          <w:iCs/>
          <w:color w:val="auto"/>
          <w:sz w:val="22"/>
          <w:szCs w:val="22"/>
        </w:rPr>
        <w:t>list-users</w:t>
      </w:r>
      <w:r>
        <w:rPr>
          <w:i/>
          <w:iCs/>
          <w:color w:val="auto"/>
          <w:sz w:val="22"/>
          <w:szCs w:val="22"/>
        </w:rPr>
        <w:t xml:space="preserve">, </w:t>
      </w:r>
      <w:r>
        <w:rPr>
          <w:rStyle w:val="SourceText"/>
          <w:i/>
          <w:iCs/>
          <w:color w:val="auto"/>
          <w:sz w:val="22"/>
          <w:szCs w:val="22"/>
        </w:rPr>
        <w:t>list-policies</w:t>
      </w:r>
      <w:r>
        <w:rPr>
          <w:i/>
          <w:iCs/>
          <w:color w:val="auto"/>
          <w:sz w:val="22"/>
          <w:szCs w:val="22"/>
        </w:rPr>
        <w:t xml:space="preserve">, </w:t>
      </w:r>
      <w:r>
        <w:rPr>
          <w:rStyle w:val="SourceText"/>
          <w:i/>
          <w:iCs/>
          <w:color w:val="auto"/>
          <w:sz w:val="22"/>
          <w:szCs w:val="22"/>
        </w:rPr>
        <w:t>list-roles</w:t>
      </w:r>
      <w:r>
        <w:rPr>
          <w:i/>
          <w:iCs/>
          <w:color w:val="auto"/>
          <w:sz w:val="22"/>
          <w:szCs w:val="22"/>
        </w:rPr>
        <w:t xml:space="preserve">, and </w:t>
      </w:r>
      <w:r>
        <w:rPr>
          <w:rStyle w:val="SourceText"/>
          <w:i/>
          <w:iCs/>
          <w:color w:val="auto"/>
          <w:sz w:val="22"/>
          <w:szCs w:val="22"/>
        </w:rPr>
        <w:t>get-role</w:t>
      </w:r>
      <w:r>
        <w:rPr>
          <w:i/>
          <w:iCs/>
          <w:color w:val="auto"/>
          <w:sz w:val="22"/>
          <w:szCs w:val="22"/>
        </w:rPr>
        <w:t xml:space="preserve">. Inspecting </w:t>
      </w:r>
      <w:r>
        <w:rPr>
          <w:rStyle w:val="SourceText"/>
          <w:i/>
          <w:iCs/>
          <w:color w:val="auto"/>
          <w:sz w:val="22"/>
          <w:szCs w:val="22"/>
        </w:rPr>
        <w:t>intern_role</w:t>
      </w:r>
      <w:r>
        <w:rPr>
          <w:i/>
          <w:iCs/>
          <w:color w:val="auto"/>
          <w:sz w:val="22"/>
          <w:szCs w:val="22"/>
        </w:rPr>
        <w:t xml:space="preserve"> confirmed that its trust policy allowed the EC2 service to assume it and that a permissions boundary was applied. These outputs helped me understand what enumeration reveals, but they did not establish an exploitable privilege escalation path. No separate IAM relationship diagram was produced during this phase.</w:t>
      </w:r>
    </w:p>
    <w:p>
      <w:pPr>
        <w:pStyle w:val="Normal"/>
        <w:spacing w:before="0" w:after="120"/>
        <w:rPr>
          <w:color w:val="auto"/>
          <w:sz w:val="22"/>
          <w:szCs w:val="22"/>
        </w:rPr>
      </w:pPr>
      <w:r>
        <w:rPr>
          <w:color w:val="auto"/>
          <w:sz w:val="22"/>
          <w:szCs w:val="22"/>
        </w:rPr>
      </w:r>
    </w:p>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Document every significant CLI command, console action, or configuration change in order. Show command syntax and relevant output excerpts. Label screenshots inline as Figure X with a one-sentence caption.</w:t>
      </w:r>
    </w:p>
    <w:p>
      <w:pPr>
        <w:pStyle w:val="Normal"/>
        <w:spacing w:before="0" w:after="80"/>
        <w:rPr/>
      </w:pPr>
      <w:r>
        <w:rPr/>
      </w:r>
    </w:p>
    <w:p>
      <w:pPr>
        <w:pStyle w:val="Normal"/>
        <w:spacing w:before="0" w:after="40"/>
        <w:rPr/>
      </w:pPr>
      <w:r>
        <w:rPr>
          <w:b/>
          <w:bCs/>
          <w:i/>
          <w:iCs/>
          <w:color w:val="6B8CA3"/>
          <w:sz w:val="18"/>
          <w:szCs w:val="18"/>
        </w:rPr>
        <w:t>Example — CLI command syntax:</w:t>
      </w:r>
    </w:p>
    <w:p>
      <w:pPr>
        <w:pStyle w:val="Normal"/>
        <w:pBdr>
          <w:left w:val="single" w:sz="12" w:space="0" w:color="C6D3DB"/>
        </w:pBdr>
        <w:shd w:val="clear" w:color="auto" w:fill="F4F7F9"/>
        <w:spacing w:before="0" w:after="120"/>
        <w:ind w:left="288"/>
        <w:rPr/>
      </w:pPr>
      <w:r>
        <w:rPr>
          <w:rStyle w:val="SourceText"/>
          <w:i/>
          <w:iCs/>
          <w:color w:val="auto"/>
          <w:sz w:val="22"/>
          <w:szCs w:val="22"/>
        </w:rPr>
        <w:t>#list-users</w:t>
      </w:r>
      <w:r>
        <w:rPr>
          <w:rFonts w:eastAsia="Courier New" w:cs="Courier New" w:ascii="Courier New" w:hAnsi="Courier New"/>
          <w:i/>
          <w:iCs/>
          <w:color w:val="auto"/>
          <w:sz w:val="22"/>
          <w:szCs w:val="22"/>
        </w:rPr>
        <w:t xml:space="preserve">, </w:t>
      </w:r>
      <w:r>
        <w:rPr>
          <w:rStyle w:val="SourceText"/>
          <w:i/>
          <w:iCs/>
          <w:color w:val="auto"/>
          <w:sz w:val="22"/>
          <w:szCs w:val="22"/>
        </w:rPr>
        <w:t>list-policies</w:t>
      </w:r>
      <w:r>
        <w:rPr>
          <w:rFonts w:eastAsia="Courier New" w:cs="Courier New" w:ascii="Courier New" w:hAnsi="Courier New"/>
          <w:i/>
          <w:iCs/>
          <w:color w:val="auto"/>
          <w:sz w:val="22"/>
          <w:szCs w:val="22"/>
        </w:rPr>
        <w:t xml:space="preserve">, </w:t>
      </w:r>
      <w:r>
        <w:rPr>
          <w:rStyle w:val="SourceText"/>
          <w:i/>
          <w:iCs/>
          <w:color w:val="auto"/>
          <w:sz w:val="22"/>
          <w:szCs w:val="22"/>
        </w:rPr>
        <w:t>list-roles</w:t>
      </w:r>
      <w:r>
        <w:rPr>
          <w:rFonts w:eastAsia="Courier New" w:cs="Courier New" w:ascii="Courier New" w:hAnsi="Courier New"/>
          <w:color w:val="0D2137"/>
          <w:sz w:val="18"/>
          <w:szCs w:val="18"/>
        </w:rPr>
        <w:t>[aws service command --flag value] # Paste relevant output here — redact sensitive values such as account IDs where necessary</w:t>
      </w:r>
    </w:p>
    <w:p>
      <w:pPr>
        <w:pStyle w:val="Normal"/>
        <w:spacing w:before="0" w:after="120"/>
        <w:rPr>
          <w:i/>
          <w:i/>
          <w:iCs/>
          <w:color w:val="auto"/>
          <w:sz w:val="20"/>
          <w:szCs w:val="20"/>
        </w:rPr>
      </w:pPr>
      <w:r>
        <w:rPr>
          <w:i/>
          <w:iCs/>
          <w:color w:val="auto"/>
          <w:sz w:val="20"/>
          <w:szCs w:val="20"/>
        </w:rPr>
        <w:t>[Continue documenting each step in sequence. For console-based actions, describe the navigation path and outcome. For policy edits, paste the JSON block below.]</w:t>
      </w:r>
    </w:p>
    <w:p>
      <w:pPr>
        <w:pStyle w:val="Normal"/>
        <w:spacing w:before="0" w:after="120"/>
        <w:rPr/>
      </w:pPr>
      <w:r>
        <w:rPr/>
      </w:r>
    </w:p>
    <w:p>
      <w:pPr>
        <w:pStyle w:val="Heading3"/>
        <w:spacing w:before="200" w:after="80"/>
        <w:rPr>
          <w:color w:val="auto"/>
          <w:sz w:val="28"/>
          <w:szCs w:val="28"/>
        </w:rPr>
      </w:pPr>
      <w:r>
        <w:rPr>
          <w:b/>
          <w:bCs/>
          <w:color w:val="auto"/>
          <w:sz w:val="22"/>
          <w:szCs w:val="22"/>
        </w:rPr>
        <w:t>Key Observations</w:t>
      </w:r>
    </w:p>
    <w:p>
      <w:pPr>
        <w:pStyle w:val="BodyText"/>
        <w:bidi w:val="0"/>
        <w:spacing w:lineRule="auto" w:line="259" w:before="0" w:after="120"/>
        <w:ind w:hanging="0" w:left="0" w:right="0"/>
        <w:rPr>
          <w:i/>
          <w:i/>
          <w:iCs/>
          <w:color w:val="auto"/>
          <w:sz w:val="22"/>
          <w:szCs w:val="22"/>
        </w:rPr>
      </w:pPr>
      <w:r>
        <w:rPr>
          <w:i/>
          <w:iCs/>
          <w:color w:val="auto"/>
          <w:sz w:val="22"/>
          <w:szCs w:val="22"/>
        </w:rPr>
        <w:t xml:space="preserve">Phase A clarified the distinction between </w:t>
      </w:r>
      <w:r>
        <w:rPr>
          <w:rStyle w:val="Strong"/>
          <w:i/>
          <w:iCs/>
          <w:color w:val="auto"/>
          <w:sz w:val="22"/>
          <w:szCs w:val="22"/>
        </w:rPr>
        <w:t>role trust and role permissions</w:t>
      </w:r>
      <w:r>
        <w:rPr>
          <w:i/>
          <w:iCs/>
          <w:color w:val="auto"/>
          <w:sz w:val="22"/>
          <w:szCs w:val="22"/>
        </w:rPr>
        <w:t xml:space="preserve">. The trust policy determines who can assume a role, while permissions policies determine what the role can do. In my environment, </w:t>
      </w:r>
      <w:r>
        <w:rPr>
          <w:rStyle w:val="SourceText"/>
          <w:i/>
          <w:iCs/>
          <w:color w:val="auto"/>
          <w:sz w:val="22"/>
          <w:szCs w:val="22"/>
        </w:rPr>
        <w:t>intern_role</w:t>
      </w:r>
      <w:r>
        <w:rPr>
          <w:i/>
          <w:iCs/>
          <w:color w:val="auto"/>
          <w:sz w:val="22"/>
          <w:szCs w:val="22"/>
        </w:rPr>
        <w:t xml:space="preserve"> trusted the EC2 service through </w:t>
      </w:r>
      <w:r>
        <w:rPr>
          <w:rStyle w:val="SourceText"/>
          <w:i/>
          <w:iCs/>
          <w:color w:val="auto"/>
          <w:sz w:val="22"/>
          <w:szCs w:val="22"/>
        </w:rPr>
        <w:t>sts:AssumeRole</w:t>
      </w:r>
      <w:r>
        <w:rPr>
          <w:i/>
          <w:iCs/>
          <w:color w:val="auto"/>
          <w:sz w:val="22"/>
          <w:szCs w:val="22"/>
        </w:rPr>
        <w:t>; this did not mean that an IAM user could directly assume it.</w:t>
      </w:r>
    </w:p>
    <w:p>
      <w:pPr>
        <w:pStyle w:val="BodyText"/>
        <w:bidi w:val="0"/>
        <w:spacing w:lineRule="auto" w:line="259" w:before="0" w:after="120"/>
        <w:ind w:hanging="0" w:left="0" w:right="0"/>
        <w:rPr>
          <w:i/>
          <w:i/>
          <w:iCs/>
          <w:color w:val="auto"/>
          <w:sz w:val="22"/>
          <w:szCs w:val="22"/>
        </w:rPr>
      </w:pPr>
      <w:r>
        <w:rPr>
          <w:i/>
          <w:iCs/>
          <w:color w:val="auto"/>
          <w:sz w:val="22"/>
          <w:szCs w:val="22"/>
        </w:rPr>
        <w:t xml:space="preserve">I mapped the relationship between </w:t>
      </w:r>
      <w:r>
        <w:rPr>
          <w:rStyle w:val="Strong"/>
          <w:i/>
          <w:iCs/>
          <w:color w:val="auto"/>
          <w:sz w:val="22"/>
          <w:szCs w:val="22"/>
        </w:rPr>
        <w:t>a trusted principal, an IAM role, its permissions policies, and its permissions boundary</w:t>
      </w:r>
      <w:r>
        <w:rPr>
          <w:i/>
          <w:iCs/>
          <w:color w:val="auto"/>
          <w:sz w:val="22"/>
          <w:szCs w:val="22"/>
        </w:rPr>
        <w:t xml:space="preserve">. The boundary applied to </w:t>
      </w:r>
      <w:r>
        <w:rPr>
          <w:rStyle w:val="SourceText"/>
          <w:i/>
          <w:iCs/>
          <w:color w:val="auto"/>
          <w:sz w:val="22"/>
          <w:szCs w:val="22"/>
        </w:rPr>
        <w:t>intern_role</w:t>
      </w:r>
      <w:r>
        <w:rPr>
          <w:i/>
          <w:iCs/>
          <w:color w:val="auto"/>
          <w:sz w:val="22"/>
          <w:szCs w:val="22"/>
        </w:rPr>
        <w:t xml:space="preserve"> limits the permissions available to the role but does not grant access. Its presence alone does not prove that the role is securely restricted; the boundary and permissions policy contents must be examined together.</w:t>
      </w:r>
    </w:p>
    <w:p>
      <w:pPr>
        <w:pStyle w:val="BodyText"/>
        <w:spacing w:lineRule="auto" w:line="259" w:before="0" w:after="120"/>
        <w:rPr>
          <w:i/>
          <w:i/>
          <w:iCs/>
          <w:color w:val="auto"/>
          <w:sz w:val="22"/>
          <w:szCs w:val="22"/>
        </w:rPr>
      </w:pPr>
      <w:r>
        <w:rPr>
          <w:i/>
          <w:iCs/>
          <w:color w:val="auto"/>
          <w:sz w:val="22"/>
          <w:szCs w:val="22"/>
        </w:rPr>
        <w:t xml:space="preserve">The phase also clarified that </w:t>
      </w:r>
      <w:r>
        <w:rPr>
          <w:rStyle w:val="Strong"/>
          <w:i/>
          <w:iCs/>
          <w:color w:val="auto"/>
          <w:sz w:val="22"/>
          <w:szCs w:val="22"/>
        </w:rPr>
        <w:t>enumeration supports discovery but does not itself demonstrate privilege escalation</w:t>
      </w:r>
      <w:r>
        <w:rPr>
          <w:i/>
          <w:iCs/>
          <w:color w:val="auto"/>
          <w:sz w:val="22"/>
          <w:szCs w:val="22"/>
        </w:rPr>
        <w:t>. Policy names referring to administrative access or escalation techniques helped identify areas for investigation, but their actions, resources, conditions, and attachments would need further analysis before confirming a weakness.</w:t>
      </w:r>
    </w:p>
    <w:p>
      <w:pPr>
        <w:pStyle w:val="BodyText"/>
        <w:spacing w:lineRule="auto" w:line="259" w:before="0" w:after="120"/>
        <w:rPr>
          <w:i/>
          <w:i/>
          <w:iCs/>
          <w:color w:val="auto"/>
          <w:sz w:val="22"/>
          <w:szCs w:val="22"/>
        </w:rPr>
      </w:pPr>
      <w:r>
        <w:rPr>
          <w:i/>
          <w:iCs/>
          <w:color w:val="auto"/>
          <w:sz w:val="22"/>
          <w:szCs w:val="22"/>
        </w:rPr>
        <w:t xml:space="preserve">This task addresses </w:t>
      </w:r>
      <w:r>
        <w:rPr>
          <w:rStyle w:val="Strong"/>
          <w:i/>
          <w:iCs/>
          <w:color w:val="auto"/>
          <w:sz w:val="22"/>
          <w:szCs w:val="22"/>
        </w:rPr>
        <w:t>excessive IAM permissions and unsafe trust relationships</w:t>
      </w:r>
      <w:r>
        <w:rPr>
          <w:i/>
          <w:iCs/>
          <w:color w:val="auto"/>
          <w:sz w:val="22"/>
          <w:szCs w:val="22"/>
        </w:rPr>
        <w:t>. These misconfigurations matter because compromised credentials could allow an attacker to modify permissions or obtain access to a more powerful role. An explicit deny overrides an allow, while an implicit deny results when the required permission is absent. No exploitable escalation path was confirmed during Phase A.</w:t>
      </w:r>
    </w:p>
    <w:p>
      <w:pPr>
        <w:pStyle w:val="Normal"/>
        <w:spacing w:before="0" w:after="120"/>
        <w:rPr>
          <w:color w:val="auto"/>
          <w:sz w:val="22"/>
          <w:szCs w:val="22"/>
        </w:rPr>
      </w:pPr>
      <w:r>
        <w:rPr>
          <w:color w:val="auto"/>
          <w:sz w:val="22"/>
          <w:szCs w:val="22"/>
        </w:rPr>
      </w:r>
    </w:p>
    <w:p>
      <w:pPr>
        <w:pStyle w:val="Heading3"/>
        <w:spacing w:before="200" w:after="80"/>
        <w:rPr>
          <w:color w:val="auto"/>
          <w:sz w:val="28"/>
          <w:szCs w:val="28"/>
        </w:rPr>
      </w:pPr>
      <w:r>
        <w:rPr>
          <w:b/>
          <w:bCs/>
          <w:color w:val="auto"/>
          <w:sz w:val="22"/>
          <w:szCs w:val="22"/>
        </w:rPr>
        <w:t>Evidence Produced</w:t>
      </w:r>
    </w:p>
    <w:p>
      <w:pPr>
        <w:pStyle w:val="Normal"/>
        <w:spacing w:before="0" w:after="120"/>
        <w:rPr>
          <w:color w:val="auto"/>
          <w:sz w:val="22"/>
          <w:szCs w:val="22"/>
        </w:rPr>
      </w:pPr>
      <w:r>
        <w:rPr>
          <w:color w:val="auto"/>
          <w:sz w:val="22"/>
          <w:szCs w:val="22"/>
        </w:rPr>
      </w:r>
    </w:p>
    <w:p>
      <w:pPr>
        <w:pStyle w:val="ListParagraph"/>
        <w:numPr>
          <w:ilvl w:val="0"/>
          <w:numId w:val="71"/>
        </w:numPr>
        <w:spacing w:before="0" w:after="60"/>
        <w:ind w:hanging="360" w:left="360"/>
        <w:rPr>
          <w:color w:val="auto"/>
          <w:sz w:val="22"/>
          <w:szCs w:val="22"/>
        </w:rPr>
      </w:pPr>
      <w:r>
        <w:rPr>
          <w:i/>
          <w:iCs/>
          <w:color w:val="0D2137"/>
          <w:sz w:val="20"/>
          <w:szCs w:val="20"/>
        </w:rPr>
        <w:t>PhaseA_get_role.png</w:t>
      </w:r>
      <w:r>
        <w:rPr>
          <w:i/>
          <w:iCs/>
          <w:color w:val="auto"/>
          <w:sz w:val="22"/>
          <w:szCs w:val="22"/>
        </w:rPr>
        <w:t xml:space="preserve">— Screenshot showing </w:t>
      </w:r>
      <w:r>
        <w:rPr>
          <w:rStyle w:val="SourceText"/>
          <w:i/>
          <w:iCs/>
          <w:color w:val="auto"/>
          <w:sz w:val="22"/>
          <w:szCs w:val="22"/>
        </w:rPr>
        <w:t>intern_role</w:t>
      </w:r>
      <w:r>
        <w:rPr>
          <w:i/>
          <w:iCs/>
          <w:color w:val="auto"/>
          <w:sz w:val="22"/>
          <w:szCs w:val="22"/>
        </w:rPr>
        <w:t xml:space="preserve"> details, its EC2 trust policy, and the applied permissions boundary.</w:t>
      </w:r>
    </w:p>
    <w:p>
      <w:pPr>
        <w:pStyle w:val="ListParagraph"/>
        <w:numPr>
          <w:ilvl w:val="0"/>
          <w:numId w:val="72"/>
        </w:numPr>
        <w:spacing w:before="0" w:after="60"/>
        <w:ind w:hanging="360" w:left="360"/>
        <w:rPr>
          <w:color w:val="auto"/>
          <w:sz w:val="22"/>
          <w:szCs w:val="22"/>
        </w:rPr>
      </w:pPr>
      <w:r>
        <w:rPr>
          <w:i/>
          <w:iCs/>
          <w:color w:val="0D2137"/>
          <w:sz w:val="20"/>
          <w:szCs w:val="20"/>
        </w:rPr>
        <w:t>PhaseA_list_policies.png</w:t>
      </w:r>
      <w:r>
        <w:rPr>
          <w:i/>
          <w:iCs/>
          <w:color w:val="auto"/>
          <w:sz w:val="22"/>
          <w:szCs w:val="22"/>
        </w:rPr>
        <w:t>—  Screenshot listing customer managed IAM policies and their attachment counts.</w:t>
      </w:r>
    </w:p>
    <w:p>
      <w:pPr>
        <w:pStyle w:val="ListParagraph"/>
        <w:numPr>
          <w:ilvl w:val="0"/>
          <w:numId w:val="73"/>
        </w:numPr>
        <w:spacing w:before="0" w:after="60"/>
        <w:ind w:hanging="360" w:left="360"/>
        <w:rPr>
          <w:color w:val="auto"/>
          <w:sz w:val="22"/>
          <w:szCs w:val="22"/>
        </w:rPr>
      </w:pPr>
      <w:r>
        <w:rPr>
          <w:i/>
          <w:iCs/>
          <w:color w:val="0D2137"/>
          <w:sz w:val="20"/>
          <w:szCs w:val="20"/>
        </w:rPr>
        <w:t>PhaseA_list_users.png</w:t>
      </w:r>
      <w:r>
        <w:rPr>
          <w:i/>
          <w:iCs/>
          <w:color w:val="auto"/>
          <w:sz w:val="22"/>
          <w:szCs w:val="22"/>
        </w:rPr>
        <w:t>—  Screenshot showing IAM users enumerated in the lab account.</w:t>
      </w:r>
    </w:p>
    <w:p>
      <w:pPr>
        <w:pStyle w:val="ListParagraph"/>
        <w:numPr>
          <w:ilvl w:val="0"/>
          <w:numId w:val="74"/>
        </w:numPr>
        <w:spacing w:before="0" w:after="60"/>
        <w:ind w:hanging="360" w:left="360"/>
        <w:rPr>
          <w:color w:val="auto"/>
          <w:sz w:val="22"/>
          <w:szCs w:val="22"/>
        </w:rPr>
      </w:pPr>
      <w:r>
        <w:rPr>
          <w:i/>
          <w:iCs/>
          <w:color w:val="0D2137"/>
          <w:sz w:val="20"/>
          <w:szCs w:val="20"/>
        </w:rPr>
        <w:t>PhaseA_summary.csv</w:t>
      </w:r>
      <w:r>
        <w:rPr>
          <w:color w:val="auto"/>
          <w:sz w:val="22"/>
          <w:szCs w:val="22"/>
        </w:rPr>
        <w:t xml:space="preserve"> —  Short summary of IAM relationships, enumeration observations, and explicit allow, implicit deny, and explicit deny. </w:t>
      </w:r>
    </w:p>
    <w:p>
      <w:pPr>
        <w:pStyle w:val="BodyText"/>
        <w:numPr>
          <w:ilvl w:val="0"/>
          <w:numId w:val="0"/>
        </w:numPr>
        <w:spacing w:before="0" w:after="60"/>
        <w:ind w:hanging="0" w:left="360"/>
        <w:rPr>
          <w:color w:val="auto"/>
          <w:sz w:val="22"/>
          <w:szCs w:val="22"/>
        </w:rPr>
      </w:pPr>
      <w:r>
        <w:rPr>
          <w:color w:val="auto"/>
          <w:sz w:val="22"/>
          <w:szCs w:val="22"/>
        </w:rPr>
      </w:r>
    </w:p>
    <w:p>
      <w:pPr>
        <w:pStyle w:val="Normal"/>
        <w:spacing w:before="0" w:after="60"/>
        <w:rPr>
          <w:color w:val="auto"/>
          <w:sz w:val="22"/>
          <w:szCs w:val="22"/>
        </w:rPr>
      </w:pPr>
      <w:r>
        <w:rPr>
          <w:color w:val="auto"/>
          <w:sz w:val="22"/>
          <w:szCs w:val="22"/>
        </w:rPr>
      </w:r>
    </w:p>
    <w:p>
      <w:pPr>
        <w:pStyle w:val="Heading2"/>
        <w:shd w:val="clear" w:color="auto" w:fill="FFFFFF" w:themeFill="background1"/>
        <w:spacing w:before="280" w:after="140"/>
        <w:rPr>
          <w:color w:themeColor="text2" w:themeShade="bf" w:val="323E4F"/>
        </w:rPr>
      </w:pPr>
      <w:r>
        <w:rPr>
          <w:b/>
          <w:bCs/>
          <w:color w:themeColor="text2" w:themeShade="bf" w:val="323E4F"/>
        </w:rPr>
        <w:t>Phase B: Cloud Environment Setup &amp; Target Preparation</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879"/>
        <w:gridCol w:w="7185"/>
      </w:tblGrid>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Objective</w:t>
            </w:r>
          </w:p>
        </w:tc>
        <w:tc>
          <w:tcPr>
            <w:tcW w:w="7185" w:type="dxa"/>
            <w:tcBorders>
              <w:bottom w:val="single" w:sz="4" w:space="0" w:color="C6D3DB"/>
              <w:right w:val="single" w:sz="4" w:space="0" w:color="C6D3DB"/>
            </w:tcBorders>
            <w:shd w:color="auto" w:fill="F4F7F9" w:val="clear"/>
            <w:vAlign w:val="center"/>
          </w:tcPr>
          <w:p>
            <w:pPr>
              <w:pStyle w:val="Normal"/>
              <w:spacing w:before="0" w:after="0"/>
              <w:rPr>
                <w:b w:val="false"/>
                <w:bCs w:val="false"/>
                <w:i/>
                <w:i/>
                <w:iCs/>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Deploy a controlled environment using CloudGoat’s IAM scenario.</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Estimated Time</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90 minutes</w:t>
            </w:r>
          </w:p>
        </w:tc>
      </w:tr>
      <w:tr>
        <w:trPr>
          <w:trHeight w:val="604" w:hRule="atLeast"/>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File(s)</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PhaseB_deployed_role_.png, PhaseB_deployed_user_png, PhaseB_iam_entities.csv</w:t>
            </w:r>
          </w:p>
        </w:tc>
      </w:tr>
    </w:tbl>
    <w:p>
      <w:pPr>
        <w:pStyle w:val="Heading3"/>
        <w:spacing w:before="200" w:after="80"/>
        <w:rPr>
          <w:color w:val="auto"/>
          <w:sz w:val="28"/>
          <w:szCs w:val="28"/>
        </w:rPr>
      </w:pPr>
      <w:r>
        <w:rPr>
          <w:b/>
          <w:bCs/>
          <w:color w:val="auto"/>
          <w:sz w:val="22"/>
          <w:szCs w:val="22"/>
        </w:rPr>
        <w:t>Actions Taken</w:t>
      </w:r>
    </w:p>
    <w:p>
      <w:pPr>
        <w:pStyle w:val="BodyText"/>
        <w:spacing w:before="0" w:after="120"/>
        <w:rPr>
          <w:color w:val="auto"/>
          <w:sz w:val="22"/>
          <w:szCs w:val="22"/>
        </w:rPr>
      </w:pPr>
      <w:r>
        <w:rPr>
          <w:i/>
          <w:iCs/>
          <w:color w:val="auto"/>
          <w:sz w:val="22"/>
          <w:szCs w:val="22"/>
        </w:rPr>
        <w:t xml:space="preserve">During Phase B, I used AWS CloudShell to install CloudGoat and Terraform in a Python virtual environment. I configured the </w:t>
      </w:r>
      <w:r>
        <w:rPr>
          <w:rStyle w:val="SourceText"/>
          <w:i/>
          <w:iCs/>
          <w:color w:val="auto"/>
          <w:sz w:val="22"/>
          <w:szCs w:val="22"/>
        </w:rPr>
        <w:t>cloudgoat-lab</w:t>
      </w:r>
      <w:r>
        <w:rPr>
          <w:i/>
          <w:iCs/>
          <w:color w:val="auto"/>
          <w:sz w:val="22"/>
          <w:szCs w:val="22"/>
        </w:rPr>
        <w:t xml:space="preserve"> profile to use CloudShell’s temporary credentials and restricted network access using an IP whitelist.</w:t>
      </w:r>
    </w:p>
    <w:p>
      <w:pPr>
        <w:pStyle w:val="BodyText"/>
        <w:spacing w:lineRule="auto" w:line="259" w:before="0" w:after="120"/>
        <w:rPr>
          <w:i/>
          <w:i/>
          <w:iCs/>
          <w:color w:val="auto"/>
          <w:sz w:val="22"/>
          <w:szCs w:val="22"/>
        </w:rPr>
      </w:pPr>
      <w:r>
        <w:rPr>
          <w:i/>
          <w:iCs/>
          <w:color w:val="auto"/>
          <w:sz w:val="22"/>
          <w:szCs w:val="22"/>
        </w:rPr>
        <w:t>I deployed the lab using:</w:t>
      </w:r>
    </w:p>
    <w:p>
      <w:pPr>
        <w:pStyle w:val="PreformattedText"/>
        <w:bidi w:val="0"/>
        <w:spacing w:before="0" w:after="120"/>
        <w:ind w:hanging="0" w:left="0" w:right="0"/>
        <w:rPr>
          <w:i/>
          <w:i/>
          <w:iCs/>
          <w:color w:val="auto"/>
          <w:sz w:val="22"/>
          <w:szCs w:val="22"/>
        </w:rPr>
      </w:pPr>
      <w:r>
        <w:rPr>
          <w:rStyle w:val="SourceText"/>
          <w:i/>
          <w:iCs/>
          <w:color w:val="auto"/>
          <w:sz w:val="22"/>
          <w:szCs w:val="22"/>
        </w:rPr>
        <w:t>cloudgoat create iam_privesc_by_attachment</w:t>
      </w:r>
    </w:p>
    <w:p>
      <w:pPr>
        <w:pStyle w:val="BodyText"/>
        <w:bidi w:val="0"/>
        <w:spacing w:lineRule="auto" w:line="259" w:before="0" w:after="120"/>
        <w:ind w:hanging="0" w:left="0" w:right="0"/>
        <w:rPr>
          <w:i/>
          <w:i/>
          <w:iCs/>
          <w:color w:val="auto"/>
          <w:sz w:val="22"/>
          <w:szCs w:val="22"/>
        </w:rPr>
      </w:pPr>
      <w:r>
        <w:rPr>
          <w:i/>
          <w:iCs/>
          <w:color w:val="auto"/>
          <w:sz w:val="22"/>
          <w:szCs w:val="22"/>
        </w:rPr>
        <w:t xml:space="preserve">After resolving insufficient disk space and a profile authentication error, Terraform successfully created </w:t>
      </w:r>
      <w:r>
        <w:rPr>
          <w:rStyle w:val="Strong"/>
          <w:i/>
          <w:iCs/>
          <w:color w:val="auto"/>
          <w:sz w:val="22"/>
          <w:szCs w:val="22"/>
        </w:rPr>
        <w:t>16 resources</w:t>
      </w:r>
      <w:r>
        <w:rPr>
          <w:i/>
          <w:iCs/>
          <w:color w:val="auto"/>
          <w:sz w:val="22"/>
          <w:szCs w:val="22"/>
        </w:rPr>
        <w:t xml:space="preserve">. I identified the </w:t>
      </w:r>
      <w:r>
        <w:rPr>
          <w:rStyle w:val="SourceText"/>
          <w:i/>
          <w:iCs/>
          <w:color w:val="auto"/>
          <w:sz w:val="22"/>
          <w:szCs w:val="22"/>
        </w:rPr>
        <w:t>kerrigan</w:t>
      </w:r>
      <w:r>
        <w:rPr>
          <w:i/>
          <w:iCs/>
          <w:color w:val="auto"/>
          <w:sz w:val="22"/>
          <w:szCs w:val="22"/>
        </w:rPr>
        <w:t xml:space="preserve"> user and the scenario’s </w:t>
      </w:r>
      <w:r>
        <w:rPr>
          <w:rStyle w:val="SourceText"/>
          <w:i/>
          <w:iCs/>
          <w:color w:val="auto"/>
          <w:sz w:val="22"/>
          <w:szCs w:val="22"/>
        </w:rPr>
        <w:t>meek</w:t>
      </w:r>
      <w:r>
        <w:rPr>
          <w:i/>
          <w:iCs/>
          <w:color w:val="auto"/>
          <w:sz w:val="22"/>
          <w:szCs w:val="22"/>
        </w:rPr>
        <w:t xml:space="preserve"> and </w:t>
      </w:r>
      <w:r>
        <w:rPr>
          <w:rStyle w:val="SourceText"/>
          <w:i/>
          <w:iCs/>
          <w:color w:val="auto"/>
          <w:sz w:val="22"/>
          <w:szCs w:val="22"/>
        </w:rPr>
        <w:t>mighty</w:t>
      </w:r>
      <w:r>
        <w:rPr>
          <w:i/>
          <w:iCs/>
          <w:color w:val="auto"/>
          <w:sz w:val="22"/>
          <w:szCs w:val="22"/>
        </w:rPr>
        <w:t xml:space="preserve"> EC2 roles through AWS CLI enumeration. The console verification steps were </w:t>
      </w:r>
      <w:r>
        <w:rPr>
          <w:rStyle w:val="Strong"/>
          <w:i/>
          <w:iCs/>
          <w:color w:val="auto"/>
          <w:sz w:val="22"/>
          <w:szCs w:val="22"/>
        </w:rPr>
        <w:t>IAM → Users</w:t>
      </w:r>
      <w:r>
        <w:rPr>
          <w:i/>
          <w:iCs/>
          <w:color w:val="auto"/>
          <w:sz w:val="22"/>
          <w:szCs w:val="22"/>
        </w:rPr>
        <w:t xml:space="preserve"> and </w:t>
      </w:r>
      <w:r>
        <w:rPr>
          <w:rStyle w:val="Strong"/>
          <w:i/>
          <w:iCs/>
          <w:color w:val="auto"/>
          <w:sz w:val="22"/>
          <w:szCs w:val="22"/>
        </w:rPr>
        <w:t>IAM → Roles</w:t>
      </w:r>
      <w:r>
        <w:rPr>
          <w:i/>
          <w:iCs/>
          <w:color w:val="auto"/>
          <w:sz w:val="22"/>
          <w:szCs w:val="22"/>
        </w:rPr>
        <w:t xml:space="preserve">, and the identified entities were recorded in </w:t>
      </w:r>
      <w:r>
        <w:rPr>
          <w:rStyle w:val="SourceText"/>
          <w:i/>
          <w:iCs/>
          <w:color w:val="auto"/>
          <w:sz w:val="22"/>
          <w:szCs w:val="22"/>
        </w:rPr>
        <w:t>iam_entities.csv</w:t>
      </w:r>
      <w:r>
        <w:rPr>
          <w:i/>
          <w:iCs/>
          <w:color w:val="auto"/>
          <w:sz w:val="22"/>
          <w:szCs w:val="22"/>
        </w:rPr>
        <w:t>.</w:t>
      </w:r>
    </w:p>
    <w:p>
      <w:pPr>
        <w:pStyle w:val="Normal"/>
        <w:spacing w:before="0" w:after="120"/>
        <w:rPr>
          <w:color w:val="auto"/>
          <w:sz w:val="22"/>
          <w:szCs w:val="22"/>
        </w:rPr>
      </w:pPr>
      <w:r>
        <w:rPr>
          <w:color w:val="auto"/>
          <w:sz w:val="22"/>
          <w:szCs w:val="22"/>
        </w:rPr>
      </w:r>
    </w:p>
    <w:p>
      <w:pPr>
        <w:pStyle w:val="Normal"/>
        <w:spacing w:before="0" w:after="80"/>
        <w:rPr/>
      </w:pPr>
      <w:r>
        <w:rPr>
          <w:i/>
          <w:iCs/>
          <w:color w:val="6B8CA3"/>
          <w:sz w:val="18"/>
          <w:szCs w:val="18"/>
        </w:rPr>
        <w:t xml:space="preserve">ℹ  </w:t>
      </w:r>
      <w:r>
        <w:rPr>
          <w:i/>
          <w:iCs/>
          <w:color w:val="6B8CA3"/>
          <w:sz w:val="18"/>
          <w:szCs w:val="18"/>
        </w:rPr>
        <w:t>Document every significant CLI command, console action, or configuration change in order. Show command syntax and relevant output excerpts. Label screenshots inline as Figure X with a one-sentence caption.</w:t>
      </w:r>
    </w:p>
    <w:p>
      <w:pPr>
        <w:pStyle w:val="BodyText"/>
        <w:spacing w:before="0" w:after="80"/>
        <w:rPr/>
      </w:pPr>
      <w:r>
        <w:rPr>
          <w:rStyle w:val="Strong"/>
        </w:rPr>
        <w:t>Prepared CloudShell:</w:t>
      </w:r>
      <w:r>
        <w:rPr/>
        <w:t xml:space="preserve"> Created a Python virtual environment and installed CloudGoat and Terraform 1.15.9.</w:t>
      </w:r>
    </w:p>
    <w:p>
      <w:pPr>
        <w:pStyle w:val="BodyText"/>
        <w:spacing w:before="0" w:after="80"/>
        <w:rPr/>
      </w:pPr>
      <w:r>
        <w:rPr>
          <w:rStyle w:val="Strong"/>
        </w:rPr>
        <w:t>Configured authentication:</w:t>
      </w:r>
      <w:r>
        <w:rPr/>
        <w:t xml:space="preserve"> Set up the </w:t>
      </w:r>
      <w:r>
        <w:rPr>
          <w:rStyle w:val="SourceText"/>
        </w:rPr>
        <w:t>cloudgoat-lab</w:t>
      </w:r>
      <w:r>
        <w:rPr/>
        <w:t xml:space="preserve"> profile using CloudShell’s temporary credentials through </w:t>
      </w:r>
      <w:r>
        <w:rPr>
          <w:rStyle w:val="SourceText"/>
        </w:rPr>
        <w:t>credential_process</w:t>
      </w:r>
      <w:r>
        <w:rPr/>
        <w:t>. Verified the lab identity with:</w:t>
      </w:r>
    </w:p>
    <w:p>
      <w:pPr>
        <w:pStyle w:val="Normal"/>
        <w:spacing w:before="0" w:after="80"/>
        <w:rPr/>
      </w:pPr>
      <w:r>
        <w:rPr/>
      </w:r>
    </w:p>
    <w:p>
      <w:pPr>
        <w:pStyle w:val="Normal"/>
        <w:spacing w:before="0" w:after="40"/>
        <w:rPr/>
      </w:pPr>
      <w:r>
        <w:rPr>
          <w:b/>
          <w:bCs/>
          <w:i/>
          <w:iCs/>
          <w:color w:val="6B8CA3"/>
          <w:sz w:val="18"/>
          <w:szCs w:val="18"/>
        </w:rPr>
        <w:t>Example — CLI command syntax:</w:t>
      </w:r>
    </w:p>
    <w:p>
      <w:pPr>
        <w:pStyle w:val="Normal"/>
        <w:pBdr>
          <w:left w:val="single" w:sz="12" w:space="0" w:color="C6D3DB"/>
        </w:pBdr>
        <w:shd w:val="clear" w:color="auto" w:fill="F4F7F9"/>
        <w:spacing w:before="0" w:after="120"/>
        <w:ind w:left="288"/>
        <w:rPr/>
      </w:pPr>
      <w:r>
        <w:rPr>
          <w:rFonts w:eastAsia="Courier New" w:cs="Courier New" w:ascii="Courier New" w:hAnsi="Courier New"/>
          <w:color w:val="0D2137"/>
          <w:sz w:val="18"/>
          <w:szCs w:val="18"/>
        </w:rPr>
        <w:t>aws sts get-caller-identity --profile cloudgoat-lab</w:t>
      </w:r>
    </w:p>
    <w:p>
      <w:pPr>
        <w:pStyle w:val="Normal"/>
        <w:spacing w:before="0" w:after="120"/>
        <w:rPr>
          <w:color w:val="auto"/>
        </w:rPr>
      </w:pPr>
      <w:r>
        <w:rPr>
          <w:color w:val="auto"/>
        </w:rPr>
      </w:r>
    </w:p>
    <w:p>
      <w:pPr>
        <w:pStyle w:val="BodyText"/>
        <w:spacing w:before="0" w:after="120"/>
        <w:rPr>
          <w:color w:val="auto"/>
        </w:rPr>
      </w:pPr>
      <w:r>
        <w:rPr>
          <w:rStyle w:val="Strong"/>
          <w:i/>
          <w:iCs/>
          <w:color w:val="auto"/>
          <w:sz w:val="20"/>
          <w:szCs w:val="20"/>
        </w:rPr>
        <w:t>Configured CloudGoat:</w:t>
      </w:r>
      <w:r>
        <w:rPr>
          <w:i/>
          <w:iCs/>
          <w:color w:val="auto"/>
          <w:sz w:val="20"/>
          <w:szCs w:val="20"/>
        </w:rPr>
        <w:t xml:space="preserve"> Ran </w:t>
      </w:r>
      <w:r>
        <w:rPr>
          <w:rStyle w:val="SourceText"/>
          <w:i/>
          <w:iCs/>
          <w:color w:val="auto"/>
          <w:sz w:val="20"/>
          <w:szCs w:val="20"/>
        </w:rPr>
        <w:t>cloudgoat config aws</w:t>
      </w:r>
      <w:r>
        <w:rPr>
          <w:i/>
          <w:iCs/>
          <w:color w:val="auto"/>
          <w:sz w:val="20"/>
          <w:szCs w:val="20"/>
        </w:rPr>
        <w:t xml:space="preserve"> and selected </w:t>
      </w:r>
      <w:r>
        <w:rPr>
          <w:rStyle w:val="SourceText"/>
          <w:i/>
          <w:iCs/>
          <w:color w:val="auto"/>
          <w:sz w:val="20"/>
          <w:szCs w:val="20"/>
        </w:rPr>
        <w:t>cloudgoat-lab</w:t>
      </w:r>
      <w:r>
        <w:rPr>
          <w:i/>
          <w:iCs/>
          <w:color w:val="auto"/>
          <w:sz w:val="20"/>
          <w:szCs w:val="20"/>
        </w:rPr>
        <w:t xml:space="preserve">. Ran </w:t>
      </w:r>
      <w:r>
        <w:rPr>
          <w:rStyle w:val="SourceText"/>
          <w:i/>
          <w:iCs/>
          <w:color w:val="auto"/>
          <w:sz w:val="20"/>
          <w:szCs w:val="20"/>
        </w:rPr>
        <w:t>cloudgoat config whitelist --auto</w:t>
      </w:r>
      <w:r>
        <w:rPr>
          <w:i/>
          <w:iCs/>
          <w:color w:val="auto"/>
          <w:sz w:val="20"/>
          <w:szCs w:val="20"/>
        </w:rPr>
        <w:t xml:space="preserve"> to whitelist CloudShell’s outbound IP.</w:t>
      </w:r>
    </w:p>
    <w:p>
      <w:pPr>
        <w:pStyle w:val="BodyText"/>
        <w:spacing w:before="0" w:after="120"/>
        <w:rPr>
          <w:color w:val="auto"/>
        </w:rPr>
      </w:pPr>
      <w:r>
        <w:rPr>
          <w:rStyle w:val="Strong"/>
          <w:i/>
          <w:iCs/>
          <w:color w:val="auto"/>
          <w:sz w:val="20"/>
          <w:szCs w:val="20"/>
        </w:rPr>
        <w:t>Resolved deployment errors:</w:t>
      </w:r>
      <w:r>
        <w:rPr>
          <w:i/>
          <w:iCs/>
          <w:color w:val="auto"/>
          <w:sz w:val="20"/>
          <w:szCs w:val="20"/>
        </w:rPr>
        <w:t xml:space="preserve"> Redirected Terraform’s working data to </w:t>
      </w:r>
      <w:r>
        <w:rPr>
          <w:rStyle w:val="SourceText"/>
          <w:i/>
          <w:iCs/>
          <w:color w:val="auto"/>
          <w:sz w:val="20"/>
          <w:szCs w:val="20"/>
        </w:rPr>
        <w:t>/tmp</w:t>
      </w:r>
      <w:r>
        <w:rPr>
          <w:i/>
          <w:iCs/>
          <w:color w:val="auto"/>
          <w:sz w:val="20"/>
          <w:szCs w:val="20"/>
        </w:rPr>
        <w:t xml:space="preserve"> to address insufficient disk space and corrected the profile authentication configuration.</w:t>
      </w:r>
    </w:p>
    <w:p>
      <w:pPr>
        <w:pStyle w:val="BodyText"/>
        <w:spacing w:before="0" w:after="120"/>
        <w:rPr>
          <w:color w:val="auto"/>
        </w:rPr>
      </w:pPr>
      <w:r>
        <w:rPr>
          <w:rStyle w:val="Strong"/>
          <w:i/>
          <w:iCs/>
          <w:color w:val="auto"/>
          <w:sz w:val="20"/>
          <w:szCs w:val="20"/>
        </w:rPr>
        <w:t>Deployed the scenario:</w:t>
      </w:r>
    </w:p>
    <w:p>
      <w:pPr>
        <w:pStyle w:val="Normal"/>
        <w:spacing w:before="0" w:after="120"/>
        <w:rPr>
          <w:color w:val="auto"/>
        </w:rPr>
      </w:pPr>
      <w:r>
        <w:rPr>
          <w:i/>
          <w:iCs/>
          <w:color w:val="auto"/>
          <w:sz w:val="20"/>
          <w:szCs w:val="20"/>
        </w:rPr>
        <w:t>cloudgoat create iam_privesc_by_attachment</w:t>
      </w:r>
    </w:p>
    <w:p>
      <w:pPr>
        <w:pStyle w:val="Normal"/>
        <w:spacing w:before="0" w:after="120"/>
        <w:rPr>
          <w:color w:val="auto"/>
        </w:rPr>
      </w:pPr>
      <w:r>
        <w:rPr>
          <w:i/>
          <w:iCs/>
          <w:color w:val="auto"/>
          <w:sz w:val="20"/>
          <w:szCs w:val="20"/>
        </w:rPr>
        <w:t xml:space="preserve">Terraform reported </w:t>
      </w:r>
      <w:r>
        <w:rPr>
          <w:rStyle w:val="Strong"/>
          <w:i/>
          <w:iCs/>
          <w:color w:val="auto"/>
          <w:sz w:val="20"/>
          <w:szCs w:val="20"/>
        </w:rPr>
        <w:t>16 resources added, 0 changed, and 0 destroyed</w:t>
      </w:r>
      <w:r>
        <w:rPr>
          <w:i/>
          <w:iCs/>
          <w:color w:val="auto"/>
          <w:sz w:val="20"/>
          <w:szCs w:val="20"/>
        </w:rPr>
        <w:t xml:space="preserve">. </w:t>
      </w:r>
    </w:p>
    <w:p>
      <w:pPr>
        <w:pStyle w:val="BodyText"/>
        <w:spacing w:before="0" w:after="120"/>
        <w:rPr>
          <w:color w:val="auto"/>
        </w:rPr>
      </w:pPr>
      <w:r>
        <w:rPr>
          <w:rStyle w:val="Strong"/>
          <w:i/>
          <w:iCs/>
          <w:color w:val="auto"/>
          <w:sz w:val="20"/>
          <w:szCs w:val="20"/>
        </w:rPr>
        <w:t>Identified IAM entities:</w:t>
      </w:r>
      <w:r>
        <w:rPr>
          <w:i/>
          <w:iCs/>
          <w:color w:val="auto"/>
          <w:sz w:val="20"/>
          <w:szCs w:val="20"/>
        </w:rPr>
        <w:t xml:space="preserve"> Used AWS CLI enumeration to confirm the </w:t>
      </w:r>
      <w:r>
        <w:rPr>
          <w:rStyle w:val="SourceText"/>
          <w:i/>
          <w:iCs/>
          <w:color w:val="auto"/>
          <w:sz w:val="20"/>
          <w:szCs w:val="20"/>
        </w:rPr>
        <w:t>kerrigan</w:t>
      </w:r>
      <w:r>
        <w:rPr>
          <w:i/>
          <w:iCs/>
          <w:color w:val="auto"/>
          <w:sz w:val="20"/>
          <w:szCs w:val="20"/>
        </w:rPr>
        <w:t xml:space="preserve"> user and the scenario’s two EC2 roles.</w:t>
      </w:r>
    </w:p>
    <w:p>
      <w:pPr>
        <w:pStyle w:val="BodyText"/>
        <w:spacing w:before="0" w:after="120"/>
        <w:rPr>
          <w:color w:val="auto"/>
        </w:rPr>
      </w:pPr>
      <w:r>
        <w:rPr>
          <w:rStyle w:val="Strong"/>
          <w:i/>
          <w:iCs/>
          <w:color w:val="auto"/>
          <w:sz w:val="20"/>
          <w:szCs w:val="20"/>
        </w:rPr>
        <w:t>Console verification:</w:t>
      </w:r>
      <w:r>
        <w:rPr>
          <w:i/>
          <w:iCs/>
          <w:color w:val="auto"/>
          <w:sz w:val="20"/>
          <w:szCs w:val="20"/>
        </w:rPr>
        <w:t xml:space="preserve"> Navigated to </w:t>
      </w:r>
      <w:r>
        <w:rPr>
          <w:rStyle w:val="Strong"/>
          <w:i/>
          <w:iCs/>
          <w:color w:val="auto"/>
          <w:sz w:val="20"/>
          <w:szCs w:val="20"/>
        </w:rPr>
        <w:t xml:space="preserve">IAM → Users → </w:t>
      </w:r>
      <w:r>
        <w:rPr>
          <w:rStyle w:val="SourceText"/>
          <w:i/>
          <w:iCs/>
          <w:color w:val="auto"/>
          <w:sz w:val="20"/>
          <w:szCs w:val="20"/>
        </w:rPr>
        <w:t>kerrigan</w:t>
      </w:r>
      <w:r>
        <w:rPr>
          <w:i/>
          <w:iCs/>
          <w:color w:val="auto"/>
          <w:sz w:val="20"/>
          <w:szCs w:val="20"/>
        </w:rPr>
        <w:t xml:space="preserve"> and </w:t>
      </w:r>
      <w:r>
        <w:rPr>
          <w:rStyle w:val="Strong"/>
          <w:i/>
          <w:iCs/>
          <w:color w:val="auto"/>
          <w:sz w:val="20"/>
          <w:szCs w:val="20"/>
        </w:rPr>
        <w:t xml:space="preserve">IAM → Roles → search </w:t>
      </w:r>
      <w:r>
        <w:rPr>
          <w:rStyle w:val="SourceText"/>
          <w:i/>
          <w:iCs/>
          <w:color w:val="auto"/>
          <w:sz w:val="20"/>
          <w:szCs w:val="20"/>
        </w:rPr>
        <w:t>cgidj957m3fp3j</w:t>
      </w:r>
      <w:r>
        <w:rPr>
          <w:i/>
          <w:iCs/>
          <w:color w:val="auto"/>
          <w:sz w:val="20"/>
          <w:szCs w:val="20"/>
        </w:rPr>
        <w:t xml:space="preserve"> to view the deployed identities and capture evidence.</w:t>
      </w:r>
    </w:p>
    <w:p>
      <w:pPr>
        <w:pStyle w:val="BodyText"/>
        <w:spacing w:before="0" w:after="120"/>
        <w:rPr>
          <w:color w:val="auto"/>
        </w:rPr>
      </w:pPr>
      <w:r>
        <w:rPr>
          <w:rStyle w:val="Strong"/>
          <w:i/>
          <w:iCs/>
          <w:color w:val="auto"/>
          <w:sz w:val="20"/>
          <w:szCs w:val="20"/>
        </w:rPr>
        <w:t>Recorded evidence:</w:t>
      </w:r>
      <w:r>
        <w:rPr>
          <w:i/>
          <w:iCs/>
          <w:color w:val="auto"/>
          <w:sz w:val="20"/>
          <w:szCs w:val="20"/>
        </w:rPr>
        <w:t xml:space="preserve"> Saved the user and role screenshots and prepared the entity inventory in </w:t>
      </w:r>
      <w:r>
        <w:rPr>
          <w:rStyle w:val="SourceText"/>
          <w:i/>
          <w:iCs/>
          <w:color w:val="auto"/>
          <w:sz w:val="20"/>
          <w:szCs w:val="20"/>
        </w:rPr>
        <w:t>iam_entities.csv</w:t>
      </w:r>
      <w:r>
        <w:rPr>
          <w:i/>
          <w:iCs/>
          <w:color w:val="auto"/>
          <w:sz w:val="20"/>
          <w:szCs w:val="20"/>
        </w:rPr>
        <w:t>.</w:t>
      </w:r>
    </w:p>
    <w:p>
      <w:pPr>
        <w:pStyle w:val="Normal"/>
        <w:spacing w:before="0" w:after="120"/>
        <w:rPr>
          <w:color w:val="auto"/>
        </w:rPr>
      </w:pPr>
      <w:r>
        <w:rPr>
          <w:color w:val="auto"/>
        </w:rPr>
      </w:r>
    </w:p>
    <w:p>
      <w:pPr>
        <w:pStyle w:val="Normal"/>
        <w:spacing w:before="0" w:after="80"/>
        <w:rPr>
          <w:color w:val="auto"/>
          <w:sz w:val="22"/>
          <w:szCs w:val="22"/>
        </w:rPr>
      </w:pPr>
      <w:r>
        <w:rPr>
          <w:color w:val="auto"/>
          <w:sz w:val="22"/>
          <w:szCs w:val="22"/>
        </w:rPr>
      </w:r>
    </w:p>
    <w:p>
      <w:pPr>
        <w:pStyle w:val="Heading3"/>
        <w:spacing w:before="200" w:after="80"/>
        <w:rPr>
          <w:color w:val="auto"/>
          <w:sz w:val="28"/>
          <w:szCs w:val="28"/>
        </w:rPr>
      </w:pPr>
      <w:r>
        <w:rPr>
          <w:b/>
          <w:bCs/>
          <w:color w:val="auto"/>
          <w:sz w:val="22"/>
          <w:szCs w:val="22"/>
        </w:rPr>
        <w:t>Key Observations</w:t>
      </w:r>
    </w:p>
    <w:p>
      <w:pPr>
        <w:pStyle w:val="BodyText"/>
        <w:spacing w:before="0" w:after="120"/>
        <w:rPr>
          <w:color w:val="auto"/>
          <w:sz w:val="22"/>
          <w:szCs w:val="22"/>
        </w:rPr>
      </w:pPr>
      <w:r>
        <w:rPr>
          <w:i/>
          <w:iCs/>
          <w:color w:val="auto"/>
          <w:sz w:val="22"/>
          <w:szCs w:val="22"/>
        </w:rPr>
        <w:t xml:space="preserve">The environment did not deploy cleanly on the first attempt. Terraform’s AWS provider installation failed because CloudShell’s home filesystem had insufficient space. Redirecting Terraform’s working data to </w:t>
      </w:r>
      <w:r>
        <w:rPr>
          <w:rStyle w:val="SourceText"/>
          <w:i/>
          <w:iCs/>
          <w:color w:val="auto"/>
          <w:sz w:val="22"/>
          <w:szCs w:val="22"/>
        </w:rPr>
        <w:t>/tmp</w:t>
      </w:r>
      <w:r>
        <w:rPr>
          <w:i/>
          <w:iCs/>
          <w:color w:val="auto"/>
          <w:sz w:val="22"/>
          <w:szCs w:val="22"/>
        </w:rPr>
        <w:t xml:space="preserve"> resolved this issue. A subsequent authentication error required replacing the profile’s </w:t>
      </w:r>
      <w:r>
        <w:rPr>
          <w:rStyle w:val="SourceText"/>
          <w:i/>
          <w:iCs/>
          <w:color w:val="auto"/>
          <w:sz w:val="22"/>
          <w:szCs w:val="22"/>
        </w:rPr>
        <w:t>credential_source</w:t>
      </w:r>
      <w:r>
        <w:rPr>
          <w:i/>
          <w:iCs/>
          <w:color w:val="auto"/>
          <w:sz w:val="22"/>
          <w:szCs w:val="22"/>
        </w:rPr>
        <w:t xml:space="preserve"> setting with a credential process that used CloudShell’s temporary credentials.</w:t>
      </w:r>
    </w:p>
    <w:p>
      <w:pPr>
        <w:pStyle w:val="BodyText"/>
        <w:bidi w:val="0"/>
        <w:spacing w:lineRule="auto" w:line="259" w:before="0" w:after="120"/>
        <w:ind w:hanging="0" w:left="0" w:right="0"/>
        <w:rPr>
          <w:i/>
          <w:i/>
          <w:iCs/>
          <w:color w:val="auto"/>
          <w:sz w:val="22"/>
          <w:szCs w:val="22"/>
        </w:rPr>
      </w:pPr>
      <w:r>
        <w:rPr>
          <w:i/>
          <w:iCs/>
          <w:color w:val="auto"/>
          <w:sz w:val="22"/>
          <w:szCs w:val="22"/>
        </w:rPr>
        <w:t xml:space="preserve">After troubleshooting, Terraform successfully created </w:t>
      </w:r>
      <w:r>
        <w:rPr>
          <w:rStyle w:val="Strong"/>
          <w:i/>
          <w:iCs/>
          <w:color w:val="auto"/>
          <w:sz w:val="22"/>
          <w:szCs w:val="22"/>
        </w:rPr>
        <w:t>16 resources</w:t>
      </w:r>
      <w:r>
        <w:rPr>
          <w:i/>
          <w:iCs/>
          <w:color w:val="auto"/>
          <w:sz w:val="22"/>
          <w:szCs w:val="22"/>
        </w:rPr>
        <w:t xml:space="preserve">. Enumeration confirmed the </w:t>
      </w:r>
      <w:r>
        <w:rPr>
          <w:rStyle w:val="SourceText"/>
          <w:i/>
          <w:iCs/>
          <w:color w:val="auto"/>
          <w:sz w:val="22"/>
          <w:szCs w:val="22"/>
        </w:rPr>
        <w:t>kerrigan</w:t>
      </w:r>
      <w:r>
        <w:rPr>
          <w:i/>
          <w:iCs/>
          <w:color w:val="auto"/>
          <w:sz w:val="22"/>
          <w:szCs w:val="22"/>
        </w:rPr>
        <w:t xml:space="preserve"> user and two scenario roles: </w:t>
      </w:r>
      <w:r>
        <w:rPr>
          <w:rStyle w:val="SourceText"/>
          <w:i/>
          <w:iCs/>
          <w:color w:val="auto"/>
          <w:sz w:val="22"/>
          <w:szCs w:val="22"/>
        </w:rPr>
        <w:t>cg-ec2-meek-role-cgidj957m3fp3j</w:t>
      </w:r>
      <w:r>
        <w:rPr>
          <w:i/>
          <w:iCs/>
          <w:color w:val="auto"/>
          <w:sz w:val="22"/>
          <w:szCs w:val="22"/>
        </w:rPr>
        <w:t xml:space="preserve"> and </w:t>
      </w:r>
      <w:r>
        <w:rPr>
          <w:rStyle w:val="SourceText"/>
          <w:i/>
          <w:iCs/>
          <w:color w:val="auto"/>
          <w:sz w:val="22"/>
          <w:szCs w:val="22"/>
        </w:rPr>
        <w:t>cg-ec2-mighty-role-cgidj957m3fp3j</w:t>
      </w:r>
      <w:r>
        <w:rPr>
          <w:i/>
          <w:iCs/>
          <w:color w:val="auto"/>
          <w:sz w:val="22"/>
          <w:szCs w:val="22"/>
        </w:rPr>
        <w:t>. The user’s name did not include the scenario identifier, so filtering by that identifier initially missed it.</w:t>
      </w:r>
    </w:p>
    <w:p>
      <w:pPr>
        <w:pStyle w:val="BodyText"/>
        <w:spacing w:lineRule="auto" w:line="259" w:before="0" w:after="120"/>
        <w:rPr>
          <w:i/>
          <w:i/>
          <w:iCs/>
          <w:color w:val="auto"/>
          <w:sz w:val="22"/>
          <w:szCs w:val="22"/>
        </w:rPr>
      </w:pPr>
      <w:r>
        <w:rPr>
          <w:i/>
          <w:iCs/>
          <w:color w:val="auto"/>
          <w:sz w:val="22"/>
          <w:szCs w:val="22"/>
        </w:rPr>
        <w:t>The environment was intentionally vulnerable by design. The IP whitelist restricted network access, but it did not remove the scenario’s IAM weaknesses. Detailed permissions testing had not yet been performed, so no specific exploitable path was confirmed during this phase.</w:t>
      </w:r>
    </w:p>
    <w:p>
      <w:pPr>
        <w:pStyle w:val="BodyText"/>
        <w:spacing w:lineRule="auto" w:line="259" w:before="0" w:after="120"/>
        <w:rPr>
          <w:i/>
          <w:i/>
          <w:iCs/>
          <w:color w:val="auto"/>
          <w:sz w:val="22"/>
          <w:szCs w:val="22"/>
        </w:rPr>
      </w:pPr>
      <w:r>
        <w:rPr>
          <w:i/>
          <w:iCs/>
          <w:color w:val="auto"/>
          <w:sz w:val="22"/>
          <w:szCs w:val="22"/>
        </w:rPr>
        <w:t>The successful deployment output and IAM entity inventory established the baseline for later analysis of permissions, trust relationships, and privilege escalation risks.</w:t>
      </w:r>
    </w:p>
    <w:p>
      <w:pPr>
        <w:pStyle w:val="Normal"/>
        <w:spacing w:before="0" w:after="120"/>
        <w:rPr>
          <w:color w:val="auto"/>
          <w:sz w:val="22"/>
          <w:szCs w:val="22"/>
        </w:rPr>
      </w:pPr>
      <w:r>
        <w:rPr>
          <w:color w:val="auto"/>
          <w:sz w:val="22"/>
          <w:szCs w:val="22"/>
        </w:rPr>
      </w:r>
    </w:p>
    <w:p>
      <w:pPr>
        <w:pStyle w:val="Heading3"/>
        <w:spacing w:before="200" w:after="80"/>
        <w:rPr>
          <w:color w:val="auto"/>
          <w:sz w:val="28"/>
          <w:szCs w:val="28"/>
        </w:rPr>
      </w:pPr>
      <w:r>
        <w:rPr>
          <w:b/>
          <w:bCs/>
          <w:color w:val="auto"/>
          <w:sz w:val="22"/>
          <w:szCs w:val="22"/>
        </w:rPr>
        <w:t>Evidence Produced</w:t>
      </w:r>
    </w:p>
    <w:p>
      <w:pPr>
        <w:pStyle w:val="BodyText"/>
        <w:numPr>
          <w:ilvl w:val="0"/>
          <w:numId w:val="75"/>
        </w:numPr>
        <w:spacing w:before="0" w:after="60"/>
        <w:ind w:hanging="360" w:left="360"/>
        <w:rPr>
          <w:color w:val="auto"/>
          <w:sz w:val="22"/>
          <w:szCs w:val="22"/>
        </w:rPr>
      </w:pPr>
      <w:r>
        <w:rPr>
          <w:rStyle w:val="Strong"/>
          <w:color w:val="auto"/>
          <w:sz w:val="22"/>
          <w:szCs w:val="22"/>
        </w:rPr>
        <w:t>PhaseB_deployed_role_.png</w:t>
      </w:r>
      <w:r>
        <w:rPr>
          <w:color w:val="auto"/>
          <w:sz w:val="22"/>
          <w:szCs w:val="22"/>
        </w:rPr>
        <w:t xml:space="preserve"> — Screenshot showing the two IAM roles created for the CloudGoat scenario.</w:t>
      </w:r>
    </w:p>
    <w:p>
      <w:pPr>
        <w:pStyle w:val="BodyText"/>
        <w:numPr>
          <w:ilvl w:val="0"/>
          <w:numId w:val="76"/>
        </w:numPr>
        <w:spacing w:before="0" w:after="60"/>
        <w:ind w:hanging="360" w:left="360"/>
        <w:rPr>
          <w:color w:val="auto"/>
          <w:sz w:val="22"/>
          <w:szCs w:val="22"/>
        </w:rPr>
      </w:pPr>
      <w:r>
        <w:rPr>
          <w:rStyle w:val="Strong"/>
          <w:color w:val="auto"/>
          <w:sz w:val="22"/>
          <w:szCs w:val="22"/>
        </w:rPr>
        <w:t>PhaseB_deployed_user_png</w:t>
      </w:r>
      <w:r>
        <w:rPr>
          <w:color w:val="auto"/>
          <w:sz w:val="22"/>
          <w:szCs w:val="22"/>
        </w:rPr>
        <w:t xml:space="preserve"> — Screenshot showing the </w:t>
      </w:r>
      <w:r>
        <w:rPr>
          <w:rStyle w:val="SourceText"/>
          <w:color w:val="auto"/>
          <w:sz w:val="22"/>
          <w:szCs w:val="22"/>
        </w:rPr>
        <w:t>kerrigan</w:t>
      </w:r>
      <w:r>
        <w:rPr>
          <w:color w:val="auto"/>
          <w:sz w:val="22"/>
          <w:szCs w:val="22"/>
        </w:rPr>
        <w:t xml:space="preserve"> IAM user created for the CloudGoat scenario.</w:t>
      </w:r>
    </w:p>
    <w:p>
      <w:pPr>
        <w:pStyle w:val="BodyText"/>
        <w:numPr>
          <w:ilvl w:val="0"/>
          <w:numId w:val="77"/>
        </w:numPr>
        <w:spacing w:before="0" w:after="60"/>
        <w:ind w:hanging="360" w:left="360"/>
        <w:rPr>
          <w:color w:val="auto"/>
          <w:sz w:val="22"/>
          <w:szCs w:val="22"/>
        </w:rPr>
      </w:pPr>
      <w:r>
        <w:rPr>
          <w:rStyle w:val="Strong"/>
          <w:color w:val="auto"/>
          <w:sz w:val="22"/>
          <w:szCs w:val="22"/>
        </w:rPr>
        <w:t>PhaseB_iam_entities.csv</w:t>
      </w:r>
      <w:r>
        <w:rPr>
          <w:color w:val="auto"/>
          <w:sz w:val="22"/>
          <w:szCs w:val="22"/>
        </w:rPr>
        <w:t xml:space="preserve"> — Text inventory of the deployed IAM user and roles. </w:t>
      </w:r>
    </w:p>
    <w:p>
      <w:pPr>
        <w:pStyle w:val="ListParagraph"/>
        <w:numPr>
          <w:ilvl w:val="0"/>
          <w:numId w:val="0"/>
        </w:numPr>
        <w:spacing w:before="0" w:after="60"/>
        <w:ind w:hanging="0" w:left="360"/>
        <w:rPr>
          <w:color w:val="auto"/>
          <w:sz w:val="22"/>
          <w:szCs w:val="22"/>
        </w:rPr>
      </w:pPr>
      <w:r>
        <w:rPr>
          <w:color w:val="auto"/>
          <w:sz w:val="22"/>
          <w:szCs w:val="22"/>
        </w:rPr>
      </w:r>
    </w:p>
    <w:p>
      <w:pPr>
        <w:pStyle w:val="Heading2"/>
        <w:shd w:val="clear" w:color="auto" w:fill="FFFFFF" w:themeFill="background1"/>
        <w:spacing w:before="280" w:after="140"/>
        <w:rPr>
          <w:color w:themeColor="text2" w:themeShade="bf" w:val="323E4F"/>
        </w:rPr>
      </w:pPr>
      <w:r>
        <w:rPr>
          <w:b/>
          <w:bCs/>
          <w:color w:themeColor="text2" w:themeShade="bf" w:val="323E4F"/>
        </w:rPr>
        <w:t>Phase C: Core Execution</w:t>
      </w:r>
    </w:p>
    <w:tbl>
      <w:tblPr>
        <w:tblW w:w="9923"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879"/>
        <w:gridCol w:w="7043"/>
      </w:tblGrid>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Objective</w:t>
            </w:r>
          </w:p>
        </w:tc>
        <w:tc>
          <w:tcPr>
            <w:tcW w:w="704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Enumerate all identities and map their permissions manually and programmatically.</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Estimated Time</w:t>
            </w:r>
          </w:p>
        </w:tc>
        <w:tc>
          <w:tcPr>
            <w:tcW w:w="7043"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180 minutes</w:t>
            </w:r>
          </w:p>
        </w:tc>
      </w:tr>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File(s)</w:t>
            </w:r>
          </w:p>
        </w:tc>
        <w:tc>
          <w:tcPr>
            <w:tcW w:w="704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PhaseC_kerrigan_policy_document.png, PhaseC_kerrigan_policy_mapping.png, PhaseC_list_groups.png, PhaseC_list_policies.png,PhaseC_list_users.png,PhaseC_meek_policy.png,PhaseC_mighty_policies.png,PhaseC_policy_mapping.png,PhaseC_sentry_analysis.png,PhaseCPhaseC_policy_sentry_commands.png, PhaseC_steampipe_roles.png,</w:t>
            </w:r>
            <w:r>
              <w:rPr>
                <w:rStyle w:val="Strong"/>
                <w:b w:val="false"/>
                <w:bCs w:val="false"/>
                <w:i/>
                <w:iCs/>
                <w:color w:val="auto"/>
                <w:sz w:val="22"/>
                <w:szCs w:val="22"/>
              </w:rPr>
              <w:t>PhaceC_analysis.txt</w:t>
            </w:r>
          </w:p>
        </w:tc>
      </w:tr>
    </w:tbl>
    <w:p>
      <w:pPr>
        <w:pStyle w:val="Heading3"/>
        <w:spacing w:before="200" w:after="80"/>
        <w:rPr>
          <w:color w:val="auto"/>
          <w:sz w:val="28"/>
          <w:szCs w:val="28"/>
        </w:rPr>
      </w:pPr>
      <w:r>
        <w:rPr>
          <w:b/>
          <w:bCs/>
          <w:color w:val="auto"/>
          <w:sz w:val="22"/>
          <w:szCs w:val="22"/>
        </w:rPr>
        <w:t>Actions Taken</w:t>
      </w:r>
    </w:p>
    <w:p>
      <w:pPr>
        <w:pStyle w:val="BodyText"/>
        <w:spacing w:lineRule="auto" w:line="259" w:before="0" w:after="120"/>
        <w:rPr>
          <w:b/>
          <w:bCs/>
          <w:i/>
          <w:i/>
          <w:iCs/>
          <w:color w:val="auto"/>
          <w:sz w:val="28"/>
          <w:szCs w:val="28"/>
        </w:rPr>
      </w:pPr>
      <w:r>
        <w:rPr>
          <w:rStyle w:val="Strong"/>
          <w:b w:val="false"/>
          <w:bCs w:val="false"/>
          <w:i/>
          <w:iCs/>
          <w:color w:val="auto"/>
          <w:sz w:val="22"/>
          <w:szCs w:val="22"/>
        </w:rPr>
        <w:t>1. I enumerated IAM identities and policies</w:t>
      </w:r>
      <w:r>
        <w:rPr>
          <w:b w:val="false"/>
          <w:bCs w:val="false"/>
          <w:i/>
          <w:iCs/>
          <w:color w:val="auto"/>
          <w:sz w:val="22"/>
          <w:szCs w:val="22"/>
        </w:rPr>
        <w:t xml:space="preserve"> using AWS CLI:</w:t>
      </w:r>
    </w:p>
    <w:p>
      <w:pPr>
        <w:pStyle w:val="PreformattedText"/>
        <w:bidi w:val="0"/>
        <w:spacing w:before="0" w:after="120"/>
        <w:ind w:hanging="0" w:left="0" w:right="0"/>
        <w:rPr>
          <w:rFonts w:ascii="Calibri" w:hAnsi="Calibri" w:eastAsia="Calibri" w:cs="Calibri"/>
          <w:b/>
          <w:bCs/>
          <w:i/>
          <w:i/>
          <w:iCs/>
          <w:color w:val="auto"/>
          <w:sz w:val="28"/>
          <w:szCs w:val="28"/>
        </w:rPr>
      </w:pPr>
      <w:r>
        <w:rPr>
          <w:rStyle w:val="SourceText"/>
          <w:rFonts w:ascii="Calibri" w:hAnsi="Calibri"/>
          <w:b w:val="false"/>
          <w:bCs w:val="false"/>
          <w:i/>
          <w:iCs/>
          <w:color w:val="auto"/>
          <w:sz w:val="22"/>
          <w:szCs w:val="22"/>
        </w:rPr>
        <w:t>aws iam list-users --output table --no-cli-pager</w:t>
      </w:r>
    </w:p>
    <w:p>
      <w:pPr>
        <w:pStyle w:val="PreformattedText"/>
        <w:bidi w:val="0"/>
        <w:spacing w:before="0" w:after="120"/>
        <w:rPr>
          <w:rFonts w:ascii="Calibri" w:hAnsi="Calibri" w:eastAsia="Calibri" w:cs="Calibri"/>
          <w:b/>
          <w:bCs/>
          <w:i/>
          <w:i/>
          <w:iCs/>
          <w:color w:val="auto"/>
          <w:sz w:val="28"/>
          <w:szCs w:val="28"/>
        </w:rPr>
      </w:pPr>
      <w:r>
        <w:rPr>
          <w:rStyle w:val="SourceText"/>
          <w:rFonts w:ascii="Calibri" w:hAnsi="Calibri"/>
          <w:b w:val="false"/>
          <w:bCs w:val="false"/>
          <w:i/>
          <w:iCs/>
          <w:color w:val="auto"/>
          <w:sz w:val="22"/>
          <w:szCs w:val="22"/>
        </w:rPr>
        <w:t>aws iam list-groups --output table --no-cli-pager</w:t>
      </w:r>
    </w:p>
    <w:p>
      <w:pPr>
        <w:pStyle w:val="PreformattedText"/>
        <w:bidi w:val="0"/>
        <w:spacing w:before="0" w:after="120"/>
        <w:rPr>
          <w:rFonts w:ascii="Calibri" w:hAnsi="Calibri" w:eastAsia="Calibri" w:cs="Calibri"/>
          <w:b/>
          <w:bCs/>
          <w:i/>
          <w:i/>
          <w:iCs/>
          <w:color w:val="auto"/>
          <w:sz w:val="28"/>
          <w:szCs w:val="28"/>
        </w:rPr>
      </w:pPr>
      <w:r>
        <w:rPr>
          <w:rStyle w:val="SourceText"/>
          <w:rFonts w:ascii="Calibri" w:hAnsi="Calibri"/>
          <w:b w:val="false"/>
          <w:bCs w:val="false"/>
          <w:i/>
          <w:iCs/>
          <w:color w:val="auto"/>
          <w:sz w:val="22"/>
          <w:szCs w:val="22"/>
        </w:rPr>
        <w:t>aws iam list-policies --scope Local --output table --no-cli-pager</w:t>
      </w:r>
    </w:p>
    <w:p>
      <w:pPr>
        <w:pStyle w:val="PreformattedText"/>
        <w:bidi w:val="0"/>
        <w:spacing w:before="0" w:after="120"/>
        <w:rPr>
          <w:rFonts w:ascii="Calibri" w:hAnsi="Calibri" w:eastAsia="Calibri" w:cs="Calibri"/>
          <w:b/>
          <w:bCs/>
          <w:i/>
          <w:i/>
          <w:iCs/>
          <w:color w:val="auto"/>
          <w:sz w:val="28"/>
          <w:szCs w:val="28"/>
        </w:rPr>
      </w:pPr>
      <w:r>
        <w:rPr>
          <w:rStyle w:val="SourceText"/>
          <w:rFonts w:ascii="Calibri" w:hAnsi="Calibri"/>
          <w:b w:val="false"/>
          <w:bCs w:val="false"/>
          <w:i/>
          <w:iCs/>
          <w:color w:val="auto"/>
          <w:sz w:val="22"/>
          <w:szCs w:val="22"/>
        </w:rPr>
        <w:t>aws iam list-roles --output table --no-cli-pager</w:t>
      </w:r>
    </w:p>
    <w:p>
      <w:pPr>
        <w:pStyle w:val="BodyText"/>
        <w:spacing w:lineRule="auto" w:line="259" w:before="0" w:after="120"/>
        <w:rPr>
          <w:b w:val="false"/>
          <w:bCs w:val="false"/>
          <w:i/>
          <w:i/>
          <w:iCs/>
          <w:color w:val="auto"/>
          <w:sz w:val="22"/>
          <w:szCs w:val="22"/>
        </w:rPr>
      </w:pPr>
      <w:r>
        <w:rPr>
          <w:b w:val="false"/>
          <w:bCs w:val="false"/>
          <w:i/>
          <w:iCs/>
          <w:color w:val="auto"/>
          <w:sz w:val="22"/>
          <w:szCs w:val="22"/>
        </w:rPr>
        <w:t>The inventory included existing lab identities and seven IAM groups.</w:t>
      </w:r>
    </w:p>
    <w:p>
      <w:pPr>
        <w:pStyle w:val="BodyText"/>
        <w:spacing w:lineRule="auto" w:line="259" w:before="0" w:after="120"/>
        <w:rPr>
          <w:rStyle w:val="Emphasis"/>
          <w:b w:val="false"/>
          <w:bCs w:val="false"/>
          <w:i/>
          <w:i/>
          <w:iCs/>
          <w:sz w:val="22"/>
          <w:szCs w:val="22"/>
        </w:rPr>
      </w:pPr>
      <w:r>
        <w:rPr>
          <w:b w:val="false"/>
          <w:bCs w:val="false"/>
          <w:i/>
          <w:iCs/>
          <w:sz w:val="22"/>
          <w:szCs w:val="22"/>
        </w:rPr>
      </w:r>
    </w:p>
    <w:p>
      <w:pPr>
        <w:pStyle w:val="BodyText"/>
        <w:spacing w:lineRule="auto" w:line="259" w:before="0" w:after="120"/>
        <w:rPr>
          <w:b/>
          <w:bCs/>
          <w:i/>
          <w:i/>
          <w:iCs/>
          <w:color w:val="auto"/>
          <w:sz w:val="28"/>
          <w:szCs w:val="28"/>
        </w:rPr>
      </w:pPr>
      <w:r>
        <w:rPr>
          <w:rStyle w:val="Strong"/>
          <w:b w:val="false"/>
          <w:bCs w:val="false"/>
          <w:i/>
          <w:iCs/>
          <w:color w:val="auto"/>
          <w:sz w:val="22"/>
          <w:szCs w:val="22"/>
        </w:rPr>
        <w:t>2.I then mapped Kerrigan’s assigned policies:</w:t>
      </w:r>
    </w:p>
    <w:p>
      <w:pPr>
        <w:pStyle w:val="PreformattedText"/>
        <w:bidi w:val="0"/>
        <w:spacing w:before="0" w:after="120"/>
        <w:ind w:hanging="0" w:left="0" w:right="0"/>
        <w:rPr>
          <w:rFonts w:ascii="Calibri" w:hAnsi="Calibri" w:eastAsia="Calibri" w:cs="Calibri"/>
          <w:b/>
          <w:bCs/>
          <w:i/>
          <w:i/>
          <w:iCs/>
          <w:color w:val="auto"/>
          <w:sz w:val="28"/>
          <w:szCs w:val="28"/>
        </w:rPr>
      </w:pPr>
      <w:r>
        <w:rPr>
          <w:rStyle w:val="SourceText"/>
          <w:rFonts w:ascii="Calibri" w:hAnsi="Calibri"/>
          <w:b w:val="false"/>
          <w:bCs w:val="false"/>
          <w:i/>
          <w:iCs/>
          <w:color w:val="auto"/>
          <w:sz w:val="22"/>
          <w:szCs w:val="22"/>
        </w:rPr>
        <w:t>aws iam list-groups-for-user --user-name kerrigan</w:t>
      </w:r>
    </w:p>
    <w:p>
      <w:pPr>
        <w:pStyle w:val="PreformattedText"/>
        <w:bidi w:val="0"/>
        <w:spacing w:before="0" w:after="120"/>
        <w:rPr>
          <w:rFonts w:ascii="Calibri" w:hAnsi="Calibri" w:eastAsia="Calibri" w:cs="Calibri"/>
          <w:b/>
          <w:bCs/>
          <w:i/>
          <w:i/>
          <w:iCs/>
          <w:color w:val="auto"/>
          <w:sz w:val="28"/>
          <w:szCs w:val="28"/>
        </w:rPr>
      </w:pPr>
      <w:r>
        <w:rPr>
          <w:rStyle w:val="SourceText"/>
          <w:rFonts w:ascii="Calibri" w:hAnsi="Calibri"/>
          <w:b w:val="false"/>
          <w:bCs w:val="false"/>
          <w:i/>
          <w:iCs/>
          <w:color w:val="auto"/>
          <w:sz w:val="22"/>
          <w:szCs w:val="22"/>
        </w:rPr>
        <w:t>aws iam list-attached-user-policies --user-name kerrigan</w:t>
      </w:r>
    </w:p>
    <w:p>
      <w:pPr>
        <w:pStyle w:val="PreformattedText"/>
        <w:bidi w:val="0"/>
        <w:spacing w:before="0" w:after="120"/>
        <w:rPr>
          <w:rFonts w:ascii="Calibri" w:hAnsi="Calibri" w:eastAsia="Calibri" w:cs="Calibri"/>
          <w:b/>
          <w:bCs/>
          <w:i/>
          <w:i/>
          <w:iCs/>
          <w:color w:val="auto"/>
          <w:sz w:val="28"/>
          <w:szCs w:val="28"/>
        </w:rPr>
      </w:pPr>
      <w:r>
        <w:rPr>
          <w:rStyle w:val="SourceText"/>
          <w:rFonts w:ascii="Calibri" w:hAnsi="Calibri"/>
          <w:b w:val="false"/>
          <w:bCs w:val="false"/>
          <w:i/>
          <w:iCs/>
          <w:color w:val="auto"/>
          <w:sz w:val="22"/>
          <w:szCs w:val="22"/>
        </w:rPr>
        <w:t>aws iam list-user-policies --user-name kerrigan</w:t>
      </w:r>
    </w:p>
    <w:p>
      <w:pPr>
        <w:pStyle w:val="BodyText"/>
        <w:bidi w:val="0"/>
        <w:spacing w:lineRule="auto" w:line="259" w:before="0" w:after="120"/>
        <w:ind w:hanging="0" w:left="0" w:right="0"/>
        <w:rPr>
          <w:b/>
          <w:bCs/>
          <w:i/>
          <w:i/>
          <w:iCs/>
          <w:color w:val="auto"/>
          <w:sz w:val="28"/>
          <w:szCs w:val="28"/>
        </w:rPr>
      </w:pPr>
      <w:r>
        <w:rPr>
          <w:b w:val="false"/>
          <w:bCs w:val="false"/>
          <w:i/>
          <w:iCs/>
          <w:color w:val="auto"/>
          <w:sz w:val="22"/>
          <w:szCs w:val="22"/>
        </w:rPr>
        <w:t xml:space="preserve">Kerrigan had no group memberships or inline policies and one attached managed policy, </w:t>
      </w:r>
      <w:r>
        <w:rPr>
          <w:rStyle w:val="SourceText"/>
          <w:b w:val="false"/>
          <w:bCs w:val="false"/>
          <w:i/>
          <w:iCs/>
          <w:color w:val="auto"/>
          <w:sz w:val="22"/>
          <w:szCs w:val="22"/>
        </w:rPr>
        <w:t>cg-kerrigan-policy</w:t>
      </w:r>
      <w:r>
        <w:rPr>
          <w:b w:val="false"/>
          <w:bCs w:val="false"/>
          <w:i/>
          <w:iCs/>
          <w:color w:val="auto"/>
          <w:sz w:val="22"/>
          <w:szCs w:val="22"/>
        </w:rPr>
        <w:t>.</w:t>
      </w:r>
    </w:p>
    <w:p>
      <w:pPr>
        <w:pStyle w:val="BodyText"/>
        <w:spacing w:lineRule="auto" w:line="259" w:before="0" w:after="120"/>
        <w:rPr>
          <w:rStyle w:val="Emphasis"/>
          <w:b w:val="false"/>
          <w:bCs w:val="false"/>
          <w:i/>
          <w:i/>
          <w:iCs/>
          <w:sz w:val="22"/>
          <w:szCs w:val="22"/>
        </w:rPr>
      </w:pPr>
      <w:r>
        <w:rPr>
          <w:b w:val="false"/>
          <w:bCs w:val="false"/>
          <w:i/>
          <w:iCs/>
          <w:sz w:val="22"/>
          <w:szCs w:val="22"/>
        </w:rPr>
      </w:r>
    </w:p>
    <w:p>
      <w:pPr>
        <w:pStyle w:val="BodyText"/>
        <w:bidi w:val="0"/>
        <w:spacing w:lineRule="auto" w:line="259" w:before="0" w:after="120"/>
        <w:ind w:hanging="0" w:left="0" w:right="0"/>
        <w:rPr>
          <w:b/>
          <w:bCs/>
          <w:i/>
          <w:i/>
          <w:iCs/>
          <w:color w:val="auto"/>
          <w:sz w:val="28"/>
          <w:szCs w:val="28"/>
        </w:rPr>
      </w:pPr>
      <w:r>
        <w:rPr>
          <w:rStyle w:val="Strong"/>
          <w:b w:val="false"/>
          <w:bCs w:val="false"/>
          <w:i/>
          <w:iCs/>
          <w:color w:val="auto"/>
          <w:sz w:val="22"/>
          <w:szCs w:val="22"/>
        </w:rPr>
        <w:t>3. I retrieved and examined the active policy documents</w:t>
      </w:r>
      <w:r>
        <w:rPr>
          <w:b w:val="false"/>
          <w:bCs w:val="false"/>
          <w:i/>
          <w:iCs/>
          <w:color w:val="auto"/>
          <w:sz w:val="22"/>
          <w:szCs w:val="22"/>
        </w:rPr>
        <w:t xml:space="preserve"> using </w:t>
      </w:r>
      <w:r>
        <w:rPr>
          <w:rStyle w:val="SourceText"/>
          <w:b w:val="false"/>
          <w:bCs w:val="false"/>
          <w:i/>
          <w:iCs/>
          <w:color w:val="auto"/>
          <w:sz w:val="22"/>
          <w:szCs w:val="22"/>
        </w:rPr>
        <w:t>get-policy</w:t>
      </w:r>
      <w:r>
        <w:rPr>
          <w:b w:val="false"/>
          <w:bCs w:val="false"/>
          <w:i/>
          <w:iCs/>
          <w:color w:val="auto"/>
          <w:sz w:val="22"/>
          <w:szCs w:val="22"/>
        </w:rPr>
        <w:t xml:space="preserve"> and </w:t>
      </w:r>
      <w:r>
        <w:rPr>
          <w:rStyle w:val="SourceText"/>
          <w:b w:val="false"/>
          <w:bCs w:val="false"/>
          <w:i/>
          <w:iCs/>
          <w:color w:val="auto"/>
          <w:sz w:val="22"/>
          <w:szCs w:val="22"/>
        </w:rPr>
        <w:t>get-policy-version</w:t>
      </w:r>
      <w:r>
        <w:rPr>
          <w:b w:val="false"/>
          <w:bCs w:val="false"/>
          <w:i/>
          <w:iCs/>
          <w:color w:val="auto"/>
          <w:sz w:val="22"/>
          <w:szCs w:val="22"/>
        </w:rPr>
        <w:t>:</w:t>
      </w:r>
    </w:p>
    <w:p>
      <w:pPr>
        <w:pStyle w:val="PreformattedText"/>
        <w:bidi w:val="0"/>
        <w:spacing w:before="0" w:after="120"/>
        <w:ind w:hanging="0" w:left="0" w:right="0"/>
        <w:rPr>
          <w:rFonts w:ascii="Calibri" w:hAnsi="Calibri" w:eastAsia="Calibri" w:cs="Calibri"/>
          <w:b/>
          <w:bCs/>
          <w:i/>
          <w:i/>
          <w:iCs/>
          <w:color w:val="auto"/>
          <w:sz w:val="28"/>
          <w:szCs w:val="28"/>
        </w:rPr>
      </w:pPr>
      <w:r>
        <w:rPr>
          <w:rStyle w:val="SourceText"/>
          <w:rFonts w:ascii="Calibri" w:hAnsi="Calibri"/>
          <w:b w:val="false"/>
          <w:bCs w:val="false"/>
          <w:i/>
          <w:iCs/>
          <w:color w:val="auto"/>
          <w:sz w:val="22"/>
          <w:szCs w:val="22"/>
        </w:rPr>
        <w:t>aws iam get-policy-version \</w:t>
      </w:r>
    </w:p>
    <w:p>
      <w:pPr>
        <w:pStyle w:val="PreformattedText"/>
        <w:bidi w:val="0"/>
        <w:spacing w:before="0" w:after="120"/>
        <w:rPr>
          <w:rFonts w:ascii="Calibri" w:hAnsi="Calibri" w:eastAsia="Calibri" w:cs="Calibri"/>
          <w:b/>
          <w:bCs/>
          <w:i/>
          <w:i/>
          <w:iCs/>
          <w:color w:val="auto"/>
          <w:sz w:val="28"/>
          <w:szCs w:val="28"/>
        </w:rPr>
      </w:pPr>
      <w:r>
        <w:rPr>
          <w:rStyle w:val="SourceText"/>
          <w:rFonts w:ascii="Calibri" w:hAnsi="Calibri"/>
          <w:b w:val="false"/>
          <w:bCs w:val="false"/>
          <w:i/>
          <w:iCs/>
          <w:color w:val="auto"/>
          <w:sz w:val="22"/>
          <w:szCs w:val="22"/>
        </w:rPr>
        <w:t xml:space="preserve">  </w:t>
      </w:r>
      <w:r>
        <w:rPr>
          <w:rStyle w:val="SourceText"/>
          <w:rFonts w:ascii="Calibri" w:hAnsi="Calibri"/>
          <w:b w:val="false"/>
          <w:bCs w:val="false"/>
          <w:i/>
          <w:iCs/>
          <w:color w:val="auto"/>
          <w:sz w:val="22"/>
          <w:szCs w:val="22"/>
        </w:rPr>
        <w:t>--policy-arn arn:aws:iam::&lt;ACCOUNT_ID&gt;:policy/cg-kerrigan-policy \</w:t>
      </w:r>
    </w:p>
    <w:p>
      <w:pPr>
        <w:pStyle w:val="PreformattedText"/>
        <w:bidi w:val="0"/>
        <w:spacing w:before="0" w:after="120"/>
        <w:rPr>
          <w:rFonts w:ascii="Calibri" w:hAnsi="Calibri" w:eastAsia="Calibri" w:cs="Calibri"/>
          <w:b/>
          <w:bCs/>
          <w:i/>
          <w:i/>
          <w:iCs/>
          <w:color w:val="auto"/>
          <w:sz w:val="28"/>
          <w:szCs w:val="28"/>
        </w:rPr>
      </w:pPr>
      <w:r>
        <w:rPr>
          <w:rStyle w:val="SourceText"/>
          <w:rFonts w:ascii="Calibri" w:hAnsi="Calibri"/>
          <w:b w:val="false"/>
          <w:bCs w:val="false"/>
          <w:i/>
          <w:iCs/>
          <w:color w:val="auto"/>
          <w:sz w:val="22"/>
          <w:szCs w:val="22"/>
        </w:rPr>
        <w:t xml:space="preserve">  </w:t>
      </w:r>
      <w:r>
        <w:rPr>
          <w:rStyle w:val="SourceText"/>
          <w:rFonts w:ascii="Calibri" w:hAnsi="Calibri"/>
          <w:b w:val="false"/>
          <w:bCs w:val="false"/>
          <w:i/>
          <w:iCs/>
          <w:color w:val="auto"/>
          <w:sz w:val="22"/>
          <w:szCs w:val="22"/>
        </w:rPr>
        <w:t>--version-id v1 \</w:t>
      </w:r>
    </w:p>
    <w:p>
      <w:pPr>
        <w:pStyle w:val="PreformattedText"/>
        <w:bidi w:val="0"/>
        <w:spacing w:before="0" w:after="120"/>
        <w:rPr>
          <w:rFonts w:ascii="Calibri" w:hAnsi="Calibri" w:eastAsia="Calibri" w:cs="Calibri"/>
          <w:b/>
          <w:bCs/>
          <w:i/>
          <w:i/>
          <w:iCs/>
          <w:color w:val="auto"/>
          <w:sz w:val="28"/>
          <w:szCs w:val="28"/>
        </w:rPr>
      </w:pPr>
      <w:r>
        <w:rPr>
          <w:rStyle w:val="SourceText"/>
          <w:rFonts w:ascii="Calibri" w:hAnsi="Calibri"/>
          <w:b w:val="false"/>
          <w:bCs w:val="false"/>
          <w:i/>
          <w:iCs/>
          <w:color w:val="auto"/>
          <w:sz w:val="22"/>
          <w:szCs w:val="22"/>
        </w:rPr>
        <w:t xml:space="preserve">  </w:t>
      </w:r>
      <w:r>
        <w:rPr>
          <w:rStyle w:val="SourceText"/>
          <w:rFonts w:ascii="Calibri" w:hAnsi="Calibri"/>
          <w:b w:val="false"/>
          <w:bCs w:val="false"/>
          <w:i/>
          <w:iCs/>
          <w:color w:val="auto"/>
          <w:sz w:val="22"/>
          <w:szCs w:val="22"/>
        </w:rPr>
        <w:t>--query 'PolicyVersion.Document' \</w:t>
      </w:r>
    </w:p>
    <w:p>
      <w:pPr>
        <w:pStyle w:val="PreformattedText"/>
        <w:bidi w:val="0"/>
        <w:spacing w:before="0" w:after="120"/>
        <w:rPr>
          <w:rFonts w:ascii="Calibri" w:hAnsi="Calibri" w:eastAsia="Calibri" w:cs="Calibri"/>
          <w:b/>
          <w:bCs/>
          <w:i/>
          <w:i/>
          <w:iCs/>
          <w:color w:val="auto"/>
          <w:sz w:val="28"/>
          <w:szCs w:val="28"/>
        </w:rPr>
      </w:pPr>
      <w:r>
        <w:rPr>
          <w:rStyle w:val="SourceText"/>
          <w:rFonts w:ascii="Calibri" w:hAnsi="Calibri"/>
          <w:b w:val="false"/>
          <w:bCs w:val="false"/>
          <w:i/>
          <w:iCs/>
          <w:color w:val="auto"/>
          <w:sz w:val="22"/>
          <w:szCs w:val="22"/>
        </w:rPr>
        <w:t xml:space="preserve">  </w:t>
      </w:r>
      <w:r>
        <w:rPr>
          <w:rStyle w:val="SourceText"/>
          <w:rFonts w:ascii="Calibri" w:hAnsi="Calibri"/>
          <w:b w:val="false"/>
          <w:bCs w:val="false"/>
          <w:i/>
          <w:iCs/>
          <w:color w:val="auto"/>
          <w:sz w:val="22"/>
          <w:szCs w:val="22"/>
        </w:rPr>
        <w:t>--output json --no-cli-pager</w:t>
      </w:r>
    </w:p>
    <w:p>
      <w:pPr>
        <w:pStyle w:val="BodyText"/>
        <w:bidi w:val="0"/>
        <w:spacing w:lineRule="auto" w:line="259" w:before="0" w:after="120"/>
        <w:ind w:hanging="0" w:left="0" w:right="0"/>
        <w:rPr>
          <w:b/>
          <w:bCs/>
          <w:i/>
          <w:i/>
          <w:iCs/>
          <w:color w:val="auto"/>
          <w:sz w:val="28"/>
          <w:szCs w:val="28"/>
        </w:rPr>
      </w:pPr>
      <w:r>
        <w:rPr>
          <w:b w:val="false"/>
          <w:bCs w:val="false"/>
          <w:i/>
          <w:iCs/>
          <w:color w:val="auto"/>
          <w:sz w:val="22"/>
          <w:szCs w:val="22"/>
        </w:rPr>
        <w:t xml:space="preserve">Kerrigan’s policy allowed role-passing, instance-profile modification, and EC2 actions on </w:t>
      </w:r>
      <w:r>
        <w:rPr>
          <w:rStyle w:val="SourceText"/>
          <w:b w:val="false"/>
          <w:bCs w:val="false"/>
          <w:i/>
          <w:iCs/>
          <w:color w:val="auto"/>
          <w:sz w:val="22"/>
          <w:szCs w:val="22"/>
        </w:rPr>
        <w:t>"Resource": "*"</w:t>
      </w:r>
      <w:r>
        <w:rPr>
          <w:b w:val="false"/>
          <w:bCs w:val="false"/>
          <w:i/>
          <w:iCs/>
          <w:color w:val="auto"/>
          <w:sz w:val="22"/>
          <w:szCs w:val="22"/>
        </w:rPr>
        <w:t>, without conditions.</w:t>
      </w:r>
    </w:p>
    <w:p>
      <w:pPr>
        <w:pStyle w:val="BodyText"/>
        <w:spacing w:lineRule="auto" w:line="259" w:before="0" w:after="120"/>
        <w:rPr>
          <w:b/>
          <w:bCs/>
          <w:i/>
          <w:i/>
          <w:iCs/>
          <w:color w:val="auto"/>
          <w:sz w:val="28"/>
          <w:szCs w:val="28"/>
        </w:rPr>
      </w:pPr>
      <w:r>
        <w:rPr>
          <w:rStyle w:val="Emphasis"/>
          <w:b w:val="false"/>
          <w:bCs w:val="false"/>
          <w:i/>
          <w:iCs/>
          <w:color w:val="auto"/>
          <w:sz w:val="22"/>
          <w:szCs w:val="22"/>
        </w:rPr>
        <w:t>Figure 3: Kerrigan’s policy showing broad IAM and EC2 permissions.</w:t>
      </w:r>
    </w:p>
    <w:p>
      <w:pPr>
        <w:pStyle w:val="BodyText"/>
        <w:spacing w:lineRule="auto" w:line="259" w:before="0" w:after="120"/>
        <w:rPr>
          <w:b/>
          <w:bCs/>
          <w:i/>
          <w:i/>
          <w:iCs/>
          <w:color w:val="auto"/>
          <w:sz w:val="28"/>
          <w:szCs w:val="28"/>
        </w:rPr>
      </w:pPr>
      <w:r>
        <w:rPr>
          <w:rStyle w:val="Strong"/>
          <w:b w:val="false"/>
          <w:bCs w:val="false"/>
          <w:i/>
          <w:iCs/>
          <w:color w:val="auto"/>
          <w:sz w:val="22"/>
          <w:szCs w:val="22"/>
        </w:rPr>
        <w:t>4.Then, I inspected both scenario roles’ trust relationships:</w:t>
      </w:r>
    </w:p>
    <w:p>
      <w:pPr>
        <w:pStyle w:val="PreformattedText"/>
        <w:bidi w:val="0"/>
        <w:spacing w:before="0" w:after="120"/>
        <w:ind w:hanging="0" w:left="0" w:right="0"/>
        <w:rPr>
          <w:rFonts w:ascii="Calibri" w:hAnsi="Calibri" w:eastAsia="Calibri" w:cs="Calibri"/>
          <w:b/>
          <w:bCs/>
          <w:i/>
          <w:i/>
          <w:iCs/>
          <w:color w:val="auto"/>
          <w:sz w:val="28"/>
          <w:szCs w:val="28"/>
        </w:rPr>
      </w:pPr>
      <w:r>
        <w:rPr>
          <w:rStyle w:val="SourceText"/>
          <w:rFonts w:ascii="Calibri" w:hAnsi="Calibri"/>
          <w:b w:val="false"/>
          <w:bCs w:val="false"/>
          <w:i/>
          <w:iCs/>
          <w:color w:val="auto"/>
          <w:sz w:val="22"/>
          <w:szCs w:val="22"/>
        </w:rPr>
        <w:t>aws iam get-role \</w:t>
      </w:r>
    </w:p>
    <w:p>
      <w:pPr>
        <w:pStyle w:val="PreformattedText"/>
        <w:bidi w:val="0"/>
        <w:spacing w:before="0" w:after="120"/>
        <w:rPr>
          <w:rFonts w:ascii="Calibri" w:hAnsi="Calibri" w:eastAsia="Calibri" w:cs="Calibri"/>
          <w:b/>
          <w:bCs/>
          <w:i/>
          <w:i/>
          <w:iCs/>
          <w:color w:val="auto"/>
          <w:sz w:val="28"/>
          <w:szCs w:val="28"/>
        </w:rPr>
      </w:pPr>
      <w:r>
        <w:rPr>
          <w:rStyle w:val="SourceText"/>
          <w:rFonts w:ascii="Calibri" w:hAnsi="Calibri"/>
          <w:b w:val="false"/>
          <w:bCs w:val="false"/>
          <w:i/>
          <w:iCs/>
          <w:color w:val="auto"/>
          <w:sz w:val="22"/>
          <w:szCs w:val="22"/>
        </w:rPr>
        <w:t xml:space="preserve">  </w:t>
      </w:r>
      <w:r>
        <w:rPr>
          <w:rStyle w:val="SourceText"/>
          <w:rFonts w:ascii="Calibri" w:hAnsi="Calibri"/>
          <w:b w:val="false"/>
          <w:bCs w:val="false"/>
          <w:i/>
          <w:iCs/>
          <w:color w:val="auto"/>
          <w:sz w:val="22"/>
          <w:szCs w:val="22"/>
        </w:rPr>
        <w:t>--role-name cg-ec2-meek-role-cgidj957m3fp3j \</w:t>
      </w:r>
    </w:p>
    <w:p>
      <w:pPr>
        <w:pStyle w:val="PreformattedText"/>
        <w:bidi w:val="0"/>
        <w:spacing w:before="0" w:after="120"/>
        <w:rPr>
          <w:rFonts w:ascii="Calibri" w:hAnsi="Calibri" w:eastAsia="Calibri" w:cs="Calibri"/>
          <w:b/>
          <w:bCs/>
          <w:i/>
          <w:i/>
          <w:iCs/>
          <w:color w:val="auto"/>
          <w:sz w:val="28"/>
          <w:szCs w:val="28"/>
        </w:rPr>
      </w:pPr>
      <w:r>
        <w:rPr>
          <w:rStyle w:val="SourceText"/>
          <w:rFonts w:ascii="Calibri" w:hAnsi="Calibri"/>
          <w:b w:val="false"/>
          <w:bCs w:val="false"/>
          <w:i/>
          <w:iCs/>
          <w:color w:val="auto"/>
          <w:sz w:val="22"/>
          <w:szCs w:val="22"/>
        </w:rPr>
        <w:t xml:space="preserve">  </w:t>
      </w:r>
      <w:r>
        <w:rPr>
          <w:rStyle w:val="SourceText"/>
          <w:rFonts w:ascii="Calibri" w:hAnsi="Calibri"/>
          <w:b w:val="false"/>
          <w:bCs w:val="false"/>
          <w:i/>
          <w:iCs/>
          <w:color w:val="auto"/>
          <w:sz w:val="22"/>
          <w:szCs w:val="22"/>
        </w:rPr>
        <w:t>--query 'Role.AssumeRolePolicyDocument'</w:t>
      </w:r>
    </w:p>
    <w:p>
      <w:pPr>
        <w:pStyle w:val="PreformattedText"/>
        <w:bidi w:val="0"/>
        <w:spacing w:before="0" w:after="120"/>
        <w:rPr>
          <w:rFonts w:ascii="Calibri" w:hAnsi="Calibri" w:eastAsia="Calibri" w:cs="Calibri"/>
          <w:b w:val="false"/>
          <w:bCs w:val="false"/>
          <w:i/>
          <w:i/>
          <w:iCs/>
          <w:color w:val="auto"/>
          <w:sz w:val="22"/>
          <w:szCs w:val="22"/>
        </w:rPr>
      </w:pPr>
      <w:r>
        <w:rPr>
          <w:rFonts w:eastAsia="Calibri" w:cs="Calibri" w:ascii="Calibri" w:hAnsi="Calibri"/>
          <w:b w:val="false"/>
          <w:bCs w:val="false"/>
          <w:i/>
          <w:iCs/>
          <w:color w:val="auto"/>
          <w:sz w:val="22"/>
          <w:szCs w:val="22"/>
        </w:rPr>
      </w:r>
    </w:p>
    <w:p>
      <w:pPr>
        <w:pStyle w:val="PreformattedText"/>
        <w:bidi w:val="0"/>
        <w:spacing w:before="0" w:after="120"/>
        <w:rPr>
          <w:rFonts w:ascii="Calibri" w:hAnsi="Calibri" w:eastAsia="Calibri" w:cs="Calibri"/>
          <w:b/>
          <w:bCs/>
          <w:i/>
          <w:i/>
          <w:iCs/>
          <w:color w:val="auto"/>
          <w:sz w:val="28"/>
          <w:szCs w:val="28"/>
        </w:rPr>
      </w:pPr>
      <w:r>
        <w:rPr>
          <w:rStyle w:val="SourceText"/>
          <w:rFonts w:ascii="Calibri" w:hAnsi="Calibri"/>
          <w:b w:val="false"/>
          <w:bCs w:val="false"/>
          <w:i/>
          <w:iCs/>
          <w:color w:val="auto"/>
          <w:sz w:val="22"/>
          <w:szCs w:val="22"/>
        </w:rPr>
        <w:t>aws iam get-role \</w:t>
      </w:r>
    </w:p>
    <w:p>
      <w:pPr>
        <w:pStyle w:val="PreformattedText"/>
        <w:bidi w:val="0"/>
        <w:spacing w:before="0" w:after="120"/>
        <w:rPr>
          <w:rFonts w:ascii="Calibri" w:hAnsi="Calibri" w:eastAsia="Calibri" w:cs="Calibri"/>
          <w:b/>
          <w:bCs/>
          <w:i/>
          <w:i/>
          <w:iCs/>
          <w:color w:val="auto"/>
          <w:sz w:val="28"/>
          <w:szCs w:val="28"/>
        </w:rPr>
      </w:pPr>
      <w:r>
        <w:rPr>
          <w:rStyle w:val="SourceText"/>
          <w:rFonts w:ascii="Calibri" w:hAnsi="Calibri"/>
          <w:b w:val="false"/>
          <w:bCs w:val="false"/>
          <w:i/>
          <w:iCs/>
          <w:color w:val="auto"/>
          <w:sz w:val="22"/>
          <w:szCs w:val="22"/>
        </w:rPr>
        <w:t xml:space="preserve">  </w:t>
      </w:r>
      <w:r>
        <w:rPr>
          <w:rStyle w:val="SourceText"/>
          <w:rFonts w:ascii="Calibri" w:hAnsi="Calibri"/>
          <w:b w:val="false"/>
          <w:bCs w:val="false"/>
          <w:i/>
          <w:iCs/>
          <w:color w:val="auto"/>
          <w:sz w:val="22"/>
          <w:szCs w:val="22"/>
        </w:rPr>
        <w:t>--role-name cg-ec2-mighty-role-cgidj957m3fp3j \</w:t>
      </w:r>
    </w:p>
    <w:p>
      <w:pPr>
        <w:pStyle w:val="PreformattedText"/>
        <w:bidi w:val="0"/>
        <w:spacing w:before="0" w:after="120"/>
        <w:rPr>
          <w:rFonts w:ascii="Calibri" w:hAnsi="Calibri" w:eastAsia="Calibri" w:cs="Calibri"/>
          <w:b/>
          <w:bCs/>
          <w:i/>
          <w:i/>
          <w:iCs/>
          <w:color w:val="auto"/>
          <w:sz w:val="28"/>
          <w:szCs w:val="28"/>
        </w:rPr>
      </w:pPr>
      <w:r>
        <w:rPr>
          <w:rStyle w:val="SourceText"/>
          <w:rFonts w:ascii="Calibri" w:hAnsi="Calibri"/>
          <w:b w:val="false"/>
          <w:bCs w:val="false"/>
          <w:i/>
          <w:iCs/>
          <w:color w:val="auto"/>
          <w:sz w:val="22"/>
          <w:szCs w:val="22"/>
        </w:rPr>
        <w:t xml:space="preserve">  </w:t>
      </w:r>
      <w:r>
        <w:rPr>
          <w:rStyle w:val="SourceText"/>
          <w:rFonts w:ascii="Calibri" w:hAnsi="Calibri"/>
          <w:b w:val="false"/>
          <w:bCs w:val="false"/>
          <w:i/>
          <w:iCs/>
          <w:color w:val="auto"/>
          <w:sz w:val="22"/>
          <w:szCs w:val="22"/>
        </w:rPr>
        <w:t>--query 'Role.AssumeRolePolicyDocument'</w:t>
      </w:r>
    </w:p>
    <w:p>
      <w:pPr>
        <w:pStyle w:val="BodyText"/>
        <w:spacing w:lineRule="auto" w:line="259" w:before="0" w:after="120"/>
        <w:rPr>
          <w:b w:val="false"/>
          <w:bCs w:val="false"/>
          <w:i/>
          <w:i/>
          <w:iCs/>
          <w:color w:val="auto"/>
          <w:sz w:val="22"/>
          <w:szCs w:val="22"/>
        </w:rPr>
      </w:pPr>
      <w:r>
        <w:rPr>
          <w:b w:val="false"/>
          <w:bCs w:val="false"/>
          <w:i/>
          <w:iCs/>
          <w:color w:val="auto"/>
          <w:sz w:val="22"/>
          <w:szCs w:val="22"/>
        </w:rPr>
        <w:t>Both trusted EC2 through the following statement:</w:t>
      </w:r>
    </w:p>
    <w:p>
      <w:pPr>
        <w:pStyle w:val="PreformattedText"/>
        <w:bidi w:val="0"/>
        <w:spacing w:before="0" w:after="120"/>
        <w:ind w:hanging="0" w:left="0" w:right="0"/>
        <w:rPr>
          <w:rFonts w:ascii="Calibri" w:hAnsi="Calibri" w:eastAsia="Calibri" w:cs="Calibri"/>
          <w:b/>
          <w:bCs/>
          <w:i/>
          <w:i/>
          <w:iCs/>
          <w:color w:val="auto"/>
          <w:sz w:val="28"/>
          <w:szCs w:val="28"/>
        </w:rPr>
      </w:pPr>
      <w:r>
        <w:rPr>
          <w:rStyle w:val="SourceText"/>
          <w:rFonts w:ascii="Calibri" w:hAnsi="Calibri"/>
          <w:b w:val="false"/>
          <w:bCs w:val="false"/>
          <w:i/>
          <w:iCs/>
          <w:color w:val="auto"/>
          <w:sz w:val="22"/>
          <w:szCs w:val="22"/>
        </w:rPr>
        <w:t>{</w:t>
      </w:r>
    </w:p>
    <w:p>
      <w:pPr>
        <w:pStyle w:val="PreformattedText"/>
        <w:bidi w:val="0"/>
        <w:spacing w:before="0" w:after="120"/>
        <w:rPr>
          <w:rFonts w:ascii="Calibri" w:hAnsi="Calibri" w:eastAsia="Calibri" w:cs="Calibri"/>
          <w:b/>
          <w:bCs/>
          <w:i/>
          <w:i/>
          <w:iCs/>
          <w:color w:val="auto"/>
          <w:sz w:val="28"/>
          <w:szCs w:val="28"/>
        </w:rPr>
      </w:pPr>
      <w:r>
        <w:rPr>
          <w:rStyle w:val="SourceText"/>
          <w:rFonts w:ascii="Calibri" w:hAnsi="Calibri"/>
          <w:b w:val="false"/>
          <w:bCs w:val="false"/>
          <w:i/>
          <w:iCs/>
          <w:color w:val="auto"/>
          <w:sz w:val="22"/>
          <w:szCs w:val="22"/>
        </w:rPr>
        <w:t xml:space="preserve">  </w:t>
      </w:r>
      <w:r>
        <w:rPr>
          <w:rStyle w:val="SourceText"/>
          <w:rFonts w:ascii="Calibri" w:hAnsi="Calibri"/>
          <w:b w:val="false"/>
          <w:bCs w:val="false"/>
          <w:i/>
          <w:iCs/>
          <w:color w:val="auto"/>
          <w:sz w:val="22"/>
          <w:szCs w:val="22"/>
        </w:rPr>
        <w:t>"Effect": "Allow",</w:t>
      </w:r>
    </w:p>
    <w:p>
      <w:pPr>
        <w:pStyle w:val="PreformattedText"/>
        <w:bidi w:val="0"/>
        <w:spacing w:before="0" w:after="120"/>
        <w:rPr>
          <w:rFonts w:ascii="Calibri" w:hAnsi="Calibri" w:eastAsia="Calibri" w:cs="Calibri"/>
          <w:b/>
          <w:bCs/>
          <w:i/>
          <w:i/>
          <w:iCs/>
          <w:color w:val="auto"/>
          <w:sz w:val="28"/>
          <w:szCs w:val="28"/>
        </w:rPr>
      </w:pPr>
      <w:r>
        <w:rPr>
          <w:rStyle w:val="SourceText"/>
          <w:rFonts w:ascii="Calibri" w:hAnsi="Calibri"/>
          <w:b w:val="false"/>
          <w:bCs w:val="false"/>
          <w:i/>
          <w:iCs/>
          <w:color w:val="auto"/>
          <w:sz w:val="22"/>
          <w:szCs w:val="22"/>
        </w:rPr>
        <w:t xml:space="preserve">  </w:t>
      </w:r>
      <w:r>
        <w:rPr>
          <w:rStyle w:val="SourceText"/>
          <w:rFonts w:ascii="Calibri" w:hAnsi="Calibri"/>
          <w:b w:val="false"/>
          <w:bCs w:val="false"/>
          <w:i/>
          <w:iCs/>
          <w:color w:val="auto"/>
          <w:sz w:val="22"/>
          <w:szCs w:val="22"/>
        </w:rPr>
        <w:t>"Principal": {"Service": "ec2.amazonaws.com"},</w:t>
      </w:r>
    </w:p>
    <w:p>
      <w:pPr>
        <w:pStyle w:val="PreformattedText"/>
        <w:bidi w:val="0"/>
        <w:spacing w:before="0" w:after="120"/>
        <w:rPr>
          <w:rFonts w:ascii="Calibri" w:hAnsi="Calibri" w:eastAsia="Calibri" w:cs="Calibri"/>
          <w:b/>
          <w:bCs/>
          <w:i/>
          <w:i/>
          <w:iCs/>
          <w:color w:val="auto"/>
          <w:sz w:val="28"/>
          <w:szCs w:val="28"/>
        </w:rPr>
      </w:pPr>
      <w:r>
        <w:rPr>
          <w:rStyle w:val="SourceText"/>
          <w:rFonts w:ascii="Calibri" w:hAnsi="Calibri"/>
          <w:b w:val="false"/>
          <w:bCs w:val="false"/>
          <w:i/>
          <w:iCs/>
          <w:color w:val="auto"/>
          <w:sz w:val="22"/>
          <w:szCs w:val="22"/>
        </w:rPr>
        <w:t xml:space="preserve">  </w:t>
      </w:r>
      <w:r>
        <w:rPr>
          <w:rStyle w:val="SourceText"/>
          <w:rFonts w:ascii="Calibri" w:hAnsi="Calibri"/>
          <w:b w:val="false"/>
          <w:bCs w:val="false"/>
          <w:i/>
          <w:iCs/>
          <w:color w:val="auto"/>
          <w:sz w:val="22"/>
          <w:szCs w:val="22"/>
        </w:rPr>
        <w:t>"Action": "sts:AssumeRole"</w:t>
      </w:r>
    </w:p>
    <w:p>
      <w:pPr>
        <w:pStyle w:val="BodyText"/>
        <w:spacing w:lineRule="auto" w:line="259" w:before="0" w:after="120"/>
        <w:rPr>
          <w:b/>
          <w:bCs/>
          <w:i/>
          <w:i/>
          <w:iCs/>
          <w:color w:val="auto"/>
          <w:sz w:val="28"/>
          <w:szCs w:val="28"/>
        </w:rPr>
      </w:pPr>
      <w:r>
        <w:rPr>
          <w:rStyle w:val="Emphasis"/>
          <w:b w:val="false"/>
          <w:bCs w:val="false"/>
          <w:i/>
          <w:iCs/>
          <w:color w:val="auto"/>
          <w:sz w:val="22"/>
          <w:szCs w:val="22"/>
        </w:rPr>
        <w:t>.</w:t>
      </w:r>
    </w:p>
    <w:p>
      <w:pPr>
        <w:pStyle w:val="BodyText"/>
        <w:bidi w:val="0"/>
        <w:spacing w:lineRule="auto" w:line="259" w:before="0" w:after="120"/>
        <w:ind w:hanging="0" w:left="0" w:right="0"/>
        <w:rPr>
          <w:b/>
          <w:bCs/>
          <w:i/>
          <w:i/>
          <w:iCs/>
          <w:color w:val="auto"/>
          <w:sz w:val="28"/>
          <w:szCs w:val="28"/>
        </w:rPr>
      </w:pPr>
      <w:r>
        <w:rPr>
          <w:rStyle w:val="Strong"/>
          <w:b w:val="false"/>
          <w:bCs w:val="false"/>
          <w:i/>
          <w:iCs/>
          <w:color w:val="auto"/>
          <w:sz w:val="22"/>
          <w:szCs w:val="22"/>
        </w:rPr>
        <w:t>5. Then,I compared role permissions and checked boundaries.</w:t>
      </w:r>
      <w:r>
        <w:rPr>
          <w:b w:val="false"/>
          <w:bCs w:val="false"/>
          <w:i/>
          <w:iCs/>
          <w:color w:val="auto"/>
          <w:sz w:val="22"/>
          <w:szCs w:val="22"/>
        </w:rPr>
        <w:t xml:space="preserve"> Used </w:t>
      </w:r>
      <w:r>
        <w:rPr>
          <w:rStyle w:val="SourceText"/>
          <w:b w:val="false"/>
          <w:bCs w:val="false"/>
          <w:i/>
          <w:iCs/>
          <w:color w:val="auto"/>
          <w:sz w:val="22"/>
          <w:szCs w:val="22"/>
        </w:rPr>
        <w:t>list-attached-role-policies</w:t>
      </w:r>
      <w:r>
        <w:rPr>
          <w:b w:val="false"/>
          <w:bCs w:val="false"/>
          <w:i/>
          <w:iCs/>
          <w:color w:val="auto"/>
          <w:sz w:val="22"/>
          <w:szCs w:val="22"/>
        </w:rPr>
        <w:t xml:space="preserve">, </w:t>
      </w:r>
      <w:r>
        <w:rPr>
          <w:rStyle w:val="SourceText"/>
          <w:b w:val="false"/>
          <w:bCs w:val="false"/>
          <w:i/>
          <w:iCs/>
          <w:color w:val="auto"/>
          <w:sz w:val="22"/>
          <w:szCs w:val="22"/>
        </w:rPr>
        <w:t>list-role-policies</w:t>
      </w:r>
      <w:r>
        <w:rPr>
          <w:b w:val="false"/>
          <w:bCs w:val="false"/>
          <w:i/>
          <w:iCs/>
          <w:color w:val="auto"/>
          <w:sz w:val="22"/>
          <w:szCs w:val="22"/>
        </w:rPr>
        <w:t xml:space="preserve">, and </w:t>
      </w:r>
      <w:r>
        <w:rPr>
          <w:rStyle w:val="SourceText"/>
          <w:b w:val="false"/>
          <w:bCs w:val="false"/>
          <w:i/>
          <w:iCs/>
          <w:color w:val="auto"/>
          <w:sz w:val="22"/>
          <w:szCs w:val="22"/>
        </w:rPr>
        <w:t>get-policy-version</w:t>
      </w:r>
      <w:r>
        <w:rPr>
          <w:b w:val="false"/>
          <w:bCs w:val="false"/>
          <w:i/>
          <w:iCs/>
          <w:color w:val="auto"/>
          <w:sz w:val="22"/>
          <w:szCs w:val="22"/>
        </w:rPr>
        <w:t xml:space="preserve"> for both roles. Meek explicitly denied all actions, while Mighty allowed all actions on all resources. Neither role had inline policies, and boundary checks returned </w:t>
      </w:r>
      <w:r>
        <w:rPr>
          <w:rStyle w:val="SourceText"/>
          <w:b w:val="false"/>
          <w:bCs w:val="false"/>
          <w:i/>
          <w:iCs/>
          <w:color w:val="auto"/>
          <w:sz w:val="22"/>
          <w:szCs w:val="22"/>
        </w:rPr>
        <w:t>null</w:t>
      </w:r>
      <w:r>
        <w:rPr>
          <w:b w:val="false"/>
          <w:bCs w:val="false"/>
          <w:i/>
          <w:iCs/>
          <w:color w:val="auto"/>
          <w:sz w:val="22"/>
          <w:szCs w:val="22"/>
        </w:rPr>
        <w:t xml:space="preserve"> for Kerrigan and both roles.</w:t>
      </w:r>
    </w:p>
    <w:p>
      <w:pPr>
        <w:pStyle w:val="BodyText"/>
        <w:spacing w:lineRule="auto" w:line="259" w:before="0" w:after="120"/>
        <w:rPr>
          <w:b/>
          <w:bCs/>
          <w:i/>
          <w:i/>
          <w:iCs/>
          <w:color w:val="auto"/>
          <w:sz w:val="28"/>
          <w:szCs w:val="28"/>
        </w:rPr>
      </w:pPr>
      <w:r>
        <w:rPr>
          <w:rStyle w:val="Emphasis"/>
          <w:b w:val="false"/>
          <w:bCs w:val="false"/>
          <w:i/>
          <w:iCs/>
          <w:color w:val="auto"/>
          <w:sz w:val="22"/>
          <w:szCs w:val="22"/>
        </w:rPr>
        <w:t>Figure 5: Meek’s wildcard Deny policy.</w:t>
      </w:r>
      <w:r>
        <w:rPr>
          <w:b w:val="false"/>
          <w:bCs w:val="false"/>
          <w:i/>
          <w:iCs/>
          <w:color w:val="auto"/>
          <w:sz w:val="22"/>
          <w:szCs w:val="22"/>
        </w:rPr>
        <w:br/>
      </w:r>
      <w:r>
        <w:rPr>
          <w:rStyle w:val="Emphasis"/>
          <w:b w:val="false"/>
          <w:bCs w:val="false"/>
          <w:i/>
          <w:iCs/>
          <w:color w:val="auto"/>
          <w:sz w:val="22"/>
          <w:szCs w:val="22"/>
        </w:rPr>
        <w:t>Figure 6: Mighty’s wildcard Allow policy.</w:t>
      </w:r>
    </w:p>
    <w:p>
      <w:pPr>
        <w:pStyle w:val="BodyText"/>
        <w:bidi w:val="0"/>
        <w:spacing w:lineRule="auto" w:line="259" w:before="0" w:after="120"/>
        <w:ind w:hanging="0" w:left="0" w:right="0"/>
        <w:rPr>
          <w:b/>
          <w:bCs/>
          <w:i/>
          <w:i/>
          <w:iCs/>
          <w:color w:val="auto"/>
          <w:sz w:val="28"/>
          <w:szCs w:val="28"/>
        </w:rPr>
      </w:pPr>
      <w:r>
        <w:rPr>
          <w:rStyle w:val="Strong"/>
          <w:b w:val="false"/>
          <w:bCs w:val="false"/>
          <w:i/>
          <w:iCs/>
          <w:color w:val="auto"/>
          <w:sz w:val="22"/>
          <w:szCs w:val="22"/>
        </w:rPr>
        <w:t>6. Analysed exported policies with Policy Sentry 0.15.2.</w:t>
      </w:r>
      <w:r>
        <w:rPr>
          <w:b w:val="false"/>
          <w:bCs w:val="false"/>
          <w:i/>
          <w:iCs/>
          <w:color w:val="auto"/>
          <w:sz w:val="22"/>
          <w:szCs w:val="22"/>
        </w:rPr>
        <w:t xml:space="preserve"> Its CLI lacked the task brief’s </w:t>
      </w:r>
      <w:r>
        <w:rPr>
          <w:rStyle w:val="SourceText"/>
          <w:b w:val="false"/>
          <w:bCs w:val="false"/>
          <w:i/>
          <w:iCs/>
          <w:color w:val="auto"/>
          <w:sz w:val="22"/>
          <w:szCs w:val="22"/>
        </w:rPr>
        <w:t>analyze</w:t>
      </w:r>
      <w:r>
        <w:rPr>
          <w:b w:val="false"/>
          <w:bCs w:val="false"/>
          <w:i/>
          <w:iCs/>
          <w:color w:val="auto"/>
          <w:sz w:val="22"/>
          <w:szCs w:val="22"/>
        </w:rPr>
        <w:t xml:space="preserve"> command, so I used its Python API:</w:t>
      </w:r>
    </w:p>
    <w:p>
      <w:pPr>
        <w:pStyle w:val="PreformattedText"/>
        <w:bidi w:val="0"/>
        <w:spacing w:before="0" w:after="120"/>
        <w:ind w:hanging="0" w:left="0" w:right="0"/>
        <w:rPr>
          <w:rFonts w:ascii="Calibri" w:hAnsi="Calibri" w:eastAsia="Calibri" w:cs="Calibri"/>
          <w:b/>
          <w:bCs/>
          <w:i/>
          <w:i/>
          <w:iCs/>
          <w:color w:val="auto"/>
          <w:sz w:val="28"/>
          <w:szCs w:val="28"/>
        </w:rPr>
      </w:pPr>
      <w:r>
        <w:rPr>
          <w:rStyle w:val="SourceText"/>
          <w:rFonts w:ascii="Calibri" w:hAnsi="Calibri"/>
          <w:b w:val="false"/>
          <w:bCs w:val="false"/>
          <w:i/>
          <w:iCs/>
          <w:color w:val="auto"/>
          <w:sz w:val="22"/>
          <w:szCs w:val="22"/>
        </w:rPr>
        <w:t>analyze_by_access_level(policy, "Permissions management")</w:t>
      </w:r>
    </w:p>
    <w:p>
      <w:pPr>
        <w:pStyle w:val="BodyText"/>
        <w:spacing w:lineRule="auto" w:line="259" w:before="0" w:after="120"/>
        <w:rPr>
          <w:b w:val="false"/>
          <w:bCs w:val="false"/>
          <w:i/>
          <w:i/>
          <w:iCs/>
          <w:color w:val="auto"/>
          <w:sz w:val="22"/>
          <w:szCs w:val="22"/>
        </w:rPr>
      </w:pPr>
      <w:r>
        <w:rPr>
          <w:b w:val="false"/>
          <w:bCs w:val="false"/>
          <w:i/>
          <w:iCs/>
          <w:color w:val="auto"/>
          <w:sz w:val="22"/>
          <w:szCs w:val="22"/>
        </w:rPr>
        <w:t>The report analysed Allow statements only and identified three permissions-management actions in Kerrigan’s policy:</w:t>
      </w:r>
    </w:p>
    <w:p>
      <w:pPr>
        <w:pStyle w:val="PreformattedText"/>
        <w:bidi w:val="0"/>
        <w:spacing w:before="0" w:after="120"/>
        <w:ind w:hanging="0" w:left="0" w:right="0"/>
        <w:rPr>
          <w:rFonts w:ascii="Calibri" w:hAnsi="Calibri" w:eastAsia="Calibri" w:cs="Calibri"/>
          <w:b/>
          <w:bCs/>
          <w:i/>
          <w:i/>
          <w:iCs/>
          <w:color w:val="auto"/>
          <w:sz w:val="28"/>
          <w:szCs w:val="28"/>
        </w:rPr>
      </w:pPr>
      <w:r>
        <w:rPr>
          <w:rStyle w:val="SourceText"/>
          <w:rFonts w:ascii="Calibri" w:hAnsi="Calibri"/>
          <w:b w:val="false"/>
          <w:bCs w:val="false"/>
          <w:i/>
          <w:iCs/>
          <w:color w:val="auto"/>
          <w:sz w:val="22"/>
          <w:szCs w:val="22"/>
        </w:rPr>
        <w:t>iam:AddRoleToInstanceProfile</w:t>
      </w:r>
    </w:p>
    <w:p>
      <w:pPr>
        <w:pStyle w:val="PreformattedText"/>
        <w:bidi w:val="0"/>
        <w:spacing w:before="0" w:after="120"/>
        <w:rPr>
          <w:rFonts w:ascii="Calibri" w:hAnsi="Calibri" w:eastAsia="Calibri" w:cs="Calibri"/>
          <w:b/>
          <w:bCs/>
          <w:i/>
          <w:i/>
          <w:iCs/>
          <w:color w:val="auto"/>
          <w:sz w:val="28"/>
          <w:szCs w:val="28"/>
        </w:rPr>
      </w:pPr>
      <w:r>
        <w:rPr>
          <w:rStyle w:val="SourceText"/>
          <w:rFonts w:ascii="Calibri" w:hAnsi="Calibri"/>
          <w:b w:val="false"/>
          <w:bCs w:val="false"/>
          <w:i/>
          <w:iCs/>
          <w:color w:val="auto"/>
          <w:sz w:val="22"/>
          <w:szCs w:val="22"/>
        </w:rPr>
        <w:t>iam:PassRole</w:t>
      </w:r>
    </w:p>
    <w:p>
      <w:pPr>
        <w:pStyle w:val="PreformattedText"/>
        <w:bidi w:val="0"/>
        <w:spacing w:before="0" w:after="120"/>
        <w:rPr>
          <w:rFonts w:ascii="Calibri" w:hAnsi="Calibri" w:eastAsia="Calibri" w:cs="Calibri"/>
          <w:b/>
          <w:bCs/>
          <w:i/>
          <w:i/>
          <w:iCs/>
          <w:color w:val="auto"/>
          <w:sz w:val="28"/>
          <w:szCs w:val="28"/>
        </w:rPr>
      </w:pPr>
      <w:r>
        <w:rPr>
          <w:rStyle w:val="SourceText"/>
          <w:rFonts w:ascii="Calibri" w:hAnsi="Calibri"/>
          <w:b w:val="false"/>
          <w:bCs w:val="false"/>
          <w:i/>
          <w:iCs/>
          <w:color w:val="auto"/>
          <w:sz w:val="22"/>
          <w:szCs w:val="22"/>
        </w:rPr>
        <w:t>iam:RemoveRoleFromInstanceProfile</w:t>
      </w:r>
    </w:p>
    <w:p>
      <w:pPr>
        <w:pStyle w:val="BodyText"/>
        <w:bidi w:val="0"/>
        <w:spacing w:lineRule="auto" w:line="259" w:before="0" w:after="120"/>
        <w:ind w:hanging="0" w:left="0" w:right="0"/>
        <w:rPr>
          <w:b/>
          <w:bCs/>
          <w:i/>
          <w:i/>
          <w:iCs/>
          <w:color w:val="auto"/>
          <w:sz w:val="28"/>
          <w:szCs w:val="28"/>
        </w:rPr>
      </w:pPr>
      <w:r>
        <w:rPr>
          <w:b w:val="false"/>
          <w:bCs w:val="false"/>
          <w:i/>
          <w:iCs/>
          <w:color w:val="auto"/>
          <w:sz w:val="22"/>
          <w:szCs w:val="22"/>
        </w:rPr>
        <w:t xml:space="preserve">Results were saved in </w:t>
      </w:r>
      <w:r>
        <w:rPr>
          <w:rStyle w:val="SourceText"/>
          <w:b w:val="false"/>
          <w:bCs w:val="false"/>
          <w:i/>
          <w:iCs/>
          <w:color w:val="auto"/>
          <w:sz w:val="22"/>
          <w:szCs w:val="22"/>
        </w:rPr>
        <w:t>analysis.txt</w:t>
      </w:r>
      <w:r>
        <w:rPr>
          <w:b w:val="false"/>
          <w:bCs w:val="false"/>
          <w:i/>
          <w:iCs/>
          <w:color w:val="auto"/>
          <w:sz w:val="22"/>
          <w:szCs w:val="22"/>
        </w:rPr>
        <w:t>.</w:t>
      </w:r>
    </w:p>
    <w:p>
      <w:pPr>
        <w:pStyle w:val="BodyText"/>
        <w:spacing w:lineRule="auto" w:line="259" w:before="0" w:after="120"/>
        <w:rPr>
          <w:rStyle w:val="Emphasis"/>
          <w:b w:val="false"/>
          <w:bCs w:val="false"/>
          <w:i/>
          <w:i/>
          <w:iCs/>
          <w:sz w:val="22"/>
          <w:szCs w:val="22"/>
        </w:rPr>
      </w:pPr>
      <w:r>
        <w:rPr>
          <w:b w:val="false"/>
          <w:bCs w:val="false"/>
          <w:i/>
          <w:iCs/>
          <w:sz w:val="22"/>
          <w:szCs w:val="22"/>
        </w:rPr>
      </w:r>
    </w:p>
    <w:p>
      <w:pPr>
        <w:pStyle w:val="BodyText"/>
        <w:spacing w:lineRule="auto" w:line="259" w:before="0" w:after="120"/>
        <w:rPr>
          <w:b/>
          <w:bCs/>
          <w:i/>
          <w:i/>
          <w:iCs/>
          <w:color w:val="auto"/>
          <w:sz w:val="28"/>
          <w:szCs w:val="28"/>
        </w:rPr>
      </w:pPr>
      <w:r>
        <w:rPr>
          <w:rStyle w:val="Strong"/>
          <w:b w:val="false"/>
          <w:bCs w:val="false"/>
          <w:i/>
          <w:iCs/>
          <w:color w:val="auto"/>
          <w:sz w:val="22"/>
          <w:szCs w:val="22"/>
        </w:rPr>
        <w:t>7. Then I erified the role inventory using Steampipe v2.4.7:</w:t>
      </w:r>
    </w:p>
    <w:p>
      <w:pPr>
        <w:pStyle w:val="PreformattedText"/>
        <w:bidi w:val="0"/>
        <w:spacing w:before="0" w:after="120"/>
        <w:ind w:hanging="0" w:left="0" w:right="0"/>
        <w:rPr>
          <w:rFonts w:ascii="Calibri" w:hAnsi="Calibri" w:eastAsia="Calibri" w:cs="Calibri"/>
          <w:b/>
          <w:bCs/>
          <w:i/>
          <w:i/>
          <w:iCs/>
          <w:color w:val="auto"/>
          <w:sz w:val="28"/>
          <w:szCs w:val="28"/>
        </w:rPr>
      </w:pPr>
      <w:r>
        <w:rPr>
          <w:rStyle w:val="SourceText"/>
          <w:rFonts w:ascii="Calibri" w:hAnsi="Calibri"/>
          <w:b w:val="false"/>
          <w:bCs w:val="false"/>
          <w:i/>
          <w:iCs/>
          <w:color w:val="auto"/>
          <w:sz w:val="22"/>
          <w:szCs w:val="22"/>
        </w:rPr>
        <w:t>steampipe query "select name, arn from aws_iam_role;"</w:t>
      </w:r>
    </w:p>
    <w:p>
      <w:pPr>
        <w:pStyle w:val="PreformattedText"/>
        <w:bidi w:val="0"/>
        <w:spacing w:before="0" w:after="120"/>
        <w:ind w:hanging="0" w:left="0" w:right="0"/>
        <w:rPr>
          <w:rFonts w:ascii="Calibri" w:hAnsi="Calibri" w:eastAsia="Calibri" w:cs="Calibri"/>
          <w:b/>
          <w:bCs/>
          <w:i/>
          <w:i/>
          <w:iCs/>
          <w:color w:val="auto"/>
          <w:sz w:val="28"/>
          <w:szCs w:val="28"/>
        </w:rPr>
      </w:pPr>
      <w:r>
        <w:rPr>
          <w:rStyle w:val="SourceText"/>
          <w:rFonts w:ascii="Calibri" w:hAnsi="Calibri"/>
          <w:b w:val="false"/>
          <w:bCs w:val="false"/>
          <w:i/>
          <w:iCs/>
          <w:color w:val="auto"/>
          <w:sz w:val="22"/>
          <w:szCs w:val="22"/>
        </w:rPr>
        <w:t>steampipe query "select name, arn from aws_iam_role where name like '%cgidj957m3fp3j%';"</w:t>
      </w:r>
    </w:p>
    <w:p>
      <w:pPr>
        <w:pStyle w:val="BodyText"/>
        <w:spacing w:lineRule="auto" w:line="259" w:before="0" w:after="120"/>
        <w:rPr>
          <w:b w:val="false"/>
          <w:bCs w:val="false"/>
          <w:i/>
          <w:i/>
          <w:iCs/>
          <w:color w:val="auto"/>
          <w:sz w:val="22"/>
          <w:szCs w:val="22"/>
        </w:rPr>
      </w:pPr>
      <w:r>
        <w:rPr>
          <w:b w:val="false"/>
          <w:bCs w:val="false"/>
          <w:i/>
          <w:iCs/>
          <w:color w:val="auto"/>
          <w:sz w:val="22"/>
          <w:szCs w:val="22"/>
        </w:rPr>
        <w:t>The filtered query returned the Meek and Mighty roles, matching AWS CLI results.</w:t>
      </w:r>
    </w:p>
    <w:p>
      <w:pPr>
        <w:pStyle w:val="BodyText"/>
        <w:spacing w:lineRule="auto" w:line="259" w:before="0" w:after="120"/>
        <w:rPr>
          <w:b/>
          <w:bCs/>
          <w:i/>
          <w:i/>
          <w:iCs/>
          <w:color w:val="auto"/>
          <w:sz w:val="28"/>
          <w:szCs w:val="28"/>
        </w:rPr>
      </w:pPr>
      <w:r>
        <w:rPr>
          <w:rStyle w:val="Emphasis"/>
          <w:b w:val="false"/>
          <w:bCs w:val="false"/>
          <w:i/>
          <w:iCs/>
          <w:color w:val="auto"/>
          <w:sz w:val="22"/>
          <w:szCs w:val="22"/>
        </w:rPr>
        <w:t>Figure 8: Steampipe SQL output confirming both scenario roles.</w:t>
      </w:r>
    </w:p>
    <w:p>
      <w:pPr>
        <w:pStyle w:val="BodyText"/>
        <w:spacing w:lineRule="auto" w:line="259" w:before="0" w:after="120"/>
        <w:rPr>
          <w:b/>
          <w:bCs/>
          <w:i/>
          <w:i/>
          <w:iCs/>
          <w:color w:val="auto"/>
          <w:sz w:val="28"/>
          <w:szCs w:val="28"/>
        </w:rPr>
      </w:pPr>
      <w:r>
        <w:rPr>
          <w:b w:val="false"/>
          <w:bCs w:val="false"/>
          <w:i/>
          <w:iCs/>
          <w:color w:val="auto"/>
          <w:sz w:val="22"/>
          <w:szCs w:val="22"/>
        </w:rPr>
        <w:t xml:space="preserve">The analysis mapped a </w:t>
      </w:r>
      <w:r>
        <w:rPr>
          <w:rStyle w:val="Strong"/>
          <w:b w:val="false"/>
          <w:bCs w:val="false"/>
          <w:i/>
          <w:iCs/>
          <w:color w:val="auto"/>
          <w:sz w:val="22"/>
          <w:szCs w:val="22"/>
        </w:rPr>
        <w:t>potential privilege escalation path through EC2 instance profiles</w:t>
      </w:r>
      <w:r>
        <w:rPr>
          <w:b w:val="false"/>
          <w:bCs w:val="false"/>
          <w:i/>
          <w:iCs/>
          <w:color w:val="auto"/>
          <w:sz w:val="22"/>
          <w:szCs w:val="22"/>
        </w:rPr>
        <w:t>. No exploitation or IAM policy changes were performed during Phase C.</w:t>
      </w:r>
    </w:p>
    <w:p>
      <w:pPr>
        <w:pStyle w:val="Normal"/>
        <w:spacing w:before="0" w:after="120"/>
        <w:rPr>
          <w:color w:val="auto"/>
          <w:sz w:val="22"/>
          <w:szCs w:val="22"/>
        </w:rPr>
      </w:pPr>
      <w:r>
        <w:rPr>
          <w:color w:val="auto"/>
          <w:sz w:val="22"/>
          <w:szCs w:val="22"/>
        </w:rPr>
      </w:r>
    </w:p>
    <w:p>
      <w:pPr>
        <w:pStyle w:val="Heading3"/>
        <w:spacing w:before="0" w:after="120"/>
        <w:rPr>
          <w:color w:val="auto"/>
          <w:sz w:val="22"/>
          <w:szCs w:val="22"/>
        </w:rPr>
      </w:pPr>
      <w:r>
        <w:rPr>
          <w:rStyle w:val="Strong"/>
          <w:i/>
          <w:iCs/>
          <w:color w:val="auto"/>
          <w:sz w:val="22"/>
          <w:szCs w:val="22"/>
        </w:rPr>
        <w:t xml:space="preserve">Key Observations </w:t>
      </w:r>
    </w:p>
    <w:p>
      <w:pPr>
        <w:pStyle w:val="BodyText"/>
        <w:numPr>
          <w:ilvl w:val="0"/>
          <w:numId w:val="1"/>
        </w:numPr>
        <w:tabs>
          <w:tab w:val="clear" w:pos="720"/>
          <w:tab w:val="left" w:pos="0" w:leader="none"/>
        </w:tabs>
        <w:bidi w:val="0"/>
        <w:spacing w:lineRule="auto" w:line="259" w:before="0" w:after="120"/>
        <w:ind w:hanging="283" w:left="709" w:right="0"/>
        <w:rPr>
          <w:i/>
          <w:i/>
          <w:iCs/>
          <w:color w:val="auto"/>
          <w:sz w:val="22"/>
          <w:szCs w:val="22"/>
        </w:rPr>
      </w:pPr>
      <w:r>
        <w:rPr>
          <w:rStyle w:val="Strong"/>
          <w:i/>
          <w:iCs/>
          <w:color w:val="auto"/>
          <w:sz w:val="22"/>
          <w:szCs w:val="22"/>
        </w:rPr>
        <w:t>Kerrigan had broadly scoped permissions.</w:t>
      </w:r>
      <w:r>
        <w:rPr>
          <w:i/>
          <w:iCs/>
          <w:color w:val="auto"/>
          <w:sz w:val="22"/>
          <w:szCs w:val="22"/>
        </w:rPr>
        <w:t xml:space="preserve"> Its attached policy allowed </w:t>
      </w:r>
      <w:r>
        <w:rPr>
          <w:rStyle w:val="SourceText"/>
          <w:i/>
          <w:iCs/>
          <w:color w:val="auto"/>
          <w:sz w:val="22"/>
          <w:szCs w:val="22"/>
        </w:rPr>
        <w:t>iam:PassRole</w:t>
      </w:r>
      <w:r>
        <w:rPr>
          <w:i/>
          <w:iCs/>
          <w:color w:val="auto"/>
          <w:sz w:val="22"/>
          <w:szCs w:val="22"/>
        </w:rPr>
        <w:t>, instance-profile modification, and EC2 actions on all resources without conditions. Together, these permissions indicated a potential route to a more powerful role through EC2.</w:t>
      </w:r>
    </w:p>
    <w:p>
      <w:pPr>
        <w:pStyle w:val="BodyText"/>
        <w:numPr>
          <w:ilvl w:val="0"/>
          <w:numId w:val="1"/>
        </w:numPr>
        <w:tabs>
          <w:tab w:val="clear" w:pos="720"/>
          <w:tab w:val="left" w:pos="0" w:leader="none"/>
        </w:tabs>
        <w:spacing w:lineRule="auto" w:line="259" w:before="0" w:after="120"/>
        <w:ind w:hanging="283" w:left="709"/>
        <w:rPr>
          <w:i/>
          <w:i/>
          <w:iCs/>
          <w:color w:val="auto"/>
          <w:sz w:val="22"/>
          <w:szCs w:val="22"/>
        </w:rPr>
      </w:pPr>
      <w:r>
        <w:rPr>
          <w:rStyle w:val="Strong"/>
          <w:i/>
          <w:iCs/>
          <w:color w:val="auto"/>
          <w:sz w:val="22"/>
          <w:szCs w:val="22"/>
        </w:rPr>
        <w:t>The two roles had opposite permission policies.</w:t>
      </w:r>
      <w:r>
        <w:rPr>
          <w:i/>
          <w:iCs/>
          <w:color w:val="auto"/>
          <w:sz w:val="22"/>
          <w:szCs w:val="22"/>
        </w:rPr>
        <w:t xml:space="preserve"> Meek explicitly denied all actions on all resources, while Mighty explicitly allowed them. These were policy inspection results; actual access was not tested. Meek’s deny applies to its own sessions and would not restrict a separate Mighty role session.</w:t>
      </w:r>
    </w:p>
    <w:p>
      <w:pPr>
        <w:pStyle w:val="BodyText"/>
        <w:numPr>
          <w:ilvl w:val="0"/>
          <w:numId w:val="1"/>
        </w:numPr>
        <w:tabs>
          <w:tab w:val="clear" w:pos="720"/>
          <w:tab w:val="left" w:pos="0" w:leader="none"/>
        </w:tabs>
        <w:spacing w:lineRule="auto" w:line="259" w:before="0" w:after="120"/>
        <w:ind w:hanging="283" w:left="709"/>
        <w:rPr>
          <w:i/>
          <w:i/>
          <w:iCs/>
          <w:color w:val="auto"/>
          <w:sz w:val="22"/>
          <w:szCs w:val="22"/>
        </w:rPr>
      </w:pPr>
      <w:r>
        <w:rPr>
          <w:rStyle w:val="Strong"/>
          <w:i/>
          <w:iCs/>
          <w:color w:val="auto"/>
          <w:sz w:val="22"/>
          <w:szCs w:val="22"/>
        </w:rPr>
        <w:t>Both roles trusted EC2, and no permissions boundaries were attached.</w:t>
      </w:r>
      <w:r>
        <w:rPr>
          <w:i/>
          <w:iCs/>
          <w:color w:val="auto"/>
          <w:sz w:val="22"/>
          <w:szCs w:val="22"/>
        </w:rPr>
        <w:t xml:space="preserve"> Their trust policies permitted the EC2 service to assume them, rather than allowing Kerrigan to assume them directly. The absence of boundaries removed one possible restriction, although other applicable controls were not assessed.</w:t>
      </w:r>
    </w:p>
    <w:p>
      <w:pPr>
        <w:pStyle w:val="BodyText"/>
        <w:numPr>
          <w:ilvl w:val="0"/>
          <w:numId w:val="1"/>
        </w:numPr>
        <w:tabs>
          <w:tab w:val="clear" w:pos="720"/>
          <w:tab w:val="left" w:pos="0" w:leader="none"/>
        </w:tabs>
        <w:spacing w:lineRule="auto" w:line="259" w:before="0" w:after="120"/>
        <w:ind w:hanging="283" w:left="709"/>
        <w:rPr>
          <w:i/>
          <w:i/>
          <w:iCs/>
          <w:color w:val="auto"/>
          <w:sz w:val="22"/>
          <w:szCs w:val="22"/>
        </w:rPr>
      </w:pPr>
      <w:r>
        <w:rPr>
          <w:rStyle w:val="Strong"/>
          <w:i/>
          <w:iCs/>
          <w:color w:val="auto"/>
          <w:sz w:val="22"/>
          <w:szCs w:val="22"/>
        </w:rPr>
        <w:t>Automated analysis supported the manual findings.</w:t>
      </w:r>
      <w:r>
        <w:rPr>
          <w:i/>
          <w:iCs/>
          <w:color w:val="auto"/>
          <w:sz w:val="22"/>
          <w:szCs w:val="22"/>
        </w:rPr>
        <w:t xml:space="preserve"> Policy Sentry identified three permissions-management actions in Kerrigan’s policy, while Steampipe returned both scenario roles consistently with AWS CLI enumeration.</w:t>
      </w:r>
    </w:p>
    <w:p>
      <w:pPr>
        <w:pStyle w:val="BodyText"/>
        <w:numPr>
          <w:ilvl w:val="0"/>
          <w:numId w:val="1"/>
        </w:numPr>
        <w:tabs>
          <w:tab w:val="clear" w:pos="720"/>
          <w:tab w:val="left" w:pos="0" w:leader="none"/>
        </w:tabs>
        <w:bidi w:val="0"/>
        <w:spacing w:lineRule="auto" w:line="259" w:before="0" w:after="120"/>
        <w:ind w:hanging="283" w:left="709" w:right="0"/>
        <w:rPr>
          <w:i/>
          <w:i/>
          <w:iCs/>
          <w:color w:val="auto"/>
          <w:sz w:val="22"/>
          <w:szCs w:val="22"/>
        </w:rPr>
      </w:pPr>
      <w:r>
        <w:rPr>
          <w:rStyle w:val="Strong"/>
          <w:i/>
          <w:iCs/>
          <w:color w:val="auto"/>
          <w:sz w:val="22"/>
          <w:szCs w:val="22"/>
        </w:rPr>
        <w:t>The main unexpected result was a tooling mismatch.</w:t>
      </w:r>
      <w:r>
        <w:rPr>
          <w:i/>
          <w:iCs/>
          <w:color w:val="auto"/>
          <w:sz w:val="22"/>
          <w:szCs w:val="22"/>
        </w:rPr>
        <w:t xml:space="preserve"> Policy Sentry 0.15.2 did not provide the task brief’s </w:t>
      </w:r>
      <w:r>
        <w:rPr>
          <w:rStyle w:val="SourceText"/>
          <w:i/>
          <w:iCs/>
          <w:color w:val="auto"/>
          <w:sz w:val="22"/>
          <w:szCs w:val="22"/>
        </w:rPr>
        <w:t>analyze</w:t>
      </w:r>
      <w:r>
        <w:rPr>
          <w:i/>
          <w:iCs/>
          <w:color w:val="auto"/>
          <w:sz w:val="22"/>
          <w:szCs w:val="22"/>
        </w:rPr>
        <w:t xml:space="preserve"> CLI command, so its Python analysis API was used to generate </w:t>
      </w:r>
      <w:r>
        <w:rPr>
          <w:rStyle w:val="SourceText"/>
          <w:i/>
          <w:iCs/>
          <w:color w:val="auto"/>
          <w:sz w:val="22"/>
          <w:szCs w:val="22"/>
        </w:rPr>
        <w:t>analysis.txt</w:t>
      </w:r>
      <w:r>
        <w:rPr>
          <w:i/>
          <w:iCs/>
          <w:color w:val="auto"/>
          <w:sz w:val="22"/>
          <w:szCs w:val="22"/>
        </w:rPr>
        <w:t>.</w:t>
      </w:r>
    </w:p>
    <w:p>
      <w:pPr>
        <w:pStyle w:val="BodyText"/>
        <w:spacing w:lineRule="auto" w:line="259" w:before="0" w:after="120"/>
        <w:rPr>
          <w:i/>
          <w:i/>
          <w:iCs/>
          <w:color w:val="auto"/>
          <w:sz w:val="22"/>
          <w:szCs w:val="22"/>
        </w:rPr>
      </w:pPr>
      <w:r>
        <w:rPr>
          <w:i/>
          <w:iCs/>
          <w:color w:val="auto"/>
          <w:sz w:val="22"/>
          <w:szCs w:val="22"/>
        </w:rPr>
        <w:t xml:space="preserve">The results reinforced Phase A’s distinction between trust and permissions. They also showed why an identity with limited direct permissions may still present escalation risk when it can pass a more privileged role to a service. </w:t>
      </w:r>
      <w:r>
        <w:rPr>
          <w:rStyle w:val="Strong"/>
          <w:i/>
          <w:iCs/>
          <w:color w:val="auto"/>
          <w:sz w:val="22"/>
          <w:szCs w:val="22"/>
        </w:rPr>
        <w:t>The escalation path was mapped but not exploited.</w:t>
      </w:r>
    </w:p>
    <w:p>
      <w:pPr>
        <w:pStyle w:val="Normal"/>
        <w:spacing w:before="0" w:after="120"/>
        <w:rPr>
          <w:color w:val="auto"/>
          <w:sz w:val="22"/>
          <w:szCs w:val="22"/>
        </w:rPr>
      </w:pPr>
      <w:r>
        <w:rPr>
          <w:color w:val="auto"/>
          <w:sz w:val="22"/>
          <w:szCs w:val="22"/>
        </w:rPr>
      </w:r>
    </w:p>
    <w:p>
      <w:pPr>
        <w:pStyle w:val="Heading3"/>
        <w:spacing w:before="200" w:after="80"/>
        <w:rPr>
          <w:color w:val="auto"/>
          <w:sz w:val="28"/>
          <w:szCs w:val="28"/>
        </w:rPr>
      </w:pPr>
      <w:r>
        <w:rPr>
          <w:b/>
          <w:bCs/>
          <w:color w:val="auto"/>
          <w:sz w:val="22"/>
          <w:szCs w:val="22"/>
        </w:rPr>
        <w:t>Evidence Produced</w:t>
      </w:r>
    </w:p>
    <w:p>
      <w:pPr>
        <w:pStyle w:val="Normal"/>
        <w:spacing w:before="0" w:after="120"/>
        <w:rPr>
          <w:color w:val="auto"/>
          <w:sz w:val="22"/>
          <w:szCs w:val="22"/>
        </w:rPr>
      </w:pPr>
      <w:r>
        <w:rPr>
          <w:i/>
          <w:iCs/>
          <w:color w:val="auto"/>
          <w:sz w:val="22"/>
          <w:szCs w:val="22"/>
        </w:rPr>
        <w:t>[List all core execution evidence files:]</w:t>
      </w:r>
    </w:p>
    <w:p>
      <w:pPr>
        <w:pStyle w:val="BodyText"/>
        <w:numPr>
          <w:ilvl w:val="0"/>
          <w:numId w:val="78"/>
        </w:numPr>
        <w:spacing w:before="0" w:after="60"/>
        <w:ind w:hanging="360" w:left="360"/>
        <w:rPr>
          <w:color w:val="auto"/>
          <w:sz w:val="22"/>
          <w:szCs w:val="22"/>
        </w:rPr>
      </w:pPr>
      <w:r>
        <w:rPr>
          <w:rStyle w:val="Strong"/>
          <w:color w:val="auto"/>
          <w:sz w:val="22"/>
          <w:szCs w:val="22"/>
        </w:rPr>
        <w:t>PhaseC_kerrigan_policy_document.png</w:t>
      </w:r>
      <w:r>
        <w:rPr>
          <w:color w:val="auto"/>
          <w:sz w:val="22"/>
          <w:szCs w:val="22"/>
        </w:rPr>
        <w:t xml:space="preserve"> — Shows Kerrigan’s policy granting broadly scoped IAM and EC2 permissions.</w:t>
      </w:r>
    </w:p>
    <w:p>
      <w:pPr>
        <w:pStyle w:val="BodyText"/>
        <w:numPr>
          <w:ilvl w:val="0"/>
          <w:numId w:val="79"/>
        </w:numPr>
        <w:spacing w:before="0" w:after="60"/>
        <w:ind w:hanging="360" w:left="360"/>
        <w:rPr>
          <w:color w:val="auto"/>
          <w:sz w:val="22"/>
          <w:szCs w:val="22"/>
        </w:rPr>
      </w:pPr>
      <w:r>
        <w:rPr>
          <w:rStyle w:val="Strong"/>
          <w:color w:val="auto"/>
          <w:sz w:val="22"/>
          <w:szCs w:val="22"/>
        </w:rPr>
        <w:t>PhaseC_kerrigan_policy_mapping.png</w:t>
      </w:r>
      <w:r>
        <w:rPr>
          <w:color w:val="auto"/>
          <w:sz w:val="22"/>
          <w:szCs w:val="22"/>
        </w:rPr>
        <w:t xml:space="preserve"> — Shows Kerrigan’s attached managed policy, empty group membership, and absence of inline policies.</w:t>
      </w:r>
    </w:p>
    <w:p>
      <w:pPr>
        <w:pStyle w:val="BodyText"/>
        <w:numPr>
          <w:ilvl w:val="0"/>
          <w:numId w:val="80"/>
        </w:numPr>
        <w:spacing w:before="0" w:after="60"/>
        <w:ind w:hanging="360" w:left="360"/>
        <w:rPr>
          <w:color w:val="auto"/>
          <w:sz w:val="22"/>
          <w:szCs w:val="22"/>
        </w:rPr>
      </w:pPr>
      <w:r>
        <w:rPr>
          <w:rStyle w:val="Strong"/>
          <w:color w:val="auto"/>
          <w:sz w:val="22"/>
          <w:szCs w:val="22"/>
        </w:rPr>
        <w:t>PhaseC_list_groups.png</w:t>
      </w:r>
      <w:r>
        <w:rPr>
          <w:color w:val="auto"/>
          <w:sz w:val="22"/>
          <w:szCs w:val="22"/>
        </w:rPr>
        <w:t xml:space="preserve"> — Shows the seven IAM groups enumerated in the lab account.</w:t>
      </w:r>
    </w:p>
    <w:p>
      <w:pPr>
        <w:pStyle w:val="BodyText"/>
        <w:numPr>
          <w:ilvl w:val="0"/>
          <w:numId w:val="81"/>
        </w:numPr>
        <w:spacing w:before="0" w:after="60"/>
        <w:ind w:hanging="360" w:left="360"/>
        <w:rPr>
          <w:color w:val="auto"/>
          <w:sz w:val="22"/>
          <w:szCs w:val="22"/>
        </w:rPr>
      </w:pPr>
      <w:r>
        <w:rPr>
          <w:rStyle w:val="Strong"/>
          <w:color w:val="auto"/>
          <w:sz w:val="22"/>
          <w:szCs w:val="22"/>
        </w:rPr>
        <w:t>PhaseC_list_policies.png</w:t>
      </w:r>
      <w:r>
        <w:rPr>
          <w:color w:val="auto"/>
          <w:sz w:val="22"/>
          <w:szCs w:val="22"/>
        </w:rPr>
        <w:t xml:space="preserve"> — Shows the account’s customer managed IAM policies.</w:t>
      </w:r>
    </w:p>
    <w:p>
      <w:pPr>
        <w:pStyle w:val="BodyText"/>
        <w:numPr>
          <w:ilvl w:val="0"/>
          <w:numId w:val="82"/>
        </w:numPr>
        <w:spacing w:before="0" w:after="60"/>
        <w:ind w:hanging="360" w:left="360"/>
        <w:rPr>
          <w:color w:val="auto"/>
          <w:sz w:val="22"/>
          <w:szCs w:val="22"/>
        </w:rPr>
      </w:pPr>
      <w:r>
        <w:rPr>
          <w:rStyle w:val="Strong"/>
          <w:color w:val="auto"/>
          <w:sz w:val="22"/>
          <w:szCs w:val="22"/>
        </w:rPr>
        <w:t>PhaseC_list_users.png</w:t>
      </w:r>
      <w:r>
        <w:rPr>
          <w:color w:val="auto"/>
          <w:sz w:val="22"/>
          <w:szCs w:val="22"/>
        </w:rPr>
        <w:t xml:space="preserve"> — Shows IAM users enumerated in the lab account.</w:t>
      </w:r>
    </w:p>
    <w:p>
      <w:pPr>
        <w:pStyle w:val="BodyText"/>
        <w:numPr>
          <w:ilvl w:val="0"/>
          <w:numId w:val="83"/>
        </w:numPr>
        <w:spacing w:before="0" w:after="60"/>
        <w:ind w:hanging="360" w:left="360"/>
        <w:rPr>
          <w:color w:val="auto"/>
          <w:sz w:val="22"/>
          <w:szCs w:val="22"/>
        </w:rPr>
      </w:pPr>
      <w:r>
        <w:rPr>
          <w:rStyle w:val="Strong"/>
          <w:color w:val="auto"/>
          <w:sz w:val="22"/>
          <w:szCs w:val="22"/>
        </w:rPr>
        <w:t>PhaseC_meek_policy.png</w:t>
      </w:r>
      <w:r>
        <w:rPr>
          <w:color w:val="auto"/>
          <w:sz w:val="22"/>
          <w:szCs w:val="22"/>
        </w:rPr>
        <w:t xml:space="preserve"> — Shows Meek’s explicit deny of all actions on all resources.</w:t>
      </w:r>
    </w:p>
    <w:p>
      <w:pPr>
        <w:pStyle w:val="BodyText"/>
        <w:numPr>
          <w:ilvl w:val="0"/>
          <w:numId w:val="84"/>
        </w:numPr>
        <w:spacing w:before="0" w:after="60"/>
        <w:ind w:hanging="360" w:left="360"/>
        <w:rPr>
          <w:color w:val="auto"/>
          <w:sz w:val="22"/>
          <w:szCs w:val="22"/>
        </w:rPr>
      </w:pPr>
      <w:r>
        <w:rPr>
          <w:rStyle w:val="Strong"/>
          <w:color w:val="auto"/>
          <w:sz w:val="22"/>
          <w:szCs w:val="22"/>
        </w:rPr>
        <w:t>PhaseC_mighty_policies.png</w:t>
      </w:r>
      <w:r>
        <w:rPr>
          <w:color w:val="auto"/>
          <w:sz w:val="22"/>
          <w:szCs w:val="22"/>
        </w:rPr>
        <w:t xml:space="preserve"> — Shows Mighty’s explicit allow of all actions on all resources.</w:t>
      </w:r>
    </w:p>
    <w:p>
      <w:pPr>
        <w:pStyle w:val="BodyText"/>
        <w:numPr>
          <w:ilvl w:val="0"/>
          <w:numId w:val="85"/>
        </w:numPr>
        <w:spacing w:before="0" w:after="60"/>
        <w:ind w:hanging="360" w:left="360"/>
        <w:rPr>
          <w:color w:val="auto"/>
          <w:sz w:val="22"/>
          <w:szCs w:val="22"/>
        </w:rPr>
      </w:pPr>
      <w:r>
        <w:rPr>
          <w:rStyle w:val="Strong"/>
          <w:color w:val="auto"/>
          <w:sz w:val="22"/>
          <w:szCs w:val="22"/>
        </w:rPr>
        <w:t>PhaseC_policy_mapping.png</w:t>
      </w:r>
      <w:r>
        <w:rPr>
          <w:color w:val="auto"/>
          <w:sz w:val="22"/>
          <w:szCs w:val="22"/>
        </w:rPr>
        <w:t xml:space="preserve"> — Shows the managed policy attached to each scenario role and the absence of inline role policies.</w:t>
      </w:r>
    </w:p>
    <w:p>
      <w:pPr>
        <w:pStyle w:val="BodyText"/>
        <w:numPr>
          <w:ilvl w:val="0"/>
          <w:numId w:val="86"/>
        </w:numPr>
        <w:spacing w:before="0" w:after="60"/>
        <w:ind w:hanging="360" w:left="360"/>
        <w:rPr>
          <w:color w:val="auto"/>
          <w:sz w:val="22"/>
          <w:szCs w:val="22"/>
        </w:rPr>
      </w:pPr>
      <w:r>
        <w:rPr>
          <w:rStyle w:val="Strong"/>
          <w:color w:val="auto"/>
          <w:sz w:val="22"/>
          <w:szCs w:val="22"/>
        </w:rPr>
        <w:t>PhaseC_sentry_analysis.png</w:t>
      </w:r>
      <w:r>
        <w:rPr>
          <w:color w:val="auto"/>
          <w:sz w:val="22"/>
          <w:szCs w:val="22"/>
        </w:rPr>
        <w:t xml:space="preserve"> — Shows Policy Sentry’s analysis results and identified permissions-management actions.</w:t>
      </w:r>
    </w:p>
    <w:p>
      <w:pPr>
        <w:pStyle w:val="BodyText"/>
        <w:numPr>
          <w:ilvl w:val="0"/>
          <w:numId w:val="87"/>
        </w:numPr>
        <w:spacing w:before="0" w:after="60"/>
        <w:ind w:hanging="360" w:left="360"/>
        <w:rPr>
          <w:color w:val="auto"/>
          <w:sz w:val="22"/>
          <w:szCs w:val="22"/>
        </w:rPr>
      </w:pPr>
      <w:r>
        <w:rPr>
          <w:rStyle w:val="Strong"/>
          <w:color w:val="auto"/>
          <w:sz w:val="22"/>
          <w:szCs w:val="22"/>
        </w:rPr>
        <w:t>PhaseC_policy_sentry_commands.png</w:t>
      </w:r>
      <w:r>
        <w:rPr>
          <w:color w:val="auto"/>
          <w:sz w:val="22"/>
          <w:szCs w:val="22"/>
        </w:rPr>
        <w:t xml:space="preserve"> — Shows the installed Policy Sentry CLI commands, confirming that </w:t>
      </w:r>
      <w:r>
        <w:rPr>
          <w:rStyle w:val="SourceText"/>
          <w:color w:val="auto"/>
          <w:sz w:val="22"/>
          <w:szCs w:val="22"/>
        </w:rPr>
        <w:t>analyze</w:t>
      </w:r>
      <w:r>
        <w:rPr>
          <w:color w:val="auto"/>
          <w:sz w:val="22"/>
          <w:szCs w:val="22"/>
        </w:rPr>
        <w:t xml:space="preserve"> was unavailable.</w:t>
      </w:r>
    </w:p>
    <w:p>
      <w:pPr>
        <w:pStyle w:val="BodyText"/>
        <w:numPr>
          <w:ilvl w:val="0"/>
          <w:numId w:val="88"/>
        </w:numPr>
        <w:spacing w:before="0" w:after="60"/>
        <w:ind w:hanging="360" w:left="360"/>
        <w:rPr>
          <w:color w:val="auto"/>
          <w:sz w:val="22"/>
          <w:szCs w:val="22"/>
        </w:rPr>
      </w:pPr>
      <w:r>
        <w:rPr>
          <w:rStyle w:val="Strong"/>
          <w:color w:val="auto"/>
          <w:sz w:val="22"/>
          <w:szCs w:val="22"/>
        </w:rPr>
        <w:t>PhaseC_steampipe_roles.png</w:t>
      </w:r>
      <w:r>
        <w:rPr>
          <w:color w:val="auto"/>
          <w:sz w:val="22"/>
          <w:szCs w:val="22"/>
        </w:rPr>
        <w:t xml:space="preserve"> — Shows Steampipe SQL results listing both scenario roles and their ARNs.</w:t>
      </w:r>
    </w:p>
    <w:p>
      <w:pPr>
        <w:pStyle w:val="BodyText"/>
        <w:numPr>
          <w:ilvl w:val="0"/>
          <w:numId w:val="89"/>
        </w:numPr>
        <w:spacing w:before="0" w:after="60"/>
        <w:ind w:hanging="360" w:left="360"/>
        <w:rPr>
          <w:color w:val="auto"/>
          <w:sz w:val="22"/>
          <w:szCs w:val="22"/>
        </w:rPr>
      </w:pPr>
      <w:r>
        <w:rPr>
          <w:rStyle w:val="Strong"/>
          <w:color w:val="auto"/>
          <w:sz w:val="22"/>
          <w:szCs w:val="22"/>
        </w:rPr>
        <w:t>PhaceC_analysis.txt</w:t>
      </w:r>
      <w:r>
        <w:rPr>
          <w:color w:val="auto"/>
          <w:sz w:val="22"/>
          <w:szCs w:val="22"/>
        </w:rPr>
        <w:t xml:space="preserve"> — Records policy analysis results, the potential escalation path, and assessment limitations.</w:t>
      </w:r>
    </w:p>
    <w:p>
      <w:pPr>
        <w:pStyle w:val="ListParagraph"/>
        <w:numPr>
          <w:ilvl w:val="0"/>
          <w:numId w:val="0"/>
        </w:numPr>
        <w:spacing w:before="0" w:after="60"/>
        <w:ind w:hanging="0" w:left="360"/>
        <w:rPr>
          <w:color w:val="auto"/>
          <w:sz w:val="22"/>
          <w:szCs w:val="22"/>
        </w:rPr>
      </w:pPr>
      <w:r>
        <w:rPr>
          <w:color w:val="auto"/>
          <w:sz w:val="22"/>
          <w:szCs w:val="22"/>
        </w:rPr>
      </w:r>
    </w:p>
    <w:p>
      <w:pPr>
        <w:pStyle w:val="Normal"/>
        <w:spacing w:before="0" w:after="60"/>
        <w:rPr/>
      </w:pPr>
      <w:r>
        <w:rPr/>
      </w:r>
    </w:p>
    <w:tbl>
      <w:tblPr>
        <w:tblW w:w="9360" w:type="dxa"/>
        <w:jc w:val="left"/>
        <w:tblInd w:w="0" w:type="dxa"/>
        <w:tblLayout w:type="fixed"/>
        <w:tblCellMar>
          <w:top w:w="80" w:type="dxa"/>
          <w:left w:w="120" w:type="dxa"/>
          <w:bottom w:w="80" w:type="dxa"/>
          <w:right w:w="80" w:type="dxa"/>
        </w:tblCellMar>
        <w:tblLook w:firstRow="1" w:noVBand="1" w:lastRow="0" w:firstColumn="1" w:lastColumn="0" w:noHBand="0" w:val="04a0"/>
      </w:tblPr>
      <w:tblGrid>
        <w:gridCol w:w="9360"/>
      </w:tblGrid>
      <w:tr>
        <w:trPr/>
        <w:tc>
          <w:tcPr>
            <w:tcW w:w="9360" w:type="dxa"/>
            <w:tcBorders>
              <w:left w:val="single" w:sz="12" w:space="0" w:color="C6D3DB"/>
            </w:tcBorders>
            <w:shd w:color="auto" w:fill="F4F7F9" w:val="clear"/>
          </w:tcPr>
          <w:p>
            <w:pPr>
              <w:pStyle w:val="Normal"/>
              <w:spacing w:before="0" w:after="60"/>
              <w:rPr/>
            </w:pPr>
            <w:r>
              <w:rPr>
                <w:color w:val="0D2137"/>
                <w:sz w:val="18"/>
                <w:szCs w:val="18"/>
              </w:rPr>
              <w:t>Evidence requirements for Phase C typically include: CLI output log files (.log or .txt), JSON policy files tested or produced, screenshots of console test results, Athena query outputs or CloudWatch dashboard views, and any tool-specific report outputs.</w:t>
            </w:r>
          </w:p>
          <w:p>
            <w:pPr>
              <w:pStyle w:val="Normal"/>
              <w:spacing w:before="0" w:after="60"/>
              <w:rPr/>
            </w:pPr>
            <w:r>
              <w:rPr>
                <w:i/>
                <w:iCs/>
                <w:color w:val="0D2137"/>
                <w:sz w:val="18"/>
                <w:szCs w:val="18"/>
              </w:rPr>
              <w:t xml:space="preserve">ℹ  </w:t>
            </w:r>
            <w:r>
              <w:rPr>
                <w:i/>
                <w:iCs/>
                <w:color w:val="0D2137"/>
                <w:sz w:val="18"/>
                <w:szCs w:val="18"/>
              </w:rPr>
              <w:t>Redact sensitive values (full Account IDs, secret keys, session tokens) in evidence files before submission. Replace with [REDACTED] or partial values.</w:t>
            </w:r>
          </w:p>
        </w:tc>
      </w:tr>
    </w:tbl>
    <w:p>
      <w:pPr>
        <w:pStyle w:val="Normal"/>
        <w:rPr/>
      </w:pPr>
      <w:r>
        <w:rPr/>
      </w:r>
    </w:p>
    <w:p>
      <w:pPr>
        <w:pStyle w:val="Heading2"/>
        <w:shd w:val="clear" w:color="auto" w:fill="FFFFFF" w:themeFill="background1"/>
        <w:spacing w:before="280" w:after="140"/>
        <w:rPr>
          <w:color w:themeColor="text2" w:themeShade="bf" w:val="323E4F"/>
        </w:rPr>
      </w:pPr>
      <w:r>
        <w:rPr>
          <w:b/>
          <w:bCs/>
          <w:color w:themeColor="text2" w:themeShade="bf" w:val="323E4F"/>
        </w:rPr>
        <w:t>Phase D: Independent Extension &amp; Advanced Implementation</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879"/>
        <w:gridCol w:w="7185"/>
      </w:tblGrid>
      <w:tr>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Objective</w:t>
            </w:r>
          </w:p>
        </w:tc>
        <w:tc>
          <w:tcPr>
            <w:tcW w:w="7185" w:type="dxa"/>
            <w:tcBorders>
              <w:bottom w:val="single" w:sz="4" w:space="0" w:color="C6D3DB"/>
              <w:right w:val="single" w:sz="4" w:space="0" w:color="C6D3DB"/>
            </w:tcBorders>
            <w:shd w:color="auto" w:fill="F4F7F9" w:val="clear"/>
            <w:vAlign w:val="center"/>
          </w:tcPr>
          <w:p>
            <w:pPr>
              <w:pStyle w:val="Normal"/>
              <w:spacing w:before="0" w:after="0"/>
              <w:rPr>
                <w:b w:val="false"/>
                <w:bCs w:val="false"/>
                <w:i/>
                <w:i/>
                <w:iCs/>
                <w:color w:val="0D2137"/>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Perform visibility gap analysis and create a risk matrix linking misconfigurations to business assets.</w:t>
            </w:r>
          </w:p>
        </w:tc>
      </w:tr>
      <w:tr>
        <w:trPr/>
        <w:tc>
          <w:tcPr>
            <w:tcW w:w="28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Estimated Time</w:t>
            </w:r>
          </w:p>
        </w:tc>
        <w:tc>
          <w:tcPr>
            <w:tcW w:w="7185"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90 minutes</w:t>
            </w:r>
          </w:p>
        </w:tc>
      </w:tr>
      <w:tr>
        <w:trPr>
          <w:trHeight w:val="799" w:hRule="atLeast"/>
        </w:trPr>
        <w:tc>
          <w:tcPr>
            <w:tcW w:w="28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File(s)</w:t>
            </w:r>
          </w:p>
        </w:tc>
        <w:tc>
          <w:tcPr>
            <w:tcW w:w="7185"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PhaseD_access_analyser_findings.png., PhaseD_risk_matrix.xlsx, PhaseD_external_access.png,</w:t>
            </w:r>
          </w:p>
        </w:tc>
      </w:tr>
    </w:tbl>
    <w:p>
      <w:pPr>
        <w:pStyle w:val="Heading3"/>
        <w:spacing w:before="200" w:after="80"/>
        <w:rPr>
          <w:color w:val="auto"/>
          <w:sz w:val="28"/>
          <w:szCs w:val="28"/>
        </w:rPr>
      </w:pPr>
      <w:r>
        <w:rPr>
          <w:b/>
          <w:bCs/>
          <w:color w:val="auto"/>
          <w:sz w:val="22"/>
          <w:szCs w:val="22"/>
        </w:rPr>
        <w:t>Actions Taken</w:t>
      </w:r>
    </w:p>
    <w:p>
      <w:pPr>
        <w:pStyle w:val="Heading3"/>
        <w:spacing w:before="0" w:after="120"/>
        <w:rPr>
          <w:color w:val="auto"/>
          <w:sz w:val="22"/>
          <w:szCs w:val="22"/>
        </w:rPr>
      </w:pPr>
      <w:r>
        <w:rPr>
          <w:rStyle w:val="Strong"/>
          <w:i/>
          <w:iCs/>
          <w:color w:val="auto"/>
          <w:sz w:val="22"/>
          <w:szCs w:val="22"/>
        </w:rPr>
        <w:t>Actions Taken — Phase D</w:t>
      </w:r>
    </w:p>
    <w:p>
      <w:pPr>
        <w:pStyle w:val="BodyText"/>
        <w:bidi w:val="0"/>
        <w:spacing w:lineRule="auto" w:line="259" w:before="0" w:after="120"/>
        <w:ind w:hanging="0" w:left="0" w:right="0"/>
        <w:rPr>
          <w:i/>
          <w:i/>
          <w:iCs/>
          <w:color w:val="auto"/>
          <w:sz w:val="22"/>
          <w:szCs w:val="22"/>
        </w:rPr>
      </w:pPr>
      <w:r>
        <w:rPr>
          <w:rStyle w:val="Strong"/>
          <w:i/>
          <w:iCs/>
          <w:color w:val="auto"/>
          <w:sz w:val="22"/>
          <w:szCs w:val="22"/>
        </w:rPr>
        <w:t>Created an external-access analyzer:</w:t>
      </w:r>
      <w:r>
        <w:rPr>
          <w:i/>
          <w:iCs/>
          <w:color w:val="auto"/>
          <w:sz w:val="22"/>
          <w:szCs w:val="22"/>
        </w:rPr>
        <w:t xml:space="preserve"> In the AWS Console, navigated to </w:t>
      </w:r>
      <w:r>
        <w:rPr>
          <w:rStyle w:val="Strong"/>
          <w:i/>
          <w:iCs/>
          <w:color w:val="auto"/>
          <w:sz w:val="22"/>
          <w:szCs w:val="22"/>
        </w:rPr>
        <w:t>IAM → Access Analyzer → External access → Create analyzer</w:t>
      </w:r>
      <w:r>
        <w:rPr>
          <w:i/>
          <w:iCs/>
          <w:color w:val="auto"/>
          <w:sz w:val="22"/>
          <w:szCs w:val="22"/>
        </w:rPr>
        <w:t xml:space="preserve">. Created </w:t>
      </w:r>
      <w:r>
        <w:rPr>
          <w:rStyle w:val="SourceText"/>
          <w:i/>
          <w:iCs/>
          <w:color w:val="auto"/>
          <w:sz w:val="22"/>
          <w:szCs w:val="22"/>
        </w:rPr>
        <w:t>week2-task07-external-access</w:t>
      </w:r>
      <w:r>
        <w:rPr>
          <w:i/>
          <w:iCs/>
          <w:color w:val="auto"/>
          <w:sz w:val="22"/>
          <w:szCs w:val="22"/>
        </w:rPr>
        <w:t xml:space="preserve"> in </w:t>
      </w:r>
      <w:r>
        <w:rPr>
          <w:rStyle w:val="SourceText"/>
          <w:i/>
          <w:iCs/>
          <w:color w:val="auto"/>
          <w:sz w:val="22"/>
          <w:szCs w:val="22"/>
        </w:rPr>
        <w:t>us-east-1</w:t>
      </w:r>
      <w:r>
        <w:rPr>
          <w:i/>
          <w:iCs/>
          <w:color w:val="auto"/>
          <w:sz w:val="22"/>
          <w:szCs w:val="22"/>
        </w:rPr>
        <w:t>, using the current account as the zone of trust.</w:t>
      </w:r>
    </w:p>
    <w:p>
      <w:pPr>
        <w:pStyle w:val="BodyText"/>
        <w:spacing w:lineRule="auto" w:line="259" w:before="0" w:after="120"/>
        <w:rPr>
          <w:i/>
          <w:i/>
          <w:iCs/>
          <w:color w:val="auto"/>
          <w:sz w:val="22"/>
          <w:szCs w:val="22"/>
        </w:rPr>
      </w:pPr>
      <w:r>
        <w:rPr>
          <w:rStyle w:val="Strong"/>
          <w:i/>
          <w:iCs/>
          <w:color w:val="auto"/>
          <w:sz w:val="22"/>
          <w:szCs w:val="22"/>
        </w:rPr>
        <w:t>Reviewed external-access findings:</w:t>
      </w:r>
      <w:r>
        <w:rPr>
          <w:i/>
          <w:iCs/>
          <w:color w:val="auto"/>
          <w:sz w:val="22"/>
          <w:szCs w:val="22"/>
        </w:rPr>
        <w:t xml:space="preserve"> Opened the analyzer and reviewed its findings page. </w:t>
      </w:r>
      <w:r>
        <w:rPr>
          <w:rStyle w:val="Strong"/>
          <w:i/>
          <w:iCs/>
          <w:color w:val="auto"/>
          <w:sz w:val="22"/>
          <w:szCs w:val="22"/>
        </w:rPr>
        <w:t>No external-access findings were displayed at the time of review.</w:t>
      </w:r>
    </w:p>
    <w:p>
      <w:pPr>
        <w:pStyle w:val="BodyText"/>
        <w:spacing w:lineRule="auto" w:line="259" w:before="0" w:after="120"/>
        <w:rPr>
          <w:i/>
          <w:i/>
          <w:iCs/>
          <w:color w:val="auto"/>
          <w:sz w:val="22"/>
          <w:szCs w:val="22"/>
        </w:rPr>
      </w:pPr>
      <w:r>
        <w:rPr>
          <w:rStyle w:val="Emphasis"/>
          <w:color w:val="auto"/>
          <w:sz w:val="22"/>
          <w:szCs w:val="22"/>
        </w:rPr>
        <w:t>Figure 1: Access Analyzer findings page showing no external-access findings.</w:t>
      </w:r>
    </w:p>
    <w:p>
      <w:pPr>
        <w:pStyle w:val="BodyText"/>
        <w:spacing w:lineRule="auto" w:line="259" w:before="0" w:after="120"/>
        <w:rPr>
          <w:i/>
          <w:i/>
          <w:iCs/>
          <w:color w:val="auto"/>
          <w:sz w:val="22"/>
          <w:szCs w:val="22"/>
        </w:rPr>
      </w:pPr>
      <w:r>
        <w:rPr>
          <w:rStyle w:val="Strong"/>
          <w:i/>
          <w:iCs/>
          <w:color w:val="auto"/>
          <w:sz w:val="22"/>
          <w:szCs w:val="22"/>
        </w:rPr>
        <w:t>Assessed the visibility gap:</w:t>
      </w:r>
      <w:r>
        <w:rPr>
          <w:i/>
          <w:iCs/>
          <w:color w:val="auto"/>
          <w:sz w:val="22"/>
          <w:szCs w:val="22"/>
        </w:rPr>
        <w:t xml:space="preserve"> Compared this result with Phase C’s policy analysis. The potential escalation path involved same-account role passing and EC2 instance-profile modification, so the absence of external-access findings did not resolve those risks.</w:t>
      </w:r>
    </w:p>
    <w:p>
      <w:pPr>
        <w:pStyle w:val="BodyText"/>
        <w:bidi w:val="0"/>
        <w:spacing w:lineRule="auto" w:line="259" w:before="0" w:after="120"/>
        <w:ind w:hanging="0" w:left="0" w:right="0"/>
        <w:rPr>
          <w:i/>
          <w:i/>
          <w:iCs/>
          <w:color w:val="auto"/>
          <w:sz w:val="22"/>
          <w:szCs w:val="22"/>
        </w:rPr>
      </w:pPr>
      <w:r>
        <w:rPr>
          <w:rStyle w:val="Strong"/>
          <w:i/>
          <w:iCs/>
          <w:color w:val="auto"/>
          <w:sz w:val="22"/>
          <w:szCs w:val="22"/>
        </w:rPr>
        <w:t>Prepared three preliminary risk entries:</w:t>
      </w:r>
      <w:r>
        <w:rPr>
          <w:i/>
          <w:iCs/>
          <w:color w:val="auto"/>
          <w:sz w:val="22"/>
          <w:szCs w:val="22"/>
        </w:rPr>
        <w:t xml:space="preserve"> Linked broad role-passing permissions, Mighty’s unrestricted permissions, and reliance on external-access analysis alone to affected business assets and potential impacts. Recorded recommendations for restricting permissions and improving monitoring. The required </w:t>
      </w:r>
      <w:r>
        <w:rPr>
          <w:rStyle w:val="SourceText"/>
          <w:i/>
          <w:iCs/>
          <w:color w:val="auto"/>
          <w:sz w:val="22"/>
          <w:szCs w:val="22"/>
        </w:rPr>
        <w:t>risk_matrix.xlsx</w:t>
      </w:r>
      <w:r>
        <w:rPr>
          <w:i/>
          <w:iCs/>
          <w:color w:val="auto"/>
          <w:sz w:val="22"/>
          <w:szCs w:val="22"/>
        </w:rPr>
        <w:t xml:space="preserve"> file remains to be created.</w:t>
      </w:r>
    </w:p>
    <w:p>
      <w:pPr>
        <w:pStyle w:val="BodyText"/>
        <w:spacing w:lineRule="auto" w:line="259" w:before="0" w:after="120"/>
        <w:rPr>
          <w:i/>
          <w:i/>
          <w:iCs/>
          <w:color w:val="auto"/>
          <w:sz w:val="22"/>
          <w:szCs w:val="22"/>
        </w:rPr>
      </w:pPr>
      <w:r>
        <w:rPr>
          <w:rStyle w:val="Strong"/>
          <w:i/>
          <w:iCs/>
          <w:color w:val="auto"/>
          <w:sz w:val="22"/>
          <w:szCs w:val="22"/>
        </w:rPr>
        <w:t>Used AI-assisted analysis:</w:t>
      </w:r>
      <w:r>
        <w:rPr>
          <w:i/>
          <w:iCs/>
          <w:color w:val="auto"/>
          <w:sz w:val="22"/>
          <w:szCs w:val="22"/>
        </w:rPr>
        <w:t xml:space="preserve"> Used ChatGPT to summarise the three risks in management-level language, highlighting potential unauthorised access, data exposure, infrastructure changes, and service disruption.</w:t>
      </w:r>
    </w:p>
    <w:p>
      <w:pPr>
        <w:pStyle w:val="BodyText"/>
        <w:spacing w:lineRule="auto" w:line="259" w:before="0" w:after="120"/>
        <w:rPr>
          <w:i/>
          <w:i/>
          <w:iCs/>
          <w:color w:val="auto"/>
          <w:sz w:val="22"/>
          <w:szCs w:val="22"/>
        </w:rPr>
      </w:pPr>
      <w:r>
        <w:rPr>
          <w:i/>
          <w:iCs/>
          <w:color w:val="auto"/>
          <w:sz w:val="22"/>
          <w:szCs w:val="22"/>
        </w:rPr>
        <w:t>No CLI commands or IAM policy changes were performed during Phase D. Hardening recommendations were documented but not implemented.</w:t>
      </w:r>
    </w:p>
    <w:p>
      <w:pPr>
        <w:pStyle w:val="Normal"/>
        <w:spacing w:before="0" w:after="120"/>
        <w:rPr>
          <w:color w:val="auto"/>
          <w:sz w:val="22"/>
          <w:szCs w:val="22"/>
        </w:rPr>
      </w:pPr>
      <w:r>
        <w:rPr>
          <w:color w:val="auto"/>
          <w:sz w:val="22"/>
          <w:szCs w:val="22"/>
        </w:rPr>
      </w:r>
    </w:p>
    <w:p>
      <w:pPr>
        <w:pStyle w:val="Normal"/>
        <w:spacing w:before="0" w:after="40"/>
        <w:rPr/>
      </w:pPr>
      <w:r>
        <w:rPr>
          <w:b/>
          <w:bCs/>
          <w:i/>
          <w:iCs/>
          <w:color w:val="6B8CA3"/>
          <w:sz w:val="18"/>
          <w:szCs w:val="18"/>
        </w:rPr>
        <w:t>Example — CLI command syntax:</w:t>
      </w:r>
    </w:p>
    <w:p>
      <w:pPr>
        <w:pStyle w:val="Normal"/>
        <w:pBdr>
          <w:left w:val="single" w:sz="12" w:space="0" w:color="C6D3DB"/>
        </w:pBdr>
        <w:shd w:val="clear" w:color="auto" w:fill="F4F7F9"/>
        <w:spacing w:before="0" w:after="120"/>
        <w:ind w:left="288"/>
        <w:rPr/>
      </w:pPr>
      <w:r>
        <w:rPr>
          <w:rFonts w:eastAsia="Courier New" w:cs="Courier New" w:ascii="Courier New" w:hAnsi="Courier New"/>
          <w:color w:val="0D2137"/>
          <w:sz w:val="18"/>
          <w:szCs w:val="18"/>
        </w:rPr>
        <w:t>[aws service command --flag value] # Paste relevant output here — redact sensitive values such as account IDs where necessary</w:t>
      </w:r>
    </w:p>
    <w:p>
      <w:pPr>
        <w:pStyle w:val="Normal"/>
        <w:spacing w:before="0" w:after="120"/>
        <w:rPr>
          <w:color w:val="auto"/>
        </w:rPr>
      </w:pPr>
      <w:r>
        <w:rPr>
          <w:color w:val="auto"/>
        </w:rPr>
      </w:r>
    </w:p>
    <w:p>
      <w:pPr>
        <w:pStyle w:val="Normal"/>
        <w:spacing w:before="0" w:after="80"/>
        <w:rPr/>
      </w:pPr>
      <w:r>
        <w:rPr/>
      </w:r>
    </w:p>
    <w:p>
      <w:pPr>
        <w:pStyle w:val="Heading3"/>
        <w:spacing w:before="200" w:after="80"/>
        <w:rPr>
          <w:color w:val="auto"/>
          <w:sz w:val="28"/>
          <w:szCs w:val="28"/>
        </w:rPr>
      </w:pPr>
      <w:r>
        <w:rPr>
          <w:b/>
          <w:bCs/>
          <w:color w:val="auto"/>
          <w:sz w:val="22"/>
          <w:szCs w:val="22"/>
        </w:rPr>
        <w:t>Key Observations</w:t>
      </w:r>
    </w:p>
    <w:p>
      <w:pPr>
        <w:pStyle w:val="BodyText"/>
        <w:spacing w:lineRule="auto" w:line="259" w:before="0" w:after="120"/>
        <w:rPr>
          <w:i/>
          <w:i/>
          <w:iCs/>
          <w:color w:val="auto"/>
          <w:sz w:val="22"/>
          <w:szCs w:val="22"/>
        </w:rPr>
      </w:pPr>
      <w:r>
        <w:rPr>
          <w:i/>
          <w:iCs/>
          <w:color w:val="auto"/>
          <w:sz w:val="22"/>
          <w:szCs w:val="22"/>
        </w:rPr>
        <w:t xml:space="preserve">Access Analyzer displayed </w:t>
      </w:r>
      <w:r>
        <w:rPr>
          <w:rStyle w:val="Strong"/>
          <w:i/>
          <w:iCs/>
          <w:color w:val="auto"/>
          <w:sz w:val="22"/>
          <w:szCs w:val="22"/>
        </w:rPr>
        <w:t>no external-access findings</w:t>
      </w:r>
      <w:r>
        <w:rPr>
          <w:i/>
          <w:iCs/>
          <w:color w:val="auto"/>
          <w:sz w:val="22"/>
          <w:szCs w:val="22"/>
        </w:rPr>
        <w:t>, demonstrating why its results must be interpreted within the analyzer’s scope. This added to Phase C by showing that external-access analysis does not address the same-account escalation path identified through manual policy inspection.</w:t>
      </w:r>
    </w:p>
    <w:p>
      <w:pPr>
        <w:pStyle w:val="BodyText"/>
        <w:spacing w:lineRule="auto" w:line="259" w:before="0" w:after="120"/>
        <w:rPr>
          <w:i/>
          <w:i/>
          <w:iCs/>
          <w:color w:val="auto"/>
          <w:sz w:val="22"/>
          <w:szCs w:val="22"/>
        </w:rPr>
      </w:pPr>
      <w:r>
        <w:rPr>
          <w:i/>
          <w:iCs/>
          <w:color w:val="auto"/>
          <w:sz w:val="22"/>
          <w:szCs w:val="22"/>
        </w:rPr>
        <w:t>No hardening controls were applied during this phase. Kerrigan’s broad role-passing and instance-profile permissions and Mighty’s unrestricted policy therefore remain unresolved. Stopping the EC2 instances does not remove these IAM permissions.</w:t>
      </w:r>
    </w:p>
    <w:p>
      <w:pPr>
        <w:pStyle w:val="BodyText"/>
        <w:spacing w:lineRule="auto" w:line="259" w:before="0" w:after="120"/>
        <w:rPr>
          <w:i/>
          <w:i/>
          <w:iCs/>
          <w:color w:val="auto"/>
          <w:sz w:val="22"/>
          <w:szCs w:val="22"/>
        </w:rPr>
      </w:pPr>
      <w:r>
        <w:rPr>
          <w:i/>
          <w:iCs/>
          <w:color w:val="auto"/>
          <w:sz w:val="22"/>
          <w:szCs w:val="22"/>
        </w:rPr>
        <w:t>The AI-assisted summary aligned with the technical assessment and translated the potential consequences into business terms: unauthorised data access, infrastructure modification, and service disruption. It supported communication of the findings but did not independently validate exploitability.</w:t>
      </w:r>
    </w:p>
    <w:p>
      <w:pPr>
        <w:pStyle w:val="BodyText"/>
        <w:spacing w:lineRule="auto" w:line="259" w:before="0" w:after="120"/>
        <w:rPr>
          <w:i/>
          <w:i/>
          <w:iCs/>
          <w:color w:val="auto"/>
          <w:sz w:val="22"/>
          <w:szCs w:val="22"/>
        </w:rPr>
      </w:pPr>
      <w:r>
        <w:rPr>
          <w:i/>
          <w:iCs/>
          <w:color w:val="auto"/>
          <w:sz w:val="22"/>
          <w:szCs w:val="22"/>
        </w:rPr>
        <w:t>The extension highlighted the need to combine external-access analysis with identity-policy reviews and monitoring. No additional hosted lab was completed during this phase.</w:t>
      </w:r>
    </w:p>
    <w:p>
      <w:pPr>
        <w:pStyle w:val="Normal"/>
        <w:spacing w:before="0" w:after="120"/>
        <w:rPr>
          <w:color w:val="auto"/>
          <w:sz w:val="22"/>
          <w:szCs w:val="22"/>
        </w:rPr>
      </w:pPr>
      <w:r>
        <w:rPr>
          <w:color w:val="auto"/>
          <w:sz w:val="22"/>
          <w:szCs w:val="22"/>
        </w:rPr>
      </w:r>
    </w:p>
    <w:p>
      <w:pPr>
        <w:pStyle w:val="Heading3"/>
        <w:spacing w:before="200" w:after="80"/>
        <w:rPr>
          <w:color w:val="auto"/>
          <w:sz w:val="28"/>
          <w:szCs w:val="28"/>
        </w:rPr>
      </w:pPr>
      <w:r>
        <w:rPr>
          <w:b/>
          <w:bCs/>
          <w:color w:val="auto"/>
          <w:sz w:val="22"/>
          <w:szCs w:val="22"/>
        </w:rPr>
        <w:t>Evidence Produced</w:t>
      </w:r>
    </w:p>
    <w:p>
      <w:pPr>
        <w:pStyle w:val="Normal"/>
        <w:spacing w:before="0" w:after="120"/>
        <w:rPr>
          <w:color w:val="auto"/>
          <w:sz w:val="22"/>
          <w:szCs w:val="22"/>
        </w:rPr>
      </w:pPr>
      <w:r>
        <w:rPr>
          <w:color w:val="auto"/>
          <w:sz w:val="22"/>
          <w:szCs w:val="22"/>
        </w:rPr>
      </w:r>
    </w:p>
    <w:p>
      <w:pPr>
        <w:pStyle w:val="BodyText"/>
        <w:numPr>
          <w:ilvl w:val="0"/>
          <w:numId w:val="90"/>
        </w:numPr>
        <w:spacing w:before="0" w:after="60"/>
        <w:ind w:hanging="360" w:left="360"/>
        <w:rPr>
          <w:color w:val="auto"/>
          <w:sz w:val="22"/>
          <w:szCs w:val="22"/>
        </w:rPr>
      </w:pPr>
      <w:r>
        <w:rPr>
          <w:rStyle w:val="Strong"/>
          <w:i/>
          <w:iCs/>
          <w:color w:val="auto"/>
          <w:sz w:val="22"/>
          <w:szCs w:val="22"/>
        </w:rPr>
        <w:t>PhaseD_access_analyser_findings.png</w:t>
      </w:r>
      <w:r>
        <w:rPr>
          <w:i/>
          <w:iCs/>
          <w:color w:val="auto"/>
          <w:sz w:val="22"/>
          <w:szCs w:val="22"/>
        </w:rPr>
        <w:t xml:space="preserve"> — Shows no external-access findings displayed at the time of review.</w:t>
      </w:r>
    </w:p>
    <w:p>
      <w:pPr>
        <w:pStyle w:val="BodyText"/>
        <w:numPr>
          <w:ilvl w:val="0"/>
          <w:numId w:val="91"/>
        </w:numPr>
        <w:spacing w:before="0" w:after="60"/>
        <w:ind w:hanging="360" w:left="360"/>
        <w:rPr>
          <w:color w:val="auto"/>
          <w:sz w:val="22"/>
          <w:szCs w:val="22"/>
        </w:rPr>
      </w:pPr>
      <w:r>
        <w:rPr>
          <w:rStyle w:val="Strong"/>
          <w:i/>
          <w:iCs/>
          <w:color w:val="auto"/>
          <w:sz w:val="22"/>
          <w:szCs w:val="22"/>
        </w:rPr>
        <w:t>PhaseD_risk_matrix.xlsx</w:t>
      </w:r>
      <w:r>
        <w:rPr>
          <w:i/>
          <w:iCs/>
          <w:color w:val="auto"/>
          <w:sz w:val="22"/>
          <w:szCs w:val="22"/>
        </w:rPr>
        <w:t xml:space="preserve"> — Records three IAM risks, affected business assets, potential impacts, risk ratings, and recommended mitigations.</w:t>
      </w:r>
    </w:p>
    <w:p>
      <w:pPr>
        <w:pStyle w:val="BodyText"/>
        <w:numPr>
          <w:ilvl w:val="0"/>
          <w:numId w:val="92"/>
        </w:numPr>
        <w:spacing w:before="0" w:after="60"/>
        <w:ind w:hanging="360" w:left="360"/>
        <w:rPr>
          <w:color w:val="auto"/>
          <w:sz w:val="22"/>
          <w:szCs w:val="22"/>
        </w:rPr>
      </w:pPr>
      <w:r>
        <w:rPr>
          <w:rStyle w:val="Strong"/>
          <w:i/>
          <w:iCs/>
          <w:color w:val="auto"/>
          <w:sz w:val="22"/>
          <w:szCs w:val="22"/>
        </w:rPr>
        <w:t>PhaseD_external_access.png</w:t>
      </w:r>
      <w:r>
        <w:rPr>
          <w:i/>
          <w:iCs/>
          <w:color w:val="auto"/>
          <w:sz w:val="22"/>
          <w:szCs w:val="22"/>
        </w:rPr>
        <w:t xml:space="preserve"> — Shows the external-access analyzer configuration and current-account zone of trust.  </w:t>
      </w:r>
    </w:p>
    <w:p>
      <w:pPr>
        <w:pStyle w:val="ListParagraph"/>
        <w:numPr>
          <w:ilvl w:val="0"/>
          <w:numId w:val="0"/>
        </w:numPr>
        <w:spacing w:before="0" w:after="60"/>
        <w:ind w:hanging="0" w:left="360"/>
        <w:rPr>
          <w:color w:val="auto"/>
          <w:sz w:val="22"/>
          <w:szCs w:val="22"/>
        </w:rPr>
      </w:pPr>
      <w:r>
        <w:rPr>
          <w:color w:val="auto"/>
          <w:sz w:val="22"/>
          <w:szCs w:val="22"/>
        </w:rPr>
      </w:r>
    </w:p>
    <w:p>
      <w:pPr>
        <w:pStyle w:val="Heading3"/>
        <w:spacing w:before="200" w:after="80"/>
        <w:rPr>
          <w:color w:val="auto"/>
          <w:sz w:val="28"/>
          <w:szCs w:val="28"/>
        </w:rPr>
      </w:pPr>
      <w:r>
        <w:rPr>
          <w:b/>
          <w:bCs/>
          <w:color w:val="auto"/>
          <w:sz w:val="22"/>
          <w:szCs w:val="22"/>
        </w:rPr>
        <w:t>Risk Matrix (Phase D Output)</w:t>
      </w:r>
    </w:p>
    <w:p>
      <w:pPr>
        <w:pStyle w:val="Normal"/>
        <w:spacing w:before="0" w:after="120"/>
        <w:rPr>
          <w:color w:val="auto"/>
          <w:sz w:val="22"/>
          <w:szCs w:val="22"/>
        </w:rPr>
      </w:pPr>
      <w:r>
        <w:rPr>
          <w:i/>
          <w:iCs/>
          <w:color w:val="auto"/>
          <w:sz w:val="22"/>
          <w:szCs w:val="22"/>
        </w:rPr>
        <w:t>[Reproduce or summarise your risk matrix here. If you produced it as a separate file (e.g. PhaseD_RiskMatrix.xlsx), include a screenshot of the matrix below and reference the full file as a deliverable. The risk matrix should cover at least 3 findings from this task.]</w:t>
      </w:r>
    </w:p>
    <w:tbl>
      <w:tblPr>
        <w:tblW w:w="10206"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200"/>
        <w:gridCol w:w="1799"/>
        <w:gridCol w:w="1400"/>
        <w:gridCol w:w="1201"/>
        <w:gridCol w:w="1200"/>
        <w:gridCol w:w="759"/>
        <w:gridCol w:w="1646"/>
      </w:tblGrid>
      <w:tr>
        <w:trPr>
          <w:tblHeader w:val="true"/>
        </w:trPr>
        <w:tc>
          <w:tcPr>
            <w:tcW w:w="22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Cloud Asset / Resource</w:t>
            </w:r>
          </w:p>
        </w:tc>
        <w:tc>
          <w:tcPr>
            <w:tcW w:w="1799"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Threat / Risk</w:t>
            </w:r>
          </w:p>
        </w:tc>
        <w:tc>
          <w:tcPr>
            <w:tcW w:w="14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MITRE Ref.</w:t>
            </w:r>
          </w:p>
        </w:tc>
        <w:tc>
          <w:tcPr>
            <w:tcW w:w="1201"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Likelihood (1–5)</w:t>
            </w:r>
          </w:p>
        </w:tc>
        <w:tc>
          <w:tcPr>
            <w:tcW w:w="12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Impact (1–5)</w:t>
            </w:r>
          </w:p>
        </w:tc>
        <w:tc>
          <w:tcPr>
            <w:tcW w:w="759"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Score</w:t>
            </w:r>
          </w:p>
        </w:tc>
        <w:tc>
          <w:tcPr>
            <w:tcW w:w="1646"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Rating</w:t>
            </w:r>
          </w:p>
        </w:tc>
      </w:tr>
      <w:tr>
        <w:trPr/>
        <w:tc>
          <w:tcPr>
            <w:tcW w:w="22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Kerrigan user, IAM instance profiles, and EC2 workloads</w:t>
            </w:r>
          </w:p>
        </w:tc>
        <w:tc>
          <w:tcPr>
            <w:tcW w:w="179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Broad role-passing and instance-profile permissions could enable escalation through a more privileged EC2 role.</w:t>
            </w:r>
          </w:p>
        </w:tc>
        <w:tc>
          <w:tcPr>
            <w:tcW w:w="14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T1098.003 — Additional Cloud Roles</w:t>
            </w:r>
          </w:p>
        </w:tc>
        <w:tc>
          <w:tcPr>
            <w:tcW w:w="120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4</w:t>
            </w:r>
          </w:p>
        </w:tc>
        <w:tc>
          <w:tcPr>
            <w:tcW w:w="12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5</w:t>
            </w:r>
          </w:p>
        </w:tc>
        <w:tc>
          <w:tcPr>
            <w:tcW w:w="75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20</w:t>
            </w:r>
          </w:p>
        </w:tc>
        <w:tc>
          <w:tcPr>
            <w:tcW w:w="164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Critical</w:t>
            </w:r>
          </w:p>
        </w:tc>
      </w:tr>
      <w:tr>
        <w:trPr/>
        <w:tc>
          <w:tcPr>
            <w:tcW w:w="22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Mighty role and account resources accessible through it</w:t>
            </w:r>
          </w:p>
        </w:tc>
        <w:tc>
          <w:tcPr>
            <w:tcW w:w="179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Unrestricted permissions could allow data exposure, infrastructure modification, or service disruption if the role is misused.</w:t>
            </w:r>
          </w:p>
        </w:tc>
        <w:tc>
          <w:tcPr>
            <w:tcW w:w="14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T1078.004 — Cloud Accounts</w:t>
            </w:r>
          </w:p>
        </w:tc>
        <w:tc>
          <w:tcPr>
            <w:tcW w:w="120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3</w:t>
            </w:r>
          </w:p>
        </w:tc>
        <w:tc>
          <w:tcPr>
            <w:tcW w:w="12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5</w:t>
            </w:r>
          </w:p>
        </w:tc>
        <w:tc>
          <w:tcPr>
            <w:tcW w:w="75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15</w:t>
            </w:r>
          </w:p>
        </w:tc>
        <w:tc>
          <w:tcPr>
            <w:tcW w:w="164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High</w:t>
            </w:r>
          </w:p>
        </w:tc>
      </w:tr>
      <w:tr>
        <w:trPr/>
        <w:tc>
          <w:tcPr>
            <w:tcW w:w="22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IAM security monitoring and assurance</w:t>
            </w:r>
          </w:p>
        </w:tc>
        <w:tc>
          <w:tcPr>
            <w:tcW w:w="179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Relying only on external-access findings could leave same-account escalation risks undetected.</w:t>
            </w:r>
          </w:p>
        </w:tc>
        <w:tc>
          <w:tcPr>
            <w:tcW w:w="14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No direct mapping — visibility gap</w:t>
            </w:r>
          </w:p>
        </w:tc>
        <w:tc>
          <w:tcPr>
            <w:tcW w:w="120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3</w:t>
            </w:r>
          </w:p>
        </w:tc>
        <w:tc>
          <w:tcPr>
            <w:tcW w:w="12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4</w:t>
            </w:r>
          </w:p>
        </w:tc>
        <w:tc>
          <w:tcPr>
            <w:tcW w:w="75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12</w:t>
            </w:r>
          </w:p>
        </w:tc>
        <w:tc>
          <w:tcPr>
            <w:tcW w:w="164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High</w:t>
            </w:r>
          </w:p>
        </w:tc>
      </w:tr>
      <w:tr>
        <w:trPr/>
        <w:tc>
          <w:tcPr>
            <w:tcW w:w="22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[Add rows as needed]</w:t>
            </w:r>
          </w:p>
        </w:tc>
        <w:tc>
          <w:tcPr>
            <w:tcW w:w="179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c>
          <w:tcPr>
            <w:tcW w:w="14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c>
          <w:tcPr>
            <w:tcW w:w="120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c>
          <w:tcPr>
            <w:tcW w:w="12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c>
          <w:tcPr>
            <w:tcW w:w="75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c>
          <w:tcPr>
            <w:tcW w:w="164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r>
    </w:tbl>
    <w:p>
      <w:pPr>
        <w:pStyle w:val="Normal"/>
        <w:spacing w:before="0" w:after="80"/>
        <w:rPr/>
      </w:pPr>
      <w:r>
        <w:rPr/>
      </w:r>
    </w:p>
    <w:p>
      <w:pPr>
        <w:pStyle w:val="Normal"/>
        <w:spacing w:before="0" w:after="120"/>
        <w:rPr/>
      </w:pPr>
      <w:r>
        <w:rPr>
          <w:i/>
          <w:iCs/>
          <w:color w:val="6B8CA3"/>
          <w:sz w:val="20"/>
          <w:szCs w:val="20"/>
        </w:rPr>
        <w:t>Score = Likelihood × Impact  |  1–4: Low  |  5–9: Medium  |  10–14: High  |  15–25: Critical</w:t>
      </w:r>
    </w:p>
    <w:p>
      <w:pPr>
        <w:pStyle w:val="Normal"/>
        <w:spacing w:before="0" w:after="0"/>
        <w:rPr/>
      </w:pPr>
      <w:r>
        <w:rPr/>
      </w:r>
    </w:p>
    <w:p>
      <w:pPr>
        <w:pStyle w:val="Heading2"/>
        <w:rPr>
          <w:b/>
          <w:bCs/>
          <w:color w:themeColor="text2" w:themeShade="bf" w:val="323E4F"/>
        </w:rPr>
      </w:pPr>
      <w:r>
        <w:rPr>
          <w:b/>
          <w:bCs/>
          <w:color w:themeColor="text2" w:themeShade="bf" w:val="323E4F"/>
        </w:rPr>
        <w:t>Phase E: Hosted Lab Integration</w:t>
      </w:r>
    </w:p>
    <w:tbl>
      <w:tblPr>
        <w:tblW w:w="9360" w:type="dxa"/>
        <w:jc w:val="left"/>
        <w:tblInd w:w="0" w:type="dxa"/>
        <w:tblLayout w:type="fixed"/>
        <w:tblCellMar>
          <w:top w:w="80" w:type="dxa"/>
          <w:left w:w="120" w:type="dxa"/>
          <w:bottom w:w="80" w:type="dxa"/>
          <w:right w:w="120" w:type="dxa"/>
        </w:tblCellMar>
        <w:tblLook w:firstRow="1" w:noVBand="1" w:lastRow="0" w:firstColumn="1" w:lastColumn="0" w:noHBand="0" w:val="04a0"/>
      </w:tblPr>
      <w:tblGrid>
        <w:gridCol w:w="2199"/>
        <w:gridCol w:w="7160"/>
      </w:tblGrid>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Phase Objective</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b w:val="false"/>
                <w:bCs w:val="false"/>
                <w:i/>
                <w:i/>
                <w:iCs/>
                <w:color w:val="2E7EB8"/>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2D3748"/>
                <w:spacing w:val="0"/>
                <w:sz w:val="20"/>
                <w:szCs w:val="20"/>
              </w:rPr>
              <w:t>Reinforce learning through guided external labs.</w:t>
            </w:r>
          </w:p>
        </w:tc>
      </w:tr>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Estimated Time</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color w:val="000000"/>
              </w:rPr>
            </w:pPr>
            <w:r>
              <w:rPr>
                <w:i/>
                <w:iCs/>
                <w:color w:val="000000"/>
                <w:sz w:val="20"/>
                <w:szCs w:val="20"/>
              </w:rPr>
              <w:t>240 minutes</w:t>
            </w:r>
          </w:p>
        </w:tc>
      </w:tr>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pPr>
            <w:r>
              <w:rPr>
                <w:b/>
                <w:bCs/>
                <w:sz w:val="20"/>
                <w:szCs w:val="20"/>
              </w:rPr>
              <w:t>Evidence File(s)</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color w:val="000000"/>
              </w:rPr>
            </w:pPr>
            <w:r>
              <w:rPr>
                <w:i/>
                <w:iCs/>
                <w:color w:val="000000"/>
                <w:sz w:val="20"/>
                <w:szCs w:val="20"/>
              </w:rPr>
              <w:t>Phase</w:t>
            </w:r>
            <w:r>
              <w:rPr>
                <w:i/>
                <w:iCs/>
                <w:color w:val="000000"/>
                <w:sz w:val="20"/>
                <w:szCs w:val="20"/>
              </w:rPr>
              <w:t>E</w:t>
            </w:r>
            <w:r>
              <w:rPr>
                <w:i/>
                <w:iCs/>
                <w:color w:val="000000"/>
                <w:sz w:val="20"/>
                <w:szCs w:val="20"/>
              </w:rPr>
              <w:t>_</w:t>
            </w:r>
            <w:r>
              <w:rPr>
                <w:i/>
                <w:iCs/>
                <w:color w:val="000000"/>
                <w:sz w:val="20"/>
                <w:szCs w:val="20"/>
              </w:rPr>
              <w:t>cybr_lab_completed.png,PhaseE_pwnedlab_hash_cracking.png,PhaseE_public_bucket_listing.png</w:t>
            </w:r>
          </w:p>
        </w:tc>
      </w:tr>
    </w:tbl>
    <w:p>
      <w:pPr>
        <w:pStyle w:val="Heading3"/>
        <w:rPr>
          <w:color w:val="auto"/>
        </w:rPr>
      </w:pPr>
      <w:r>
        <w:rPr>
          <w:color w:val="auto"/>
        </w:rPr>
      </w:r>
    </w:p>
    <w:p>
      <w:pPr>
        <w:pStyle w:val="Heading3"/>
        <w:rPr>
          <w:color w:val="auto"/>
        </w:rPr>
      </w:pPr>
      <w:r>
        <w:rPr>
          <w:color w:val="auto"/>
        </w:rPr>
      </w:r>
    </w:p>
    <w:p>
      <w:pPr>
        <w:pStyle w:val="Heading3"/>
        <w:rPr>
          <w:color w:val="auto"/>
        </w:rPr>
      </w:pPr>
      <w:r>
        <w:rPr>
          <w:color w:val="auto"/>
        </w:rPr>
        <w:t>Actions Taken</w:t>
      </w:r>
    </w:p>
    <w:p>
      <w:pPr>
        <w:pStyle w:val="BodyText"/>
        <w:spacing w:lineRule="auto" w:line="259" w:before="60" w:after="80"/>
        <w:rPr>
          <w:color w:val="auto"/>
          <w:sz w:val="22"/>
          <w:szCs w:val="22"/>
        </w:rPr>
      </w:pPr>
      <w:r>
        <w:rPr>
          <w:rStyle w:val="Strong"/>
          <w:color w:val="auto"/>
          <w:sz w:val="22"/>
          <w:szCs w:val="22"/>
        </w:rPr>
        <w:t xml:space="preserve"> </w:t>
      </w:r>
      <w:r>
        <w:rPr>
          <w:rStyle w:val="Strong"/>
          <w:color w:val="auto"/>
          <w:sz w:val="22"/>
          <w:szCs w:val="22"/>
        </w:rPr>
        <w:t>C</w:t>
      </w:r>
      <w:r>
        <w:rPr>
          <w:rStyle w:val="Strong"/>
          <w:color w:val="auto"/>
          <w:sz w:val="22"/>
          <w:szCs w:val="22"/>
        </w:rPr>
        <w:t>ompleted the Cybr lab – Generate IAM Credentials Reports</w:t>
      </w:r>
    </w:p>
    <w:p>
      <w:pPr>
        <w:pStyle w:val="BodyText"/>
        <w:spacing w:lineRule="auto" w:line="259" w:before="60" w:after="80"/>
        <w:rPr>
          <w:i/>
          <w:i/>
          <w:iCs/>
          <w:color w:val="auto"/>
          <w:sz w:val="22"/>
          <w:szCs w:val="22"/>
        </w:rPr>
      </w:pPr>
      <w:r>
        <w:rPr>
          <w:i/>
          <w:iCs/>
          <w:color w:val="auto"/>
          <w:sz w:val="22"/>
          <w:szCs w:val="22"/>
        </w:rPr>
        <w:t>I generated and downloaded an IAM credential report through the AWS Console. I examined the report’s fields to understand how they show console password status, MFA activation, and access-key activity.</w:t>
      </w:r>
    </w:p>
    <w:p>
      <w:pPr>
        <w:pStyle w:val="BodyText"/>
        <w:spacing w:lineRule="auto" w:line="259" w:before="60" w:after="80"/>
        <w:rPr>
          <w:i/>
          <w:i/>
          <w:iCs/>
          <w:color w:val="auto"/>
          <w:sz w:val="22"/>
          <w:szCs w:val="22"/>
        </w:rPr>
      </w:pPr>
      <w:r>
        <w:rPr>
          <w:i/>
          <w:iCs/>
          <w:color w:val="auto"/>
          <w:sz w:val="22"/>
          <w:szCs w:val="22"/>
        </w:rPr>
        <w:t>I then used the AWS CLI to generate and retrieve the report:</w:t>
      </w:r>
    </w:p>
    <w:p>
      <w:pPr>
        <w:pStyle w:val="PreformattedText"/>
        <w:bidi w:val="0"/>
        <w:spacing w:before="60" w:after="80"/>
        <w:ind w:hanging="0" w:left="0" w:right="0"/>
        <w:rPr>
          <w:rFonts w:ascii="Calibri" w:hAnsi="Calibri" w:eastAsia="Calibri" w:cs="Calibri"/>
          <w:color w:val="auto"/>
          <w:sz w:val="22"/>
          <w:szCs w:val="22"/>
        </w:rPr>
      </w:pPr>
      <w:r>
        <w:rPr>
          <w:rStyle w:val="SourceText"/>
          <w:rFonts w:ascii="Calibri" w:hAnsi="Calibri"/>
          <w:i/>
          <w:iCs/>
          <w:color w:val="auto"/>
          <w:sz w:val="22"/>
          <w:szCs w:val="22"/>
        </w:rPr>
        <w:t>aws iam generate-credential-report</w:t>
      </w:r>
    </w:p>
    <w:p>
      <w:pPr>
        <w:pStyle w:val="PreformattedText"/>
        <w:bidi w:val="0"/>
        <w:spacing w:before="60" w:after="80"/>
        <w:rPr>
          <w:rFonts w:ascii="Calibri" w:hAnsi="Calibri" w:eastAsia="Calibri" w:cs="Calibri"/>
          <w:color w:val="auto"/>
          <w:sz w:val="22"/>
          <w:szCs w:val="22"/>
        </w:rPr>
      </w:pPr>
      <w:r>
        <w:rPr>
          <w:rStyle w:val="SourceText"/>
          <w:rFonts w:ascii="Calibri" w:hAnsi="Calibri"/>
          <w:i/>
          <w:iCs/>
          <w:color w:val="auto"/>
          <w:sz w:val="22"/>
          <w:szCs w:val="22"/>
        </w:rPr>
        <w:t>aws iam get-credential-report</w:t>
      </w:r>
    </w:p>
    <w:p>
      <w:pPr>
        <w:pStyle w:val="BodyText"/>
        <w:bidi w:val="0"/>
        <w:spacing w:lineRule="auto" w:line="259" w:before="60" w:after="80"/>
        <w:ind w:hanging="0" w:left="0" w:right="0"/>
        <w:rPr>
          <w:color w:val="auto"/>
          <w:sz w:val="22"/>
          <w:szCs w:val="22"/>
        </w:rPr>
      </w:pPr>
      <w:r>
        <w:rPr>
          <w:i/>
          <w:iCs/>
          <w:color w:val="auto"/>
          <w:sz w:val="22"/>
          <w:szCs w:val="22"/>
        </w:rPr>
        <w:t xml:space="preserve">The retrieved report contained Base64-encoded content, and its </w:t>
      </w:r>
      <w:r>
        <w:rPr>
          <w:rStyle w:val="SourceText"/>
          <w:i/>
          <w:iCs/>
          <w:color w:val="auto"/>
          <w:sz w:val="22"/>
          <w:szCs w:val="22"/>
        </w:rPr>
        <w:t>ReportFormat</w:t>
      </w:r>
      <w:r>
        <w:rPr>
          <w:i/>
          <w:iCs/>
          <w:color w:val="auto"/>
          <w:sz w:val="22"/>
          <w:szCs w:val="22"/>
        </w:rPr>
        <w:t xml:space="preserve"> field showed </w:t>
      </w:r>
      <w:r>
        <w:rPr>
          <w:rStyle w:val="SourceText"/>
          <w:i/>
          <w:iCs/>
          <w:color w:val="auto"/>
          <w:sz w:val="22"/>
          <w:szCs w:val="22"/>
        </w:rPr>
        <w:t>text/csv</w:t>
      </w:r>
      <w:r>
        <w:rPr>
          <w:i/>
          <w:iCs/>
          <w:color w:val="auto"/>
          <w:sz w:val="22"/>
          <w:szCs w:val="22"/>
        </w:rPr>
        <w:t>. I reviewed how to decode the content into readable text. The PowerShell command provided in the exercise was:</w:t>
      </w:r>
    </w:p>
    <w:p>
      <w:pPr>
        <w:pStyle w:val="PreformattedText"/>
        <w:bidi w:val="0"/>
        <w:spacing w:before="60" w:after="80"/>
        <w:ind w:hanging="0" w:left="0" w:right="0"/>
        <w:rPr>
          <w:rFonts w:ascii="Calibri" w:hAnsi="Calibri" w:eastAsia="Calibri" w:cs="Calibri"/>
          <w:color w:val="auto"/>
          <w:sz w:val="22"/>
          <w:szCs w:val="22"/>
        </w:rPr>
      </w:pPr>
      <w:r>
        <w:rPr>
          <w:rStyle w:val="SourceText"/>
          <w:rFonts w:ascii="Calibri" w:hAnsi="Calibri"/>
          <w:i/>
          <w:iCs/>
          <w:color w:val="auto"/>
          <w:sz w:val="22"/>
          <w:szCs w:val="22"/>
        </w:rPr>
        <w:t>aws iam get-credential-report --output text --query Content | % { [System.Text.Encoding]::UTF8.GetString([System.Convert]::FromBase64String($_)) }</w:t>
      </w:r>
    </w:p>
    <w:p>
      <w:pPr>
        <w:pStyle w:val="BodyText"/>
        <w:bidi w:val="0"/>
        <w:spacing w:lineRule="auto" w:line="259" w:before="60" w:after="80"/>
        <w:ind w:hanging="0" w:left="0" w:right="0"/>
        <w:rPr>
          <w:color w:val="auto"/>
          <w:sz w:val="22"/>
          <w:szCs w:val="22"/>
        </w:rPr>
      </w:pPr>
      <w:r>
        <w:rPr>
          <w:i/>
          <w:iCs/>
          <w:color w:val="auto"/>
          <w:sz w:val="22"/>
          <w:szCs w:val="22"/>
        </w:rPr>
        <w:t xml:space="preserve">In the supplied decoded example, I identified </w:t>
      </w:r>
      <w:r>
        <w:rPr>
          <w:rStyle w:val="SourceText"/>
          <w:i/>
          <w:iCs/>
          <w:color w:val="auto"/>
          <w:sz w:val="22"/>
          <w:szCs w:val="22"/>
        </w:rPr>
        <w:t>not_supported</w:t>
      </w:r>
      <w:r>
        <w:rPr>
          <w:i/>
          <w:iCs/>
          <w:color w:val="auto"/>
          <w:sz w:val="22"/>
          <w:szCs w:val="22"/>
        </w:rPr>
        <w:t xml:space="preserve"> as the root account’s </w:t>
      </w:r>
      <w:r>
        <w:rPr>
          <w:rStyle w:val="SourceText"/>
          <w:i/>
          <w:iCs/>
          <w:color w:val="auto"/>
          <w:sz w:val="22"/>
          <w:szCs w:val="22"/>
        </w:rPr>
        <w:t>password_next_rotation</w:t>
      </w:r>
      <w:r>
        <w:rPr>
          <w:i/>
          <w:iCs/>
          <w:color w:val="auto"/>
          <w:sz w:val="22"/>
          <w:szCs w:val="22"/>
        </w:rPr>
        <w:t xml:space="preserve"> value.</w:t>
      </w:r>
    </w:p>
    <w:p>
      <w:pPr>
        <w:pStyle w:val="BodyText"/>
        <w:spacing w:lineRule="auto" w:line="259" w:before="60" w:after="80"/>
        <w:rPr>
          <w:color w:val="auto"/>
          <w:sz w:val="22"/>
          <w:szCs w:val="22"/>
        </w:rPr>
      </w:pPr>
      <w:r>
        <w:rPr>
          <w:rStyle w:val="Strong"/>
          <w:i/>
          <w:iCs/>
          <w:color w:val="auto"/>
          <w:sz w:val="22"/>
          <w:szCs w:val="22"/>
        </w:rPr>
        <w:t xml:space="preserve"> </w:t>
      </w:r>
      <w:r>
        <w:rPr>
          <w:rStyle w:val="Strong"/>
          <w:i/>
          <w:iCs/>
          <w:color w:val="auto"/>
          <w:sz w:val="22"/>
          <w:szCs w:val="22"/>
        </w:rPr>
        <w:t>Progressed through the PwnedLabs lab – Execute and Identify Credential Abuse in AWS</w:t>
      </w:r>
    </w:p>
    <w:p>
      <w:pPr>
        <w:pStyle w:val="BodyText"/>
        <w:spacing w:lineRule="auto" w:line="259" w:before="60" w:after="80"/>
        <w:rPr>
          <w:i/>
          <w:i/>
          <w:iCs/>
          <w:color w:val="auto"/>
          <w:sz w:val="22"/>
          <w:szCs w:val="22"/>
        </w:rPr>
      </w:pPr>
      <w:r>
        <w:rPr>
          <w:i/>
          <w:iCs/>
          <w:color w:val="auto"/>
          <w:sz w:val="22"/>
          <w:szCs w:val="22"/>
        </w:rPr>
        <w:t>I reviewed the lab section explaining how recovered passwords could be reused against AWS Console accounts. This demonstrated the relationship between offline password recovery and subsequent online authentication testing.</w:t>
      </w:r>
    </w:p>
    <w:p>
      <w:pPr>
        <w:pStyle w:val="BodyText"/>
        <w:bidi w:val="0"/>
        <w:spacing w:lineRule="auto" w:line="259" w:before="60" w:after="80"/>
        <w:ind w:hanging="0" w:left="0" w:right="0"/>
        <w:rPr>
          <w:color w:val="auto"/>
          <w:sz w:val="22"/>
          <w:szCs w:val="22"/>
        </w:rPr>
      </w:pPr>
      <w:r>
        <w:rPr>
          <w:i/>
          <w:iCs/>
          <w:color w:val="auto"/>
          <w:sz w:val="22"/>
          <w:szCs w:val="22"/>
        </w:rPr>
        <w:t xml:space="preserve">During tool setup, the GoAWSConsoleSpray installation attempt returned </w:t>
      </w:r>
      <w:r>
        <w:rPr>
          <w:rStyle w:val="SourceText"/>
          <w:i/>
          <w:iCs/>
          <w:color w:val="auto"/>
          <w:sz w:val="22"/>
          <w:szCs w:val="22"/>
        </w:rPr>
        <w:t>go: command not found</w:t>
      </w:r>
      <w:r>
        <w:rPr>
          <w:i/>
          <w:iCs/>
          <w:color w:val="auto"/>
          <w:sz w:val="22"/>
          <w:szCs w:val="22"/>
        </w:rPr>
        <w:t>, preventing installation through the provided command.</w:t>
      </w:r>
    </w:p>
    <w:p>
      <w:pPr>
        <w:pStyle w:val="BodyText"/>
        <w:spacing w:lineRule="auto" w:line="259" w:before="60" w:after="80"/>
        <w:rPr>
          <w:i/>
          <w:i/>
          <w:iCs/>
          <w:color w:val="auto"/>
          <w:sz w:val="22"/>
          <w:szCs w:val="22"/>
        </w:rPr>
      </w:pPr>
      <w:r>
        <w:rPr>
          <w:i/>
          <w:iCs/>
          <w:color w:val="auto"/>
          <w:sz w:val="22"/>
          <w:szCs w:val="22"/>
        </w:rPr>
        <w:t>I opened Ubuntu explicitly from PowerShell:</w:t>
      </w:r>
    </w:p>
    <w:p>
      <w:pPr>
        <w:pStyle w:val="PreformattedText"/>
        <w:bidi w:val="0"/>
        <w:spacing w:before="60" w:after="80"/>
        <w:ind w:hanging="0" w:left="0" w:right="0"/>
        <w:rPr>
          <w:rFonts w:ascii="Calibri" w:hAnsi="Calibri" w:eastAsia="Calibri" w:cs="Calibri"/>
          <w:color w:val="auto"/>
          <w:sz w:val="22"/>
          <w:szCs w:val="22"/>
        </w:rPr>
      </w:pPr>
      <w:r>
        <w:rPr>
          <w:rStyle w:val="SourceText"/>
          <w:rFonts w:ascii="Calibri" w:hAnsi="Calibri"/>
          <w:i/>
          <w:iCs/>
          <w:color w:val="auto"/>
          <w:sz w:val="22"/>
          <w:szCs w:val="22"/>
        </w:rPr>
        <w:t>wsl -d Ubuntu</w:t>
      </w:r>
    </w:p>
    <w:p>
      <w:pPr>
        <w:pStyle w:val="BodyText"/>
        <w:spacing w:lineRule="auto" w:line="259" w:before="60" w:after="80"/>
        <w:rPr>
          <w:i/>
          <w:i/>
          <w:iCs/>
          <w:color w:val="auto"/>
          <w:sz w:val="22"/>
          <w:szCs w:val="22"/>
        </w:rPr>
      </w:pPr>
      <w:r>
        <w:rPr>
          <w:i/>
          <w:iCs/>
          <w:color w:val="auto"/>
          <w:sz w:val="22"/>
          <w:szCs w:val="22"/>
        </w:rPr>
        <w:t>I navigated to the John the Ripper source directory and checked the executable:</w:t>
      </w:r>
    </w:p>
    <w:p>
      <w:pPr>
        <w:pStyle w:val="PreformattedText"/>
        <w:bidi w:val="0"/>
        <w:spacing w:before="60" w:after="80"/>
        <w:ind w:hanging="0" w:left="0" w:right="0"/>
        <w:rPr>
          <w:rFonts w:ascii="Calibri" w:hAnsi="Calibri" w:eastAsia="Calibri" w:cs="Calibri"/>
          <w:color w:val="auto"/>
          <w:sz w:val="22"/>
          <w:szCs w:val="22"/>
        </w:rPr>
      </w:pPr>
      <w:r>
        <w:rPr>
          <w:rStyle w:val="SourceText"/>
          <w:rFonts w:ascii="Calibri" w:hAnsi="Calibri"/>
          <w:i/>
          <w:iCs/>
          <w:color w:val="auto"/>
          <w:sz w:val="22"/>
          <w:szCs w:val="22"/>
        </w:rPr>
        <w:t>cd ~/john/src</w:t>
      </w:r>
    </w:p>
    <w:p>
      <w:pPr>
        <w:pStyle w:val="PreformattedText"/>
        <w:bidi w:val="0"/>
        <w:spacing w:before="60" w:after="80"/>
        <w:rPr>
          <w:rFonts w:ascii="Calibri" w:hAnsi="Calibri" w:eastAsia="Calibri" w:cs="Calibri"/>
          <w:color w:val="auto"/>
          <w:sz w:val="22"/>
          <w:szCs w:val="22"/>
        </w:rPr>
      </w:pPr>
      <w:r>
        <w:rPr>
          <w:rStyle w:val="SourceText"/>
          <w:rFonts w:ascii="Calibri" w:hAnsi="Calibri"/>
          <w:i/>
          <w:iCs/>
          <w:color w:val="auto"/>
          <w:sz w:val="22"/>
          <w:szCs w:val="22"/>
        </w:rPr>
        <w:t>ls -l ../run/john*</w:t>
      </w:r>
    </w:p>
    <w:p>
      <w:pPr>
        <w:pStyle w:val="BodyText"/>
        <w:bidi w:val="0"/>
        <w:spacing w:lineRule="auto" w:line="259" w:before="60" w:after="80"/>
        <w:ind w:hanging="0" w:left="0" w:right="0"/>
        <w:rPr>
          <w:color w:val="auto"/>
          <w:sz w:val="22"/>
          <w:szCs w:val="22"/>
        </w:rPr>
      </w:pPr>
      <w:r>
        <w:rPr>
          <w:i/>
          <w:iCs/>
          <w:color w:val="auto"/>
          <w:sz w:val="22"/>
          <w:szCs w:val="22"/>
        </w:rPr>
        <w:t xml:space="preserve">The output confirmed that the John executable existed at </w:t>
      </w:r>
      <w:r>
        <w:rPr>
          <w:rStyle w:val="SourceText"/>
          <w:i/>
          <w:iCs/>
          <w:color w:val="auto"/>
          <w:sz w:val="22"/>
          <w:szCs w:val="22"/>
        </w:rPr>
        <w:t>~/john/run/john</w:t>
      </w:r>
      <w:r>
        <w:rPr>
          <w:i/>
          <w:iCs/>
          <w:color w:val="auto"/>
          <w:sz w:val="22"/>
          <w:szCs w:val="22"/>
        </w:rPr>
        <w:t>. I then searched for the required hash input file:</w:t>
      </w:r>
    </w:p>
    <w:p>
      <w:pPr>
        <w:pStyle w:val="PreformattedText"/>
        <w:bidi w:val="0"/>
        <w:spacing w:before="60" w:after="80"/>
        <w:ind w:hanging="0" w:left="0" w:right="0"/>
        <w:rPr>
          <w:rFonts w:ascii="Calibri" w:hAnsi="Calibri" w:eastAsia="Calibri" w:cs="Calibri"/>
          <w:color w:val="auto"/>
          <w:sz w:val="22"/>
          <w:szCs w:val="22"/>
        </w:rPr>
      </w:pPr>
      <w:r>
        <w:rPr>
          <w:rStyle w:val="SourceText"/>
          <w:rFonts w:ascii="Calibri" w:hAnsi="Calibri"/>
          <w:i/>
          <w:iCs/>
          <w:color w:val="auto"/>
          <w:sz w:val="22"/>
          <w:szCs w:val="22"/>
        </w:rPr>
        <w:t>find ~ -maxdepth 4 -type f \( -iname '*hash*' -o -iname '*creds*' \) 2&gt;/dev/null</w:t>
      </w:r>
    </w:p>
    <w:p>
      <w:pPr>
        <w:pStyle w:val="BodyText"/>
        <w:spacing w:lineRule="auto" w:line="259" w:before="60" w:after="80"/>
        <w:rPr>
          <w:i/>
          <w:i/>
          <w:iCs/>
          <w:color w:val="auto"/>
          <w:sz w:val="22"/>
          <w:szCs w:val="22"/>
        </w:rPr>
      </w:pPr>
      <w:r>
        <w:rPr>
          <w:i/>
          <w:iCs/>
          <w:color w:val="auto"/>
          <w:sz w:val="22"/>
          <w:szCs w:val="22"/>
        </w:rPr>
        <w:t>The results contained John program files but did not identify the required lab input. I also checked the expected location directly:</w:t>
      </w:r>
    </w:p>
    <w:p>
      <w:pPr>
        <w:pStyle w:val="PreformattedText"/>
        <w:bidi w:val="0"/>
        <w:spacing w:before="60" w:after="80"/>
        <w:ind w:hanging="0" w:left="0" w:right="0"/>
        <w:rPr>
          <w:rFonts w:ascii="Calibri" w:hAnsi="Calibri" w:eastAsia="Calibri" w:cs="Calibri"/>
          <w:color w:val="auto"/>
          <w:sz w:val="22"/>
          <w:szCs w:val="22"/>
        </w:rPr>
      </w:pPr>
      <w:r>
        <w:rPr>
          <w:rStyle w:val="SourceText"/>
          <w:rFonts w:ascii="Calibri" w:hAnsi="Calibri"/>
          <w:i/>
          <w:iCs/>
          <w:color w:val="auto"/>
          <w:sz w:val="22"/>
          <w:szCs w:val="22"/>
        </w:rPr>
        <w:t>ls -l ~/user_hash</w:t>
      </w:r>
    </w:p>
    <w:p>
      <w:pPr>
        <w:pStyle w:val="BodyText"/>
        <w:spacing w:lineRule="auto" w:line="259" w:before="60" w:after="80"/>
        <w:rPr>
          <w:i/>
          <w:i/>
          <w:iCs/>
          <w:color w:val="auto"/>
          <w:sz w:val="22"/>
          <w:szCs w:val="22"/>
        </w:rPr>
      </w:pPr>
      <w:r>
        <w:rPr>
          <w:i/>
          <w:iCs/>
          <w:color w:val="auto"/>
          <w:sz w:val="22"/>
          <w:szCs w:val="22"/>
        </w:rPr>
        <w:t>The file was not found at that location. I paused this part of the exercise without verifying password recovery, AWS Console credential testing, or successful sign-in.</w:t>
      </w:r>
    </w:p>
    <w:p>
      <w:pPr>
        <w:pStyle w:val="BodyText"/>
        <w:bidi w:val="0"/>
        <w:spacing w:lineRule="auto" w:line="259" w:before="60" w:after="80"/>
        <w:ind w:hanging="0" w:left="0" w:right="0"/>
        <w:rPr>
          <w:color w:val="auto"/>
          <w:sz w:val="22"/>
          <w:szCs w:val="22"/>
        </w:rPr>
      </w:pPr>
      <w:r>
        <w:rPr>
          <w:i/>
          <w:iCs/>
          <w:color w:val="auto"/>
          <w:sz w:val="22"/>
          <w:szCs w:val="22"/>
        </w:rPr>
        <w:br/>
      </w:r>
    </w:p>
    <w:p>
      <w:pPr>
        <w:pStyle w:val="Normal"/>
        <w:spacing w:before="60" w:after="80"/>
        <w:rPr>
          <w:i/>
          <w:i/>
          <w:iCs/>
          <w:color w:val="auto"/>
          <w:sz w:val="22"/>
          <w:szCs w:val="22"/>
        </w:rPr>
      </w:pPr>
      <w:r>
        <w:rPr>
          <w:i/>
          <w:iCs/>
          <w:color w:val="auto"/>
          <w:sz w:val="22"/>
          <w:szCs w:val="22"/>
        </w:rPr>
      </w:r>
    </w:p>
    <w:p>
      <w:pPr>
        <w:pStyle w:val="Normal"/>
        <w:spacing w:before="40" w:after="80"/>
        <w:rPr>
          <w:i/>
          <w:i/>
          <w:iCs/>
        </w:rPr>
      </w:pPr>
      <w:r>
        <w:rPr>
          <w:rFonts w:cs="Cambria Math" w:ascii="Cambria Math" w:hAnsi="Cambria Math"/>
          <w:i/>
          <w:iCs/>
          <w:color w:val="6B8CA3"/>
          <w:sz w:val="20"/>
          <w:szCs w:val="20"/>
        </w:rPr>
        <w:t>ℹ</w:t>
      </w:r>
      <w:r>
        <w:rPr>
          <w:i/>
          <w:iCs/>
          <w:color w:val="6B8CA3"/>
          <w:sz w:val="20"/>
          <w:szCs w:val="20"/>
        </w:rPr>
        <w:t xml:space="preserve">  </w:t>
      </w:r>
      <w:r>
        <w:rPr>
          <w:i/>
          <w:iCs/>
          <w:color w:val="6B8CA3"/>
          <w:sz w:val="20"/>
          <w:szCs w:val="20"/>
        </w:rPr>
        <w:t>Include relevant command outputs, configuration snippets, or tool screenshots inline. Label each screenshot as Figure X with a one-sentence caption.</w:t>
      </w:r>
    </w:p>
    <w:p>
      <w:pPr>
        <w:pStyle w:val="Heading3"/>
        <w:rPr>
          <w:i/>
          <w:i/>
          <w:iCs/>
        </w:rPr>
      </w:pPr>
      <w:r>
        <w:rPr>
          <w:i/>
          <w:iCs/>
          <w:color w:val="auto"/>
        </w:rPr>
        <w:t>Key Observations</w:t>
      </w:r>
    </w:p>
    <w:p>
      <w:pPr>
        <w:pStyle w:val="BodyText"/>
        <w:numPr>
          <w:ilvl w:val="0"/>
          <w:numId w:val="53"/>
        </w:numPr>
        <w:tabs>
          <w:tab w:val="clear" w:pos="720"/>
          <w:tab w:val="left" w:pos="0" w:leader="none"/>
        </w:tabs>
        <w:spacing w:lineRule="auto" w:line="259" w:before="60" w:after="80"/>
        <w:ind w:hanging="283" w:left="709"/>
        <w:rPr>
          <w:color w:val="auto"/>
          <w:sz w:val="22"/>
          <w:szCs w:val="22"/>
        </w:rPr>
      </w:pPr>
      <w:r>
        <w:rPr>
          <w:rStyle w:val="Strong"/>
          <w:i/>
          <w:iCs/>
          <w:color w:val="auto"/>
          <w:sz w:val="22"/>
          <w:szCs w:val="22"/>
        </w:rPr>
        <w:t>Credential reports provide a useful account-wide review.</w:t>
      </w:r>
      <w:r>
        <w:rPr>
          <w:i/>
          <w:iCs/>
          <w:color w:val="auto"/>
          <w:sz w:val="22"/>
          <w:szCs w:val="22"/>
        </w:rPr>
        <w:t xml:space="preserve"> They consolidate password, MFA, and access-key information, helping identify accounts that need further investigation.</w:t>
      </w:r>
    </w:p>
    <w:p>
      <w:pPr>
        <w:pStyle w:val="BodyText"/>
        <w:numPr>
          <w:ilvl w:val="0"/>
          <w:numId w:val="53"/>
        </w:numPr>
        <w:tabs>
          <w:tab w:val="clear" w:pos="720"/>
          <w:tab w:val="left" w:pos="0" w:leader="none"/>
        </w:tabs>
        <w:bidi w:val="0"/>
        <w:spacing w:lineRule="auto" w:line="259" w:before="60" w:after="80"/>
        <w:ind w:hanging="283" w:left="709" w:right="0"/>
        <w:rPr>
          <w:color w:val="auto"/>
          <w:sz w:val="22"/>
          <w:szCs w:val="22"/>
        </w:rPr>
      </w:pPr>
      <w:r>
        <w:rPr>
          <w:rStyle w:val="Strong"/>
          <w:i/>
          <w:iCs/>
          <w:color w:val="auto"/>
          <w:sz w:val="22"/>
          <w:szCs w:val="22"/>
        </w:rPr>
        <w:t>Report values require careful interpretation.</w:t>
      </w:r>
      <w:r>
        <w:rPr>
          <w:i/>
          <w:iCs/>
          <w:color w:val="auto"/>
          <w:sz w:val="22"/>
          <w:szCs w:val="22"/>
        </w:rPr>
        <w:t xml:space="preserve"> The root account’s </w:t>
      </w:r>
      <w:r>
        <w:rPr>
          <w:rStyle w:val="SourceText"/>
          <w:i/>
          <w:iCs/>
          <w:color w:val="auto"/>
          <w:sz w:val="22"/>
          <w:szCs w:val="22"/>
        </w:rPr>
        <w:t>password_next_rotation</w:t>
      </w:r>
      <w:r>
        <w:rPr>
          <w:i/>
          <w:iCs/>
          <w:color w:val="auto"/>
          <w:sz w:val="22"/>
          <w:szCs w:val="22"/>
        </w:rPr>
        <w:t xml:space="preserve"> value of </w:t>
      </w:r>
      <w:r>
        <w:rPr>
          <w:rStyle w:val="SourceText"/>
          <w:i/>
          <w:iCs/>
          <w:color w:val="auto"/>
          <w:sz w:val="22"/>
          <w:szCs w:val="22"/>
        </w:rPr>
        <w:t>not_supported</w:t>
      </w:r>
      <w:r>
        <w:rPr>
          <w:i/>
          <w:iCs/>
          <w:color w:val="auto"/>
          <w:sz w:val="22"/>
          <w:szCs w:val="22"/>
        </w:rPr>
        <w:t xml:space="preserve"> does not establish that its password has expired or that a vulnerability exists.</w:t>
      </w:r>
    </w:p>
    <w:p>
      <w:pPr>
        <w:pStyle w:val="BodyText"/>
        <w:numPr>
          <w:ilvl w:val="0"/>
          <w:numId w:val="53"/>
        </w:numPr>
        <w:tabs>
          <w:tab w:val="clear" w:pos="720"/>
          <w:tab w:val="left" w:pos="0" w:leader="none"/>
        </w:tabs>
        <w:spacing w:lineRule="auto" w:line="259" w:before="60" w:after="80"/>
        <w:ind w:hanging="283" w:left="709"/>
        <w:rPr>
          <w:color w:val="auto"/>
          <w:sz w:val="22"/>
          <w:szCs w:val="22"/>
        </w:rPr>
      </w:pPr>
      <w:r>
        <w:rPr>
          <w:rStyle w:val="Strong"/>
          <w:i/>
          <w:iCs/>
          <w:color w:val="auto"/>
          <w:sz w:val="22"/>
          <w:szCs w:val="22"/>
        </w:rPr>
        <w:t>Base64 is an encoding format.</w:t>
      </w:r>
      <w:r>
        <w:rPr>
          <w:i/>
          <w:iCs/>
          <w:color w:val="auto"/>
          <w:sz w:val="22"/>
          <w:szCs w:val="22"/>
        </w:rPr>
        <w:t xml:space="preserve"> Decoding the report makes its CSV content readable; it does not decrypt protected information.</w:t>
      </w:r>
    </w:p>
    <w:p>
      <w:pPr>
        <w:pStyle w:val="BodyText"/>
        <w:numPr>
          <w:ilvl w:val="0"/>
          <w:numId w:val="53"/>
        </w:numPr>
        <w:tabs>
          <w:tab w:val="clear" w:pos="720"/>
          <w:tab w:val="left" w:pos="0" w:leader="none"/>
        </w:tabs>
        <w:spacing w:lineRule="auto" w:line="259" w:before="60" w:after="80"/>
        <w:ind w:hanging="283" w:left="709"/>
        <w:rPr>
          <w:color w:val="auto"/>
          <w:sz w:val="22"/>
          <w:szCs w:val="22"/>
        </w:rPr>
      </w:pPr>
      <w:r>
        <w:rPr>
          <w:rStyle w:val="Strong"/>
          <w:i/>
          <w:iCs/>
          <w:color w:val="auto"/>
          <w:sz w:val="22"/>
          <w:szCs w:val="22"/>
        </w:rPr>
        <w:t>Credential reuse can extend the impact of a compromise.</w:t>
      </w:r>
      <w:r>
        <w:rPr>
          <w:i/>
          <w:iCs/>
          <w:color w:val="auto"/>
          <w:sz w:val="22"/>
          <w:szCs w:val="22"/>
        </w:rPr>
        <w:t xml:space="preserve"> The PwnedLabs walkthrough illustrated how recovered passwords could expose another access channel when users reuse credentials. I studied this scenario but did not verify successful reuse in my session.</w:t>
      </w:r>
    </w:p>
    <w:p>
      <w:pPr>
        <w:pStyle w:val="BodyText"/>
        <w:numPr>
          <w:ilvl w:val="0"/>
          <w:numId w:val="53"/>
        </w:numPr>
        <w:tabs>
          <w:tab w:val="clear" w:pos="720"/>
          <w:tab w:val="left" w:pos="0" w:leader="none"/>
        </w:tabs>
        <w:spacing w:lineRule="auto" w:line="259" w:before="60" w:after="80"/>
        <w:ind w:hanging="283" w:left="709"/>
        <w:rPr>
          <w:color w:val="auto"/>
          <w:sz w:val="22"/>
          <w:szCs w:val="22"/>
        </w:rPr>
      </w:pPr>
      <w:r>
        <w:rPr>
          <w:rStyle w:val="Strong"/>
          <w:i/>
          <w:iCs/>
          <w:color w:val="auto"/>
          <w:sz w:val="22"/>
          <w:szCs w:val="22"/>
        </w:rPr>
        <w:t>Installation alone does not establish a successful test.</w:t>
      </w:r>
      <w:r>
        <w:rPr>
          <w:i/>
          <w:iCs/>
          <w:color w:val="auto"/>
          <w:sz w:val="22"/>
          <w:szCs w:val="22"/>
        </w:rPr>
        <w:t xml:space="preserve"> John was available, but the required input file was not located. GoAWSConsoleSpray also had an unresolved dependency, so the intended testing remained incomplete.</w:t>
      </w:r>
    </w:p>
    <w:p>
      <w:pPr>
        <w:pStyle w:val="BodyText"/>
        <w:numPr>
          <w:ilvl w:val="0"/>
          <w:numId w:val="53"/>
        </w:numPr>
        <w:tabs>
          <w:tab w:val="clear" w:pos="720"/>
          <w:tab w:val="left" w:pos="0" w:leader="none"/>
        </w:tabs>
        <w:spacing w:lineRule="auto" w:line="259" w:before="60" w:after="80"/>
        <w:ind w:hanging="283" w:left="709"/>
        <w:rPr>
          <w:color w:val="auto"/>
          <w:sz w:val="22"/>
          <w:szCs w:val="22"/>
        </w:rPr>
      </w:pPr>
      <w:r>
        <w:rPr>
          <w:rStyle w:val="Strong"/>
          <w:i/>
          <w:iCs/>
          <w:color w:val="auto"/>
          <w:sz w:val="22"/>
          <w:szCs w:val="22"/>
        </w:rPr>
        <w:t>Completion status must reflect the evidence.</w:t>
      </w:r>
      <w:r>
        <w:rPr>
          <w:i/>
          <w:iCs/>
          <w:color w:val="auto"/>
          <w:sz w:val="22"/>
          <w:szCs w:val="22"/>
        </w:rPr>
        <w:t xml:space="preserve"> I completed the Cybr lab, while the PwnedLabs exercise remained partially completed. Walkthrough credentials and successful sign-in examples were not recorded as my own findings.</w:t>
      </w:r>
    </w:p>
    <w:p>
      <w:pPr>
        <w:pStyle w:val="Heading3"/>
        <w:rPr>
          <w:i/>
          <w:i/>
          <w:iCs/>
        </w:rPr>
      </w:pPr>
      <w:r>
        <w:rPr>
          <w:i/>
          <w:iCs/>
          <w:color w:val="auto"/>
        </w:rPr>
        <w:t>Evidence Produced</w:t>
      </w:r>
    </w:p>
    <w:p>
      <w:pPr>
        <w:pStyle w:val="Normal"/>
        <w:spacing w:before="60" w:after="80"/>
        <w:rPr>
          <w:color w:val="auto"/>
          <w:sz w:val="22"/>
          <w:szCs w:val="22"/>
        </w:rPr>
      </w:pPr>
      <w:r>
        <w:rPr>
          <w:i/>
          <w:iCs/>
        </w:rPr>
      </w:r>
    </w:p>
    <w:p>
      <w:pPr>
        <w:pStyle w:val="ListParagraph"/>
        <w:numPr>
          <w:ilvl w:val="0"/>
          <w:numId w:val="93"/>
        </w:numPr>
        <w:spacing w:lineRule="auto" w:line="240" w:before="40" w:after="40"/>
        <w:rPr/>
      </w:pPr>
      <w:r>
        <w:rPr>
          <w:i/>
          <w:iCs/>
          <w:color w:val="000000"/>
          <w:sz w:val="22"/>
          <w:szCs w:val="22"/>
        </w:rPr>
        <w:t>Phase</w:t>
      </w:r>
      <w:r>
        <w:rPr>
          <w:i/>
          <w:iCs/>
          <w:color w:val="000000"/>
          <w:sz w:val="22"/>
          <w:szCs w:val="22"/>
        </w:rPr>
        <w:t>E</w:t>
      </w:r>
      <w:r>
        <w:rPr>
          <w:i/>
          <w:iCs/>
          <w:color w:val="000000"/>
          <w:sz w:val="20"/>
          <w:szCs w:val="20"/>
        </w:rPr>
        <w:t>_</w:t>
      </w:r>
      <w:r>
        <w:rPr>
          <w:i/>
          <w:iCs/>
          <w:color w:val="000000"/>
          <w:sz w:val="20"/>
          <w:szCs w:val="20"/>
        </w:rPr>
        <w:t>cybr_lab_completed.png</w:t>
      </w:r>
      <w:r>
        <w:rPr>
          <w:i/>
          <w:iCs/>
          <w:color w:val="000000"/>
          <w:sz w:val="22"/>
          <w:szCs w:val="22"/>
        </w:rPr>
        <w:t xml:space="preserve">— </w:t>
      </w:r>
      <w:r>
        <w:rPr>
          <w:i/>
          <w:iCs/>
        </w:rPr>
        <w:t xml:space="preserve">Screenshot confirming completion of the Cybr </w:t>
      </w:r>
      <w:r>
        <w:rPr>
          <w:rStyle w:val="Strong"/>
          <w:i/>
          <w:iCs/>
        </w:rPr>
        <w:t>Generate IAM Credentials Reports</w:t>
      </w:r>
      <w:r>
        <w:rPr>
          <w:i/>
          <w:iCs/>
        </w:rPr>
        <w:t xml:space="preserve"> lab </w:t>
      </w:r>
    </w:p>
    <w:p>
      <w:pPr>
        <w:pStyle w:val="ListParagraph"/>
        <w:numPr>
          <w:ilvl w:val="0"/>
          <w:numId w:val="36"/>
        </w:numPr>
        <w:spacing w:lineRule="auto" w:line="240" w:before="40" w:after="40"/>
        <w:rPr>
          <w:i/>
          <w:i/>
          <w:iCs/>
        </w:rPr>
      </w:pPr>
      <w:r>
        <w:rPr>
          <w:i/>
          <w:iCs/>
          <w:color w:val="000000"/>
          <w:sz w:val="20"/>
          <w:szCs w:val="20"/>
        </w:rPr>
        <w:t>PhaseE_pwnedlab_hash_cracking.png</w:t>
      </w:r>
      <w:r>
        <w:rPr>
          <w:i/>
          <w:iCs/>
          <w:color w:val="000000"/>
          <w:sz w:val="22"/>
          <w:szCs w:val="22"/>
        </w:rPr>
        <w:t xml:space="preserve">— </w:t>
      </w:r>
      <w:r>
        <w:rPr>
          <w:i/>
          <w:iCs/>
        </w:rPr>
        <w:t xml:space="preserve">Screenshot documenting the hash-cracking stage of the PwnedLabs exercise, including the progress or output captured </w:t>
      </w:r>
    </w:p>
    <w:p>
      <w:pPr>
        <w:pStyle w:val="ListParagraph"/>
        <w:numPr>
          <w:ilvl w:val="0"/>
          <w:numId w:val="36"/>
        </w:numPr>
        <w:spacing w:lineRule="auto" w:line="240" w:before="40" w:after="40"/>
        <w:rPr/>
      </w:pPr>
      <w:r>
        <w:rPr>
          <w:i/>
          <w:iCs/>
          <w:color w:val="000000"/>
          <w:sz w:val="20"/>
          <w:szCs w:val="20"/>
        </w:rPr>
        <w:t>PhaseE_public_bucket_listing.png</w:t>
      </w:r>
      <w:r>
        <w:rPr>
          <w:i/>
          <w:iCs/>
          <w:color w:val="000000"/>
          <w:sz w:val="22"/>
          <w:szCs w:val="22"/>
        </w:rPr>
        <w:t xml:space="preserve"> —</w:t>
      </w:r>
      <w:r>
        <w:rPr>
          <w:i/>
          <w:iCs/>
          <w:color w:val="auto"/>
          <w:sz w:val="22"/>
          <w:szCs w:val="22"/>
        </w:rPr>
        <w:t xml:space="preserve"> </w:t>
      </w:r>
      <w:r>
        <w:rPr>
          <w:i/>
          <w:iCs/>
        </w:rPr>
        <w:t>Screenshot showing the public S3 bucket listing examined during the PwnedLabs exercise</w:t>
      </w:r>
      <w:r>
        <w:rPr/>
        <w:t xml:space="preserve"> </w:t>
      </w:r>
    </w:p>
    <w:p>
      <w:pPr>
        <w:pStyle w:val="ListParagraph"/>
        <w:spacing w:lineRule="auto" w:line="240" w:before="40" w:after="40"/>
        <w:rPr>
          <w:color w:val="auto"/>
          <w:sz w:val="22"/>
          <w:szCs w:val="22"/>
        </w:rPr>
      </w:pPr>
      <w:r>
        <w:rPr>
          <w:i/>
          <w:iCs/>
        </w:rPr>
      </w:r>
    </w:p>
    <w:p>
      <w:pPr>
        <w:pStyle w:val="Normal"/>
        <w:spacing w:before="40" w:after="40"/>
        <w:ind w:left="360"/>
        <w:rPr>
          <w:i/>
          <w:i/>
          <w:iCs/>
          <w:color w:val="auto"/>
          <w:sz w:val="22"/>
          <w:szCs w:val="22"/>
        </w:rPr>
      </w:pPr>
      <w:r>
        <w:rPr>
          <w:i/>
          <w:iCs/>
          <w:color w:val="auto"/>
          <w:sz w:val="22"/>
          <w:szCs w:val="22"/>
        </w:rPr>
      </w:r>
    </w:p>
    <w:p>
      <w:pPr>
        <w:pStyle w:val="Heading2"/>
        <w:rPr>
          <w:i/>
          <w:i/>
          <w:iCs/>
        </w:rPr>
      </w:pPr>
      <w:r>
        <w:rPr>
          <w:b/>
          <w:bCs/>
          <w:i/>
          <w:iCs/>
          <w:color w:themeColor="text2" w:themeShade="bf" w:val="323E4F"/>
        </w:rPr>
        <w:t>Phase F: Documentation &amp; Reporting</w:t>
      </w:r>
    </w:p>
    <w:tbl>
      <w:tblPr>
        <w:tblW w:w="9360" w:type="dxa"/>
        <w:jc w:val="left"/>
        <w:tblInd w:w="0" w:type="dxa"/>
        <w:tblLayout w:type="fixed"/>
        <w:tblCellMar>
          <w:top w:w="80" w:type="dxa"/>
          <w:left w:w="120" w:type="dxa"/>
          <w:bottom w:w="80" w:type="dxa"/>
          <w:right w:w="120" w:type="dxa"/>
        </w:tblCellMar>
        <w:tblLook w:firstRow="1" w:noVBand="1" w:lastRow="0" w:firstColumn="1" w:lastColumn="0" w:noHBand="0" w:val="04a0"/>
      </w:tblPr>
      <w:tblGrid>
        <w:gridCol w:w="2199"/>
        <w:gridCol w:w="7160"/>
      </w:tblGrid>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i/>
                <w:i/>
                <w:iCs/>
              </w:rPr>
            </w:pPr>
            <w:r>
              <w:rPr>
                <w:b/>
                <w:bCs/>
                <w:i/>
                <w:iCs/>
                <w:sz w:val="20"/>
                <w:szCs w:val="20"/>
              </w:rPr>
              <w:t>Phase Objective</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b w:val="false"/>
                <w:bCs w:val="false"/>
                <w:i/>
                <w:i/>
                <w:iCs/>
                <w:color w:val="000000"/>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bCs w:val="false"/>
                <w:i/>
                <w:iCs/>
                <w:caps w:val="false"/>
                <w:smallCaps w:val="false"/>
                <w:color w:val="000000"/>
                <w:spacing w:val="0"/>
                <w:sz w:val="20"/>
                <w:szCs w:val="20"/>
              </w:rPr>
              <w:t>Compile all findings into a professional report aligned with ISO/IEC 27001 A.9 controls</w:t>
            </w:r>
            <w:r>
              <w:rPr>
                <w:b w:val="false"/>
                <w:bCs w:val="false"/>
                <w:i/>
                <w:iCs/>
                <w:color w:val="000000"/>
                <w:sz w:val="20"/>
                <w:szCs w:val="20"/>
              </w:rPr>
              <w:t xml:space="preserve"> </w:t>
            </w:r>
          </w:p>
        </w:tc>
      </w:tr>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i/>
                <w:i/>
                <w:iCs/>
              </w:rPr>
            </w:pPr>
            <w:r>
              <w:rPr>
                <w:b/>
                <w:bCs/>
                <w:i/>
                <w:iCs/>
                <w:sz w:val="20"/>
                <w:szCs w:val="20"/>
              </w:rPr>
              <w:t>Estimated Time</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i/>
                <w:i/>
                <w:iCs/>
                <w:color w:val="000000"/>
              </w:rPr>
            </w:pPr>
            <w:r>
              <w:rPr>
                <w:i/>
                <w:iCs/>
                <w:color w:val="000000"/>
                <w:sz w:val="20"/>
                <w:szCs w:val="20"/>
              </w:rPr>
              <w:t xml:space="preserve"> </w:t>
            </w:r>
            <w:r>
              <w:rPr>
                <w:i/>
                <w:iCs/>
                <w:color w:val="000000"/>
                <w:sz w:val="20"/>
                <w:szCs w:val="20"/>
              </w:rPr>
              <w:t xml:space="preserve">120 </w:t>
            </w:r>
            <w:r>
              <w:rPr>
                <w:i/>
                <w:iCs/>
                <w:color w:val="000000"/>
                <w:sz w:val="20"/>
                <w:szCs w:val="20"/>
              </w:rPr>
              <w:t>minutes</w:t>
            </w:r>
          </w:p>
        </w:tc>
      </w:tr>
      <w:tr>
        <w:trPr/>
        <w:tc>
          <w:tcPr>
            <w:tcW w:w="2199" w:type="dxa"/>
            <w:tcBorders>
              <w:top w:val="single" w:sz="4" w:space="0" w:color="C6D3DB"/>
              <w:left w:val="single" w:sz="4" w:space="0" w:color="C6D3DB"/>
              <w:bottom w:val="single" w:sz="4" w:space="0" w:color="C6D3DB"/>
              <w:right w:val="single" w:sz="4" w:space="0" w:color="C6D3DB"/>
            </w:tcBorders>
            <w:shd w:color="auto" w:fill="F4F7F9" w:val="clear"/>
          </w:tcPr>
          <w:p>
            <w:pPr>
              <w:pStyle w:val="Normal"/>
              <w:widowControl/>
              <w:bidi w:val="0"/>
              <w:spacing w:lineRule="auto" w:line="259" w:before="0" w:after="160"/>
              <w:jc w:val="left"/>
              <w:rPr>
                <w:i/>
                <w:i/>
                <w:iCs/>
              </w:rPr>
            </w:pPr>
            <w:r>
              <w:rPr>
                <w:b/>
                <w:bCs/>
                <w:i/>
                <w:iCs/>
                <w:sz w:val="20"/>
                <w:szCs w:val="20"/>
              </w:rPr>
              <w:t>Evidence File(s)</w:t>
            </w:r>
          </w:p>
        </w:tc>
        <w:tc>
          <w:tcPr>
            <w:tcW w:w="7160" w:type="dxa"/>
            <w:tcBorders>
              <w:top w:val="single" w:sz="4" w:space="0" w:color="C6D3DB"/>
              <w:left w:val="single" w:sz="4" w:space="0" w:color="C6D3DB"/>
              <w:bottom w:val="single" w:sz="4" w:space="0" w:color="C6D3DB"/>
              <w:right w:val="single" w:sz="4" w:space="0" w:color="C6D3DB"/>
            </w:tcBorders>
            <w:shd w:color="auto" w:fill="FFFFFF" w:val="clear"/>
          </w:tcPr>
          <w:p>
            <w:pPr>
              <w:pStyle w:val="Normal"/>
              <w:widowControl/>
              <w:bidi w:val="0"/>
              <w:spacing w:lineRule="auto" w:line="259" w:before="0" w:after="160"/>
              <w:jc w:val="left"/>
              <w:rPr>
                <w:i/>
                <w:i/>
                <w:iCs/>
                <w:color w:val="000000"/>
              </w:rPr>
            </w:pPr>
            <w:r>
              <w:rPr>
                <w:i/>
                <w:iCs/>
                <w:color w:val="000000"/>
                <w:sz w:val="20"/>
                <w:szCs w:val="20"/>
              </w:rPr>
              <w:t>Phase</w:t>
            </w:r>
            <w:r>
              <w:rPr>
                <w:i/>
                <w:iCs/>
                <w:color w:val="000000"/>
                <w:sz w:val="20"/>
                <w:szCs w:val="20"/>
              </w:rPr>
              <w:t>E</w:t>
            </w:r>
            <w:r>
              <w:rPr>
                <w:i/>
                <w:iCs/>
                <w:color w:val="000000"/>
                <w:sz w:val="20"/>
                <w:szCs w:val="20"/>
              </w:rPr>
              <w:t>_</w:t>
            </w:r>
            <w:r>
              <w:rPr>
                <w:i/>
                <w:iCs/>
                <w:color w:val="000000"/>
                <w:sz w:val="20"/>
                <w:szCs w:val="20"/>
              </w:rPr>
              <w:t>CSE_AWS_L_007_04_YNT_20261019.</w:t>
            </w:r>
            <w:r>
              <w:rPr>
                <w:i/>
                <w:iCs/>
                <w:color w:val="000000"/>
                <w:sz w:val="20"/>
                <w:szCs w:val="20"/>
              </w:rPr>
              <w:t>pdf</w:t>
            </w:r>
          </w:p>
        </w:tc>
      </w:tr>
    </w:tbl>
    <w:p>
      <w:pPr>
        <w:pStyle w:val="Heading3"/>
        <w:rPr>
          <w:i/>
          <w:i/>
          <w:iCs/>
        </w:rPr>
      </w:pPr>
      <w:r>
        <w:rPr>
          <w:i/>
          <w:iCs/>
          <w:color w:val="auto"/>
        </w:rPr>
        <w:t>Actions Taken</w:t>
      </w:r>
    </w:p>
    <w:p>
      <w:pPr>
        <w:pStyle w:val="BodyText"/>
        <w:spacing w:lineRule="auto" w:line="259" w:before="60" w:after="80"/>
        <w:rPr>
          <w:i/>
          <w:i/>
          <w:iCs/>
          <w:color w:val="auto"/>
          <w:sz w:val="22"/>
          <w:szCs w:val="22"/>
        </w:rPr>
      </w:pPr>
      <w:r>
        <w:rPr>
          <w:i/>
          <w:iCs/>
          <w:color w:val="auto"/>
          <w:sz w:val="22"/>
          <w:szCs w:val="22"/>
        </w:rPr>
        <w:t>Consolidated the activities, findings, and supporting evidence from the task phases into the report.</w:t>
      </w:r>
    </w:p>
    <w:p>
      <w:pPr>
        <w:pStyle w:val="BodyText"/>
        <w:spacing w:lineRule="auto" w:line="259" w:before="60" w:after="80"/>
        <w:rPr>
          <w:i/>
          <w:i/>
          <w:iCs/>
          <w:color w:val="auto"/>
          <w:sz w:val="22"/>
          <w:szCs w:val="22"/>
        </w:rPr>
      </w:pPr>
      <w:r>
        <w:rPr>
          <w:i/>
          <w:iCs/>
          <w:color w:val="auto"/>
          <w:sz w:val="22"/>
          <w:szCs w:val="22"/>
        </w:rPr>
        <w:t>Documented the completed Cybr lab and the progress and blockers encountered in the PwnedLabs exercise.</w:t>
      </w:r>
    </w:p>
    <w:p>
      <w:pPr>
        <w:pStyle w:val="BodyText"/>
        <w:spacing w:lineRule="auto" w:line="259" w:before="60" w:after="80"/>
        <w:rPr>
          <w:i/>
          <w:i/>
          <w:iCs/>
          <w:color w:val="auto"/>
          <w:sz w:val="22"/>
          <w:szCs w:val="22"/>
        </w:rPr>
      </w:pPr>
      <w:r>
        <w:rPr>
          <w:i/>
          <w:iCs/>
          <w:color w:val="auto"/>
          <w:sz w:val="22"/>
          <w:szCs w:val="22"/>
        </w:rPr>
        <w:t>Organised evidence screenshots with descriptive filenames and captions.</w:t>
      </w:r>
    </w:p>
    <w:p>
      <w:pPr>
        <w:pStyle w:val="BodyText"/>
        <w:spacing w:lineRule="auto" w:line="259" w:before="60" w:after="80"/>
        <w:rPr>
          <w:i/>
          <w:i/>
          <w:iCs/>
          <w:color w:val="auto"/>
          <w:sz w:val="22"/>
          <w:szCs w:val="22"/>
        </w:rPr>
      </w:pPr>
      <w:r>
        <w:rPr>
          <w:i/>
          <w:iCs/>
          <w:color w:val="auto"/>
          <w:sz w:val="22"/>
          <w:szCs w:val="22"/>
        </w:rPr>
        <w:t>Linked relevant findings and recommendations to ISO/IEC 27001:2013 Annex A.9 access-control themes, including access management and authentication.</w:t>
      </w:r>
    </w:p>
    <w:p>
      <w:pPr>
        <w:pStyle w:val="BodyText"/>
        <w:spacing w:lineRule="auto" w:line="259" w:before="60" w:after="80"/>
        <w:rPr>
          <w:i/>
          <w:i/>
          <w:iCs/>
          <w:color w:val="auto"/>
          <w:sz w:val="22"/>
          <w:szCs w:val="22"/>
        </w:rPr>
      </w:pPr>
      <w:r>
        <w:rPr>
          <w:i/>
          <w:iCs/>
          <w:color w:val="auto"/>
          <w:sz w:val="22"/>
          <w:szCs w:val="22"/>
        </w:rPr>
        <w:t>Reviewed the report to distinguish verified results from walkthrough examples and incomplete te</w:t>
      </w:r>
      <w:r>
        <w:rPr>
          <w:i/>
          <w:iCs/>
          <w:color w:val="auto"/>
          <w:sz w:val="22"/>
          <w:szCs w:val="22"/>
        </w:rPr>
        <w:t>sting.</w:t>
      </w:r>
    </w:p>
    <w:p>
      <w:pPr>
        <w:pStyle w:val="Normal"/>
        <w:spacing w:before="40" w:after="80"/>
        <w:rPr>
          <w:i/>
          <w:i/>
          <w:iCs/>
        </w:rPr>
      </w:pPr>
      <w:r>
        <w:rPr>
          <w:rFonts w:cs="Cambria Math" w:ascii="Cambria Math" w:hAnsi="Cambria Math"/>
          <w:i/>
          <w:iCs/>
          <w:color w:val="6B8CA3"/>
          <w:sz w:val="20"/>
          <w:szCs w:val="20"/>
        </w:rPr>
        <w:t>ℹ</w:t>
      </w:r>
      <w:r>
        <w:rPr>
          <w:i/>
          <w:iCs/>
          <w:color w:val="6B8CA3"/>
          <w:sz w:val="20"/>
          <w:szCs w:val="20"/>
        </w:rPr>
        <w:t xml:space="preserve">  </w:t>
      </w:r>
      <w:r>
        <w:rPr>
          <w:i/>
          <w:iCs/>
          <w:color w:val="6B8CA3"/>
          <w:sz w:val="20"/>
          <w:szCs w:val="20"/>
        </w:rPr>
        <w:t>Include relevant command outputs, configuration snippets, or tool screenshots inline. Label each screenshot as Figure X with a one-sentence caption.</w:t>
      </w:r>
    </w:p>
    <w:p>
      <w:pPr>
        <w:pStyle w:val="Heading3"/>
        <w:rPr>
          <w:i/>
          <w:i/>
          <w:iCs/>
        </w:rPr>
      </w:pPr>
      <w:r>
        <w:rPr>
          <w:i/>
          <w:iCs/>
          <w:color w:val="auto"/>
        </w:rPr>
        <w:t>Key Observations</w:t>
      </w:r>
    </w:p>
    <w:p>
      <w:pPr>
        <w:pStyle w:val="BodyText"/>
        <w:spacing w:lineRule="auto" w:line="259" w:before="60" w:after="80"/>
        <w:rPr>
          <w:i/>
          <w:i/>
          <w:iCs/>
          <w:color w:val="auto"/>
          <w:sz w:val="22"/>
          <w:szCs w:val="22"/>
        </w:rPr>
      </w:pPr>
      <w:r>
        <w:rPr>
          <w:i/>
          <w:iCs/>
          <w:color w:val="auto"/>
          <w:sz w:val="22"/>
          <w:szCs w:val="22"/>
        </w:rPr>
        <w:t>Credential management and access control are closely connected: weak authentication can undermine otherwise restricted permissions.</w:t>
      </w:r>
    </w:p>
    <w:p>
      <w:pPr>
        <w:pStyle w:val="BodyText"/>
        <w:spacing w:lineRule="auto" w:line="259" w:before="60" w:after="80"/>
        <w:rPr>
          <w:i/>
          <w:i/>
          <w:iCs/>
          <w:color w:val="auto"/>
          <w:sz w:val="22"/>
          <w:szCs w:val="22"/>
        </w:rPr>
      </w:pPr>
      <w:r>
        <w:rPr>
          <w:i/>
          <w:iCs/>
          <w:color w:val="auto"/>
          <w:sz w:val="22"/>
          <w:szCs w:val="22"/>
        </w:rPr>
        <w:t>Evidence supports accurate reporting when its description matches what the screenshot demonstrates.</w:t>
      </w:r>
    </w:p>
    <w:p>
      <w:pPr>
        <w:pStyle w:val="BodyText"/>
        <w:spacing w:lineRule="auto" w:line="259" w:before="60" w:after="80"/>
        <w:rPr>
          <w:i/>
          <w:i/>
          <w:iCs/>
          <w:color w:val="auto"/>
          <w:sz w:val="22"/>
          <w:szCs w:val="22"/>
        </w:rPr>
      </w:pPr>
      <w:r>
        <w:rPr>
          <w:i/>
          <w:iCs/>
          <w:color w:val="auto"/>
          <w:sz w:val="22"/>
          <w:szCs w:val="22"/>
        </w:rPr>
        <w:t>Recording blockers and unverified outcomes makes the report transparent and identifies work requiring follow-up.</w:t>
      </w:r>
    </w:p>
    <w:p>
      <w:pPr>
        <w:pStyle w:val="BodyText"/>
        <w:spacing w:lineRule="auto" w:line="259" w:before="60" w:after="80"/>
        <w:rPr>
          <w:i/>
          <w:i/>
          <w:iCs/>
          <w:color w:val="auto"/>
          <w:sz w:val="22"/>
          <w:szCs w:val="22"/>
        </w:rPr>
      </w:pPr>
      <w:r>
        <w:rPr>
          <w:i/>
          <w:iCs/>
          <w:color w:val="auto"/>
          <w:sz w:val="22"/>
          <w:szCs w:val="22"/>
        </w:rPr>
        <w:t>The task’s A.9 reference relates to ISO/IEC 27001:2013, so the report should state the edition clearly.</w:t>
      </w:r>
    </w:p>
    <w:p>
      <w:pPr>
        <w:pStyle w:val="Normal"/>
        <w:spacing w:before="60" w:after="80"/>
        <w:rPr>
          <w:i/>
          <w:i/>
          <w:iCs/>
          <w:color w:val="auto"/>
          <w:sz w:val="22"/>
          <w:szCs w:val="22"/>
        </w:rPr>
      </w:pPr>
      <w:r>
        <w:rPr>
          <w:i/>
          <w:iCs/>
          <w:color w:val="auto"/>
          <w:sz w:val="22"/>
          <w:szCs w:val="22"/>
        </w:rPr>
      </w:r>
    </w:p>
    <w:p>
      <w:pPr>
        <w:pStyle w:val="Heading3"/>
        <w:rPr>
          <w:color w:val="auto"/>
        </w:rPr>
      </w:pPr>
      <w:r>
        <w:rPr>
          <w:color w:val="auto"/>
        </w:rPr>
        <w:t>Evidence Produced</w:t>
      </w:r>
    </w:p>
    <w:p>
      <w:pPr>
        <w:pStyle w:val="Normal"/>
        <w:spacing w:before="60" w:after="80"/>
        <w:rPr>
          <w:color w:val="auto"/>
          <w:sz w:val="22"/>
          <w:szCs w:val="22"/>
        </w:rPr>
      </w:pPr>
      <w:r>
        <w:rPr/>
      </w:r>
    </w:p>
    <w:p>
      <w:pPr>
        <w:pStyle w:val="ListParagraph"/>
        <w:numPr>
          <w:ilvl w:val="0"/>
          <w:numId w:val="94"/>
        </w:numPr>
        <w:spacing w:lineRule="auto" w:line="240" w:before="0" w:after="0"/>
        <w:rPr>
          <w:color w:val="auto"/>
          <w:sz w:val="22"/>
          <w:szCs w:val="22"/>
        </w:rPr>
      </w:pPr>
      <w:r>
        <w:rPr>
          <w:color w:val="auto"/>
          <w:sz w:val="22"/>
          <w:szCs w:val="22"/>
        </w:rPr>
        <w:t>Phase</w:t>
      </w:r>
      <w:r>
        <w:rPr>
          <w:color w:val="auto"/>
          <w:sz w:val="22"/>
          <w:szCs w:val="22"/>
        </w:rPr>
        <w:t>E</w:t>
      </w:r>
      <w:r>
        <w:rPr>
          <w:color w:val="auto"/>
          <w:sz w:val="22"/>
          <w:szCs w:val="22"/>
        </w:rPr>
        <w:t>_</w:t>
      </w:r>
      <w:r>
        <w:rPr>
          <w:color w:val="auto"/>
          <w:sz w:val="22"/>
          <w:szCs w:val="22"/>
        </w:rPr>
        <w:t>CSE_AWS_L_007_04_YNT_20261019</w:t>
      </w:r>
      <w:r>
        <w:rPr>
          <w:color w:val="auto"/>
          <w:sz w:val="22"/>
          <w:szCs w:val="22"/>
        </w:rPr>
        <w:t xml:space="preserve">.pdf — </w:t>
      </w:r>
      <w:r>
        <w:rPr>
          <w:color w:val="auto"/>
          <w:sz w:val="22"/>
          <w:szCs w:val="22"/>
        </w:rPr>
        <w:t>Detail Project Report</w:t>
      </w:r>
    </w:p>
    <w:p>
      <w:pPr>
        <w:pStyle w:val="ListParagraph"/>
        <w:numPr>
          <w:ilvl w:val="0"/>
          <w:numId w:val="95"/>
        </w:numPr>
        <w:spacing w:lineRule="auto" w:line="240" w:before="0" w:after="0"/>
        <w:rPr>
          <w:color w:val="auto"/>
          <w:sz w:val="22"/>
          <w:szCs w:val="22"/>
        </w:rPr>
      </w:pPr>
      <w:r>
        <w:rPr>
          <w:color w:val="auto"/>
          <w:sz w:val="22"/>
          <w:szCs w:val="22"/>
        </w:rPr>
        <w:t>Evidence_YNT—Contain screenshots of evidences</w:t>
      </w:r>
    </w:p>
    <w:p>
      <w:pPr>
        <w:pStyle w:val="ListParagraph"/>
        <w:numPr>
          <w:ilvl w:val="0"/>
          <w:numId w:val="0"/>
        </w:numPr>
        <w:spacing w:lineRule="auto" w:line="240" w:before="40" w:after="40"/>
        <w:ind w:hanging="0" w:left="720"/>
        <w:rPr>
          <w:color w:val="auto"/>
          <w:sz w:val="22"/>
          <w:szCs w:val="22"/>
        </w:rPr>
      </w:pPr>
      <w:r>
        <w:rPr>
          <w:color w:val="auto"/>
          <w:sz w:val="22"/>
          <w:szCs w:val="22"/>
        </w:rPr>
      </w:r>
      <w:r>
        <w:br w:type="page"/>
      </w:r>
    </w:p>
    <w:p>
      <w:pPr>
        <w:pStyle w:val="Heading1"/>
        <w:pBdr>
          <w:bottom w:val="single" w:sz="8" w:space="6" w:color="146C94"/>
        </w:pBdr>
        <w:spacing w:before="0" w:after="160"/>
        <w:rPr/>
      </w:pPr>
      <w:r>
        <w:rPr>
          <w:b/>
          <w:bCs/>
          <w:color w:val="0D2137"/>
        </w:rPr>
        <w:t>4.0 Findings</w:t>
      </w:r>
    </w:p>
    <w:p>
      <w:pPr>
        <w:pStyle w:val="Normal"/>
        <w:spacing w:before="0" w:after="120"/>
        <w:rPr>
          <w:color w:val="auto"/>
          <w:sz w:val="22"/>
          <w:szCs w:val="22"/>
        </w:rPr>
      </w:pPr>
      <w:r>
        <w:rPr>
          <w:i/>
          <w:iCs/>
          <w:color w:val="auto"/>
          <w:sz w:val="22"/>
          <w:szCs w:val="22"/>
        </w:rPr>
        <w:t>[Document every significant output of your task here. Findings for cloud security tasks include: misconfigurations, IAM policy weaknesses, overly permissive trust policies, public access exposures, encryption gaps, logging or monitoring blind spots, anomalous API activity, privilege escalation paths, and compliance deviations. If baseline checks were fully compliant with no anomalies, document that result as a finding and explain its significance.]</w:t>
      </w:r>
    </w:p>
    <w:p>
      <w:pPr>
        <w:pStyle w:val="Heading2"/>
        <w:rPr>
          <w:b/>
          <w:bCs/>
          <w:color w:themeColor="text2" w:themeShade="bf" w:val="323E4F"/>
        </w:rPr>
      </w:pPr>
      <w:r>
        <w:rPr>
          <w:b/>
          <w:bCs/>
          <w:color w:themeColor="text2" w:themeShade="bf" w:val="323E4F"/>
        </w:rPr>
        <w:t>4.1 Findings Summary</w:t>
      </w:r>
    </w:p>
    <w:tbl>
      <w:tblPr>
        <w:tblW w:w="10206"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358"/>
        <w:gridCol w:w="1881"/>
        <w:gridCol w:w="1611"/>
        <w:gridCol w:w="1881"/>
        <w:gridCol w:w="979"/>
        <w:gridCol w:w="680"/>
        <w:gridCol w:w="628"/>
        <w:gridCol w:w="2186"/>
      </w:tblGrid>
      <w:tr>
        <w:trPr>
          <w:tblHeader w:val="true"/>
        </w:trPr>
        <w:tc>
          <w:tcPr>
            <w:tcW w:w="358"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w:t>
            </w:r>
          </w:p>
        </w:tc>
        <w:tc>
          <w:tcPr>
            <w:tcW w:w="1881"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Finding Title</w:t>
            </w:r>
          </w:p>
        </w:tc>
        <w:tc>
          <w:tcPr>
            <w:tcW w:w="1611"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Type / Category</w:t>
            </w:r>
          </w:p>
        </w:tc>
        <w:tc>
          <w:tcPr>
            <w:tcW w:w="1881"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Cloud Service / Resource</w:t>
            </w:r>
          </w:p>
        </w:tc>
        <w:tc>
          <w:tcPr>
            <w:tcW w:w="979"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MITRE Ref.</w:t>
            </w:r>
          </w:p>
        </w:tc>
        <w:tc>
          <w:tcPr>
            <w:tcW w:w="68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Phase</w:t>
            </w:r>
          </w:p>
        </w:tc>
        <w:tc>
          <w:tcPr>
            <w:tcW w:w="628"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Severity</w:t>
            </w:r>
          </w:p>
        </w:tc>
        <w:tc>
          <w:tcPr>
            <w:tcW w:w="2186"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Evidence Ref.</w:t>
            </w:r>
          </w:p>
        </w:tc>
      </w:tr>
      <w:tr>
        <w:trPr/>
        <w:tc>
          <w:tcPr>
            <w:tcW w:w="35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1</w:t>
            </w:r>
          </w:p>
        </w:tc>
        <w:tc>
          <w:tcPr>
            <w:tcW w:w="188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Public S3 bucket listing observed </w:t>
            </w:r>
          </w:p>
        </w:tc>
        <w:tc>
          <w:tcPr>
            <w:tcW w:w="161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Public access exposure </w:t>
            </w:r>
          </w:p>
        </w:tc>
        <w:tc>
          <w:tcPr>
            <w:tcW w:w="188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Amazon S3 bucket in the PwnedLabs environment </w:t>
            </w:r>
          </w:p>
        </w:tc>
        <w:tc>
          <w:tcPr>
            <w:tcW w:w="9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Not assigned pending confirmation of the access method </w:t>
            </w:r>
          </w:p>
        </w:tc>
        <w:tc>
          <w:tcPr>
            <w:tcW w:w="68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PhaseE</w:t>
            </w:r>
          </w:p>
        </w:tc>
        <w:tc>
          <w:tcPr>
            <w:tcW w:w="62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Low</w:t>
            </w:r>
          </w:p>
        </w:tc>
        <w:tc>
          <w:tcPr>
            <w:tcW w:w="2186" w:type="dxa"/>
            <w:tcBorders>
              <w:bottom w:val="single" w:sz="4" w:space="0" w:color="C6D3DB"/>
              <w:right w:val="single" w:sz="4" w:space="0" w:color="C6D3DB"/>
            </w:tcBorders>
            <w:shd w:color="auto" w:fill="F4F7F9" w:val="clear"/>
            <w:vAlign w:val="center"/>
          </w:tcPr>
          <w:p>
            <w:pPr>
              <w:pStyle w:val="Normal"/>
              <w:spacing w:before="0" w:after="0"/>
              <w:rPr>
                <w:i/>
                <w:i/>
                <w:iCs/>
                <w:color w:val="0D2137"/>
                <w:sz w:val="20"/>
                <w:szCs w:val="20"/>
              </w:rPr>
            </w:pPr>
            <w:r>
              <w:rPr>
                <w:rStyle w:val="SourceText"/>
                <w:i/>
                <w:iCs/>
                <w:color w:val="0D2137"/>
                <w:sz w:val="20"/>
                <w:szCs w:val="20"/>
              </w:rPr>
              <w:t>PhaseE_public_bucket_listing.png</w:t>
            </w:r>
            <w:r>
              <w:rPr>
                <w:i/>
                <w:iCs/>
                <w:color w:val="0D2137"/>
                <w:sz w:val="20"/>
                <w:szCs w:val="20"/>
              </w:rPr>
              <w:t xml:space="preserve"> </w:t>
            </w:r>
          </w:p>
        </w:tc>
      </w:tr>
      <w:tr>
        <w:trPr/>
        <w:tc>
          <w:tcPr>
            <w:tcW w:w="35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2</w:t>
            </w:r>
          </w:p>
        </w:tc>
        <w:tc>
          <w:tcPr>
            <w:tcW w:w="188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IAM credential-report review completed </w:t>
            </w:r>
          </w:p>
        </w:tc>
        <w:tc>
          <w:tcPr>
            <w:tcW w:w="161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 xml:space="preserve">Security assessment / visibility </w:t>
            </w:r>
          </w:p>
        </w:tc>
        <w:tc>
          <w:tcPr>
            <w:tcW w:w="188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 xml:space="preserve">AWS IAM credential report </w:t>
            </w:r>
          </w:p>
        </w:tc>
        <w:tc>
          <w:tcPr>
            <w:tcW w:w="9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 xml:space="preserve">N/A </w:t>
            </w:r>
          </w:p>
        </w:tc>
        <w:tc>
          <w:tcPr>
            <w:tcW w:w="68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rPr>
              <w:t>PhaseE</w:t>
            </w:r>
          </w:p>
        </w:tc>
        <w:tc>
          <w:tcPr>
            <w:tcW w:w="62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Informational</w:t>
            </w:r>
          </w:p>
        </w:tc>
        <w:tc>
          <w:tcPr>
            <w:tcW w:w="218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Style w:val="SourceText"/>
                <w:i/>
                <w:iCs/>
                <w:sz w:val="20"/>
                <w:szCs w:val="20"/>
              </w:rPr>
              <w:t>PhaseE_cybr_lab_completed.png</w:t>
            </w:r>
            <w:r>
              <w:rPr>
                <w:i/>
                <w:iCs/>
                <w:sz w:val="20"/>
                <w:szCs w:val="20"/>
              </w:rPr>
              <w:t xml:space="preserve"> </w:t>
            </w:r>
          </w:p>
        </w:tc>
      </w:tr>
      <w:tr>
        <w:trPr/>
        <w:tc>
          <w:tcPr>
            <w:tcW w:w="35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3</w:t>
            </w:r>
          </w:p>
        </w:tc>
        <w:tc>
          <w:tcPr>
            <w:tcW w:w="188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Credential-abuse validation incomplete </w:t>
            </w:r>
          </w:p>
        </w:tc>
        <w:tc>
          <w:tcPr>
            <w:tcW w:w="161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t xml:space="preserve">Assessment limitation </w:t>
            </w:r>
          </w:p>
        </w:tc>
        <w:tc>
          <w:tcPr>
            <w:tcW w:w="1881"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t xml:space="preserve">Local password-recovery tools and AWS Console testing </w:t>
            </w:r>
          </w:p>
        </w:tc>
        <w:tc>
          <w:tcPr>
            <w:tcW w:w="97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t xml:space="preserve">T1110.004 — scenario studied; execution not verified </w:t>
            </w:r>
          </w:p>
        </w:tc>
        <w:tc>
          <w:tcPr>
            <w:tcW w:w="68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rPr>
              <w:t>PhaseE</w:t>
            </w:r>
          </w:p>
        </w:tc>
        <w:tc>
          <w:tcPr>
            <w:tcW w:w="62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t>Informational</w:t>
            </w:r>
          </w:p>
        </w:tc>
        <w:tc>
          <w:tcPr>
            <w:tcW w:w="218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ourceText"/>
                <w:i/>
                <w:iCs/>
                <w:sz w:val="20"/>
                <w:szCs w:val="20"/>
              </w:rPr>
              <w:t>PhaseE_pwnedlab_hash_cracking.png</w:t>
            </w:r>
            <w:r>
              <w:rPr>
                <w:i/>
                <w:iCs/>
                <w:sz w:val="20"/>
                <w:szCs w:val="20"/>
              </w:rPr>
              <w:t xml:space="preserve">; terminal output showing the missing input file </w:t>
            </w:r>
          </w:p>
        </w:tc>
      </w:tr>
      <w:tr>
        <w:trPr/>
        <w:tc>
          <w:tcPr>
            <w:tcW w:w="35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4</w:t>
            </w:r>
          </w:p>
        </w:tc>
        <w:tc>
          <w:tcPr>
            <w:tcW w:w="188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No external-access findings displayed during review </w:t>
            </w:r>
          </w:p>
        </w:tc>
        <w:tc>
          <w:tcPr>
            <w:tcW w:w="161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 xml:space="preserve">External-access assessment result </w:t>
            </w:r>
          </w:p>
        </w:tc>
        <w:tc>
          <w:tcPr>
            <w:tcW w:w="1881"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 xml:space="preserve">IAM Access Analyzer </w:t>
            </w:r>
          </w:p>
        </w:tc>
        <w:tc>
          <w:tcPr>
            <w:tcW w:w="97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N/A</w:t>
            </w:r>
          </w:p>
        </w:tc>
        <w:tc>
          <w:tcPr>
            <w:tcW w:w="68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Phase D</w:t>
            </w:r>
          </w:p>
        </w:tc>
        <w:tc>
          <w:tcPr>
            <w:tcW w:w="62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Informational</w:t>
            </w:r>
          </w:p>
        </w:tc>
        <w:tc>
          <w:tcPr>
            <w:tcW w:w="218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Style w:val="SourceText"/>
                <w:i/>
                <w:iCs/>
                <w:sz w:val="20"/>
                <w:szCs w:val="20"/>
              </w:rPr>
              <w:t>PhaseD_access_analyser_findings.png</w:t>
            </w:r>
            <w:r>
              <w:rPr>
                <w:i/>
                <w:iCs/>
                <w:sz w:val="20"/>
                <w:szCs w:val="20"/>
              </w:rPr>
              <w:t xml:space="preserve">; </w:t>
            </w:r>
            <w:r>
              <w:rPr>
                <w:rStyle w:val="SourceText"/>
                <w:i/>
                <w:iCs/>
                <w:sz w:val="20"/>
                <w:szCs w:val="20"/>
              </w:rPr>
              <w:t>PhaseD_external_access.png</w:t>
            </w:r>
            <w:r>
              <w:rPr>
                <w:i/>
                <w:iCs/>
                <w:sz w:val="20"/>
                <w:szCs w:val="20"/>
              </w:rPr>
              <w:t xml:space="preserve"> </w:t>
            </w:r>
          </w:p>
        </w:tc>
      </w:tr>
    </w:tbl>
    <w:p>
      <w:pPr>
        <w:pStyle w:val="Normal"/>
        <w:spacing w:before="0" w:after="80"/>
        <w:rPr>
          <w:i/>
          <w:i/>
          <w:iCs/>
          <w:color w:val="6B8CA3"/>
          <w:sz w:val="18"/>
          <w:szCs w:val="18"/>
        </w:rPr>
      </w:pPr>
      <w:r>
        <w:rPr>
          <w:i/>
          <w:iCs/>
          <w:color w:val="6B8CA3"/>
          <w:sz w:val="18"/>
          <w:szCs w:val="18"/>
        </w:rPr>
        <w:t xml:space="preserve">ℹ  </w:t>
      </w:r>
      <w:r>
        <w:rPr>
          <w:i/>
          <w:iCs/>
          <w:color w:val="6B8CA3"/>
          <w:sz w:val="18"/>
          <w:szCs w:val="18"/>
        </w:rPr>
        <w:t>Cloud security finding types: Misconfiguration — incorrect resource setting (e.g. public S3 bucket); Access Control Weakness — overly permissive IAM policy or role trust; Logging Gap — CloudTrail, Config, or GuardDuty not enabled or covering required events; Encryption Gap — data at rest or in transit not encrypted; Privilege Escalation Path — role chaining, assume-role abuse, or policy rollback risk; Anomalous Activity — unusual API call patterns detected in CloudTrail logs; Compliance Deviation — resource fails CIS AWS Benchmark or ISO 27001 control check.</w:t>
      </w:r>
    </w:p>
    <w:p>
      <w:pPr>
        <w:pStyle w:val="Normal"/>
        <w:spacing w:before="0" w:after="80"/>
        <w:rPr/>
      </w:pPr>
      <w:r>
        <w:rPr/>
      </w:r>
    </w:p>
    <w:p>
      <w:pPr>
        <w:pStyle w:val="Heading2"/>
        <w:rPr>
          <w:b/>
          <w:bCs/>
          <w:color w:themeColor="text2" w:themeShade="bf" w:val="323E4F"/>
        </w:rPr>
      </w:pPr>
      <w:r>
        <w:rPr>
          <w:b/>
          <w:bCs/>
          <w:color w:themeColor="text2" w:themeShade="bf" w:val="323E4F"/>
        </w:rPr>
        <w:t>4.2 Detailed Finding Analysis</w:t>
      </w:r>
    </w:p>
    <w:p>
      <w:pPr>
        <w:pStyle w:val="Normal"/>
        <w:spacing w:before="0" w:after="120"/>
        <w:rPr>
          <w:color w:val="auto"/>
          <w:sz w:val="22"/>
          <w:szCs w:val="22"/>
        </w:rPr>
      </w:pPr>
      <w:r>
        <w:rPr>
          <w:i/>
          <w:iCs/>
          <w:color w:val="auto"/>
          <w:sz w:val="22"/>
          <w:szCs w:val="22"/>
        </w:rPr>
        <w:t>[Write a detailed analysis card for each finding in the summary table. Aim for 3–5 detailed cards; additional minor findings may appear in the summary table only.]</w:t>
      </w:r>
    </w:p>
    <w:p>
      <w:pPr>
        <w:pStyle w:val="Heading3"/>
        <w:spacing w:before="200" w:after="80"/>
        <w:rPr>
          <w:sz w:val="28"/>
          <w:szCs w:val="28"/>
        </w:rPr>
      </w:pPr>
      <w:r>
        <w:rPr>
          <w:b/>
          <w:bCs/>
          <w:color w:val="0D2137"/>
          <w:sz w:val="22"/>
          <w:szCs w:val="22"/>
        </w:rPr>
        <w:t xml:space="preserve">Finding 1: </w:t>
      </w:r>
      <w:r>
        <w:rPr/>
        <w:t xml:space="preserve">Broadly Scoped IAM and EC2 Permissions Assigned to Kerrigan </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596"/>
        <w:gridCol w:w="7468"/>
      </w:tblGrid>
      <w:tr>
        <w:trPr/>
        <w:tc>
          <w:tcPr>
            <w:tcW w:w="259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Finding Title</w:t>
            </w:r>
          </w:p>
        </w:tc>
        <w:tc>
          <w:tcPr>
            <w:tcW w:w="746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Broadly scoped IAM and EC2 permissions assigned to Kerrigan </w:t>
            </w:r>
          </w:p>
        </w:tc>
      </w:tr>
      <w:tr>
        <w:trPr/>
        <w:tc>
          <w:tcPr>
            <w:tcW w:w="259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Type / Category</w:t>
            </w:r>
          </w:p>
        </w:tc>
        <w:tc>
          <w:tcPr>
            <w:tcW w:w="746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Access Control Weakness / Potential Privilege Escalation Path </w:t>
            </w:r>
          </w:p>
        </w:tc>
      </w:tr>
      <w:tr>
        <w:trPr/>
        <w:tc>
          <w:tcPr>
            <w:tcW w:w="259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Cloud Service / Resource</w:t>
            </w:r>
          </w:p>
        </w:tc>
        <w:tc>
          <w:tcPr>
            <w:tcW w:w="746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CloudGoat </w:t>
            </w:r>
            <w:r>
              <w:rPr>
                <w:rStyle w:val="SourceText"/>
                <w:i/>
                <w:iCs/>
                <w:color w:val="0D2137"/>
                <w:sz w:val="20"/>
                <w:szCs w:val="20"/>
              </w:rPr>
              <w:t>kerrigan</w:t>
            </w:r>
            <w:r>
              <w:rPr>
                <w:i/>
                <w:iCs/>
                <w:color w:val="0D2137"/>
                <w:sz w:val="20"/>
                <w:szCs w:val="20"/>
              </w:rPr>
              <w:t xml:space="preserve"> IAM user and its attached managed policy </w:t>
            </w:r>
          </w:p>
        </w:tc>
      </w:tr>
      <w:tr>
        <w:trPr/>
        <w:tc>
          <w:tcPr>
            <w:tcW w:w="259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Description</w:t>
            </w:r>
          </w:p>
        </w:tc>
        <w:tc>
          <w:tcPr>
            <w:tcW w:w="746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Policy inspection identified broadly scoped IAM and EC2 permissions. Policy Sentry also identified permissions-management actions, indicating that the user’s access required closer review for potential privilege escalation. The exact permitted actions, resource scope, and conditions must be taken from </w:t>
            </w:r>
            <w:r>
              <w:rPr>
                <w:rStyle w:val="SourceText"/>
                <w:i/>
                <w:iCs/>
                <w:color w:val="0D2137"/>
                <w:sz w:val="20"/>
                <w:szCs w:val="20"/>
              </w:rPr>
              <w:t>PhaseC_kerrigan_policy_document.png</w:t>
            </w:r>
            <w:r>
              <w:rPr>
                <w:i/>
                <w:iCs/>
                <w:color w:val="0D2137"/>
                <w:sz w:val="20"/>
                <w:szCs w:val="20"/>
              </w:rPr>
              <w:t xml:space="preserve">; successful escalation was not demonstrated in the evidence described </w:t>
            </w:r>
          </w:p>
        </w:tc>
      </w:tr>
      <w:tr>
        <w:trPr/>
        <w:tc>
          <w:tcPr>
            <w:tcW w:w="259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How Identified</w:t>
            </w:r>
          </w:p>
        </w:tc>
        <w:tc>
          <w:tcPr>
            <w:tcW w:w="746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Reviewed Kerrigan’s managed-policy attachment, group membership, and inline-policy status. Examined the policy document and Policy Sentry analysis results. </w:t>
            </w:r>
          </w:p>
        </w:tc>
      </w:tr>
      <w:tr>
        <w:trPr/>
        <w:tc>
          <w:tcPr>
            <w:tcW w:w="259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MITRE ATT&amp;CK Reference</w:t>
            </w:r>
          </w:p>
        </w:tc>
        <w:tc>
          <w:tcPr>
            <w:tcW w:w="746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Style w:val="Strong"/>
                <w:i/>
                <w:iCs/>
                <w:color w:val="0D2137"/>
                <w:sz w:val="20"/>
                <w:szCs w:val="20"/>
              </w:rPr>
              <w:t>T1098.003 – Account Manipulation: Additional Cloud Roles</w:t>
            </w:r>
            <w:r>
              <w:rPr>
                <w:i/>
                <w:iCs/>
                <w:color w:val="0D2137"/>
                <w:sz w:val="20"/>
                <w:szCs w:val="20"/>
              </w:rPr>
              <w:t xml:space="preserve">, relevant if the permissions allow an attacker to attach policies or otherwise grant additional cloud privileges. </w:t>
            </w:r>
          </w:p>
        </w:tc>
      </w:tr>
      <w:tr>
        <w:trPr/>
        <w:tc>
          <w:tcPr>
            <w:tcW w:w="259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Business / Security Impact</w:t>
            </w:r>
          </w:p>
        </w:tc>
        <w:tc>
          <w:tcPr>
            <w:tcW w:w="746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trong"/>
                <w:i/>
                <w:iCs/>
                <w:color w:val="0D2137"/>
                <w:sz w:val="20"/>
                <w:szCs w:val="20"/>
              </w:rPr>
              <w:t>Confidentiality:</w:t>
            </w:r>
            <w:r>
              <w:rPr>
                <w:i/>
                <w:iCs/>
                <w:color w:val="0D2137"/>
                <w:sz w:val="20"/>
                <w:szCs w:val="20"/>
              </w:rPr>
              <w:t xml:space="preserve"> Compromised credentials could expose resources accessible through the user’s effective permissions. </w:t>
            </w:r>
            <w:r>
              <w:rPr>
                <w:rStyle w:val="Strong"/>
                <w:i/>
                <w:iCs/>
                <w:color w:val="0D2137"/>
                <w:sz w:val="20"/>
                <w:szCs w:val="20"/>
              </w:rPr>
              <w:t>Integrity:</w:t>
            </w:r>
            <w:r>
              <w:rPr>
                <w:i/>
                <w:iCs/>
                <w:color w:val="0D2137"/>
                <w:sz w:val="20"/>
                <w:szCs w:val="20"/>
              </w:rPr>
              <w:t xml:space="preserve"> Authorised policy-management actions could permit unauthorised privilege changes. </w:t>
            </w:r>
            <w:r>
              <w:rPr>
                <w:rStyle w:val="Strong"/>
                <w:i/>
                <w:iCs/>
                <w:color w:val="0D2137"/>
                <w:sz w:val="20"/>
                <w:szCs w:val="20"/>
              </w:rPr>
              <w:t>Availability:</w:t>
            </w:r>
            <w:r>
              <w:rPr>
                <w:i/>
                <w:iCs/>
                <w:color w:val="0D2137"/>
                <w:sz w:val="20"/>
                <w:szCs w:val="20"/>
              </w:rPr>
              <w:t xml:space="preserve"> Broad EC2 permissions could enable disruption if they include instance stop, termination, or configuration changes. These consequences depend on the actual allowed actions and applicable controls. </w:t>
            </w:r>
          </w:p>
        </w:tc>
      </w:tr>
      <w:tr>
        <w:trPr/>
        <w:tc>
          <w:tcPr>
            <w:tcW w:w="259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Severity / Impact</w:t>
            </w:r>
          </w:p>
        </w:tc>
        <w:tc>
          <w:tcPr>
            <w:tcW w:w="746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Style w:val="Strong"/>
                <w:i/>
                <w:iCs/>
                <w:color w:val="0D2137"/>
                <w:sz w:val="20"/>
                <w:szCs w:val="20"/>
              </w:rPr>
              <w:t>High — provisional</w:t>
            </w:r>
            <w:r>
              <w:rPr>
                <w:i/>
                <w:iCs/>
                <w:color w:val="0D2137"/>
                <w:sz w:val="20"/>
                <w:szCs w:val="20"/>
              </w:rPr>
              <w:t xml:space="preserve">, pending confirmation of the complete policy and escalation prerequisites. </w:t>
            </w:r>
          </w:p>
        </w:tc>
      </w:tr>
      <w:tr>
        <w:trPr/>
        <w:tc>
          <w:tcPr>
            <w:tcW w:w="259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Reference</w:t>
            </w:r>
          </w:p>
        </w:tc>
        <w:tc>
          <w:tcPr>
            <w:tcW w:w="746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ourceText"/>
                <w:i/>
                <w:iCs/>
                <w:color w:val="0D2137"/>
                <w:sz w:val="20"/>
                <w:szCs w:val="20"/>
              </w:rPr>
              <w:t>PhaseC_kerrigan_policy_document.png</w:t>
            </w:r>
            <w:r>
              <w:rPr>
                <w:i/>
                <w:iCs/>
                <w:color w:val="0D2137"/>
                <w:sz w:val="20"/>
                <w:szCs w:val="20"/>
              </w:rPr>
              <w:t xml:space="preserve"> — Kerrigan’s policy document. </w:t>
            </w:r>
            <w:r>
              <w:rPr>
                <w:rStyle w:val="Strong"/>
                <w:i/>
                <w:iCs/>
                <w:color w:val="0D2137"/>
                <w:sz w:val="20"/>
                <w:szCs w:val="20"/>
              </w:rPr>
              <w:t xml:space="preserve">Figure </w:t>
            </w:r>
            <w:r>
              <w:rPr>
                <w:rStyle w:val="SourceText"/>
                <w:i/>
                <w:iCs/>
                <w:color w:val="0D2137"/>
                <w:sz w:val="20"/>
                <w:szCs w:val="20"/>
              </w:rPr>
              <w:t>PhaseC_sentry_analysis.png</w:t>
            </w:r>
            <w:r>
              <w:rPr>
                <w:i/>
                <w:iCs/>
                <w:color w:val="0D2137"/>
                <w:sz w:val="20"/>
                <w:szCs w:val="20"/>
              </w:rPr>
              <w:t xml:space="preserve"> — permissions-management actions identified during analysis. Supporting evidence:</w:t>
            </w:r>
          </w:p>
          <w:p>
            <w:pPr>
              <w:pStyle w:val="Normal"/>
              <w:spacing w:before="0" w:after="0"/>
              <w:rPr>
                <w:sz w:val="20"/>
                <w:szCs w:val="20"/>
              </w:rPr>
            </w:pPr>
            <w:r>
              <w:rPr>
                <w:i/>
                <w:iCs/>
                <w:color w:val="0D2137"/>
                <w:sz w:val="20"/>
                <w:szCs w:val="20"/>
              </w:rPr>
              <w:t xml:space="preserve"> </w:t>
            </w:r>
            <w:r>
              <w:rPr>
                <w:rStyle w:val="SourceText"/>
                <w:i/>
                <w:iCs/>
                <w:color w:val="0D2137"/>
                <w:sz w:val="20"/>
                <w:szCs w:val="20"/>
              </w:rPr>
              <w:t>PhaseC_kerrigan_policy_mapping.png</w:t>
            </w:r>
            <w:r>
              <w:rPr>
                <w:i/>
                <w:iCs/>
                <w:color w:val="0D2137"/>
                <w:sz w:val="20"/>
                <w:szCs w:val="20"/>
              </w:rPr>
              <w:t xml:space="preserve">. </w:t>
            </w:r>
          </w:p>
        </w:tc>
      </w:tr>
    </w:tbl>
    <w:p>
      <w:pPr>
        <w:pStyle w:val="Normal"/>
        <w:spacing w:before="0" w:after="80"/>
        <w:rPr/>
      </w:pPr>
      <w:r>
        <w:rPr>
          <w:i/>
          <w:iCs/>
          <w:color w:val="6B8CA3"/>
          <w:sz w:val="18"/>
          <w:szCs w:val="18"/>
        </w:rPr>
        <w:t xml:space="preserve">ℹ  </w:t>
      </w:r>
      <w:r>
        <w:rPr>
          <w:i/>
          <w:iCs/>
          <w:color w:val="6B8CA3"/>
          <w:sz w:val="18"/>
          <w:szCs w:val="18"/>
        </w:rPr>
        <w:t>Insert the most relevant CLI output, JSON policy extract, or console screenshot for this finding below. Label it Figure X with a one-sentence caption.</w:t>
      </w:r>
    </w:p>
    <w:p>
      <w:pPr>
        <w:pStyle w:val="Normal"/>
        <w:rPr/>
      </w:pPr>
      <w:r>
        <w:rPr/>
      </w:r>
    </w:p>
    <w:p>
      <w:pPr>
        <w:pStyle w:val="Heading3"/>
        <w:spacing w:before="200" w:after="80"/>
        <w:rPr>
          <w:sz w:val="28"/>
          <w:szCs w:val="28"/>
        </w:rPr>
      </w:pPr>
      <w:r>
        <w:rPr>
          <w:b/>
          <w:bCs/>
          <w:color w:val="0D2137"/>
          <w:sz w:val="22"/>
          <w:szCs w:val="22"/>
        </w:rPr>
        <w:t xml:space="preserve">Finding 2: </w:t>
      </w:r>
      <w:r>
        <w:rPr/>
        <w:t xml:space="preserve">Unrestricted Administrative Policy on Mighty Role Unrestricted Administrative Policy on Mighty Role </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596"/>
        <w:gridCol w:w="7468"/>
      </w:tblGrid>
      <w:tr>
        <w:trPr/>
        <w:tc>
          <w:tcPr>
            <w:tcW w:w="259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Finding Title</w:t>
            </w:r>
          </w:p>
        </w:tc>
        <w:tc>
          <w:tcPr>
            <w:tcW w:w="746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Unrestricted administrative policy on Mighty role </w:t>
            </w:r>
          </w:p>
        </w:tc>
      </w:tr>
      <w:tr>
        <w:trPr/>
        <w:tc>
          <w:tcPr>
            <w:tcW w:w="259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Type / Category</w:t>
            </w:r>
          </w:p>
        </w:tc>
        <w:tc>
          <w:tcPr>
            <w:tcW w:w="746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IAM Policy Gap / Excessive Privileges </w:t>
            </w:r>
          </w:p>
        </w:tc>
      </w:tr>
      <w:tr>
        <w:trPr/>
        <w:tc>
          <w:tcPr>
            <w:tcW w:w="259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Cloud Service / Resource</w:t>
            </w:r>
          </w:p>
        </w:tc>
        <w:tc>
          <w:tcPr>
            <w:tcW w:w="746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CloudGoat Mighty IAM role and its attached managed policy </w:t>
            </w:r>
          </w:p>
        </w:tc>
      </w:tr>
      <w:tr>
        <w:trPr/>
        <w:tc>
          <w:tcPr>
            <w:tcW w:w="259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Description</w:t>
            </w:r>
          </w:p>
        </w:tc>
        <w:tc>
          <w:tcPr>
            <w:tcW w:w="746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The attached policy explicitly allowed all actions on all resources, represented by </w:t>
            </w:r>
            <w:r>
              <w:rPr>
                <w:rStyle w:val="SourceText"/>
                <w:i/>
                <w:iCs/>
                <w:color w:val="0D2137"/>
                <w:sz w:val="20"/>
                <w:szCs w:val="20"/>
              </w:rPr>
              <w:t>"Effect": "Allow"</w:t>
            </w:r>
            <w:r>
              <w:rPr>
                <w:i/>
                <w:iCs/>
                <w:color w:val="0D2137"/>
                <w:sz w:val="20"/>
                <w:szCs w:val="20"/>
              </w:rPr>
              <w:t xml:space="preserve">, </w:t>
            </w:r>
            <w:r>
              <w:rPr>
                <w:rStyle w:val="SourceText"/>
                <w:i/>
                <w:iCs/>
                <w:color w:val="0D2137"/>
                <w:sz w:val="20"/>
                <w:szCs w:val="20"/>
              </w:rPr>
              <w:t>"Action": "*"</w:t>
            </w:r>
            <w:r>
              <w:rPr>
                <w:i/>
                <w:iCs/>
                <w:color w:val="0D2137"/>
                <w:sz w:val="20"/>
                <w:szCs w:val="20"/>
              </w:rPr>
              <w:t xml:space="preserve">, and </w:t>
            </w:r>
            <w:r>
              <w:rPr>
                <w:rStyle w:val="SourceText"/>
                <w:i/>
                <w:iCs/>
                <w:color w:val="0D2137"/>
                <w:sz w:val="20"/>
                <w:szCs w:val="20"/>
              </w:rPr>
              <w:t>"Resource": "*"</w:t>
            </w:r>
            <w:r>
              <w:rPr>
                <w:i/>
                <w:iCs/>
                <w:color w:val="0D2137"/>
                <w:sz w:val="20"/>
                <w:szCs w:val="20"/>
              </w:rPr>
              <w:t xml:space="preserve">. This establishes an unrestricted permission grant at the policy level. Effective access still depends on role trust, any permissions boundary, organisation controls, session policies, and explicit denies. </w:t>
            </w:r>
          </w:p>
        </w:tc>
      </w:tr>
      <w:tr>
        <w:trPr/>
        <w:tc>
          <w:tcPr>
            <w:tcW w:w="259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How Identified</w:t>
            </w:r>
          </w:p>
        </w:tc>
        <w:tc>
          <w:tcPr>
            <w:tcW w:w="746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Examined the Mighty policy document and mapped the managed policy attached to the role. Recorded the potential escalation path and assessment limitations in </w:t>
            </w:r>
            <w:r>
              <w:rPr>
                <w:rStyle w:val="SourceText"/>
                <w:i/>
                <w:iCs/>
                <w:color w:val="0D2137"/>
                <w:sz w:val="20"/>
                <w:szCs w:val="20"/>
              </w:rPr>
              <w:t>PhaceC_analysis.txt</w:t>
            </w:r>
            <w:r>
              <w:rPr>
                <w:i/>
                <w:iCs/>
                <w:color w:val="0D2137"/>
                <w:sz w:val="20"/>
                <w:szCs w:val="20"/>
              </w:rPr>
              <w:t xml:space="preserve">. </w:t>
            </w:r>
          </w:p>
        </w:tc>
      </w:tr>
      <w:tr>
        <w:trPr/>
        <w:tc>
          <w:tcPr>
            <w:tcW w:w="259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MITRE ATT&amp;CK Reference</w:t>
            </w:r>
          </w:p>
        </w:tc>
        <w:tc>
          <w:tcPr>
            <w:tcW w:w="746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Style w:val="Strong"/>
                <w:i/>
                <w:iCs/>
                <w:color w:val="0D2137"/>
                <w:sz w:val="20"/>
                <w:szCs w:val="20"/>
              </w:rPr>
              <w:t>T1098.003 – Account Manipulation: Additional Cloud Roles</w:t>
            </w:r>
            <w:r>
              <w:rPr>
                <w:i/>
                <w:iCs/>
                <w:color w:val="0D2137"/>
                <w:sz w:val="20"/>
                <w:szCs w:val="20"/>
              </w:rPr>
              <w:t xml:space="preserve">, relevant to the potential assignment of additional privileges. The policy’s presence alone does not prove malicious role manipulation </w:t>
            </w:r>
          </w:p>
        </w:tc>
      </w:tr>
      <w:tr>
        <w:trPr/>
        <w:tc>
          <w:tcPr>
            <w:tcW w:w="259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Business / Security Impact</w:t>
            </w:r>
          </w:p>
        </w:tc>
        <w:tc>
          <w:tcPr>
            <w:tcW w:w="746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trong"/>
                <w:i/>
                <w:iCs/>
                <w:color w:val="0D2137"/>
                <w:sz w:val="20"/>
                <w:szCs w:val="20"/>
              </w:rPr>
              <w:t>Confidentiality:</w:t>
            </w:r>
            <w:r>
              <w:rPr>
                <w:i/>
                <w:iCs/>
                <w:color w:val="0D2137"/>
                <w:sz w:val="20"/>
                <w:szCs w:val="20"/>
              </w:rPr>
              <w:t xml:space="preserve"> An attacker obtaining effective access to this role could read sensitive resources. </w:t>
            </w:r>
            <w:r>
              <w:rPr>
                <w:rStyle w:val="Strong"/>
                <w:i/>
                <w:iCs/>
                <w:color w:val="0D2137"/>
                <w:sz w:val="20"/>
                <w:szCs w:val="20"/>
              </w:rPr>
              <w:t>Integrity:</w:t>
            </w:r>
            <w:r>
              <w:rPr>
                <w:i/>
                <w:iCs/>
                <w:color w:val="0D2137"/>
                <w:sz w:val="20"/>
                <w:szCs w:val="20"/>
              </w:rPr>
              <w:t xml:space="preserve"> They could alter infrastructure, data, and security configurations. </w:t>
            </w:r>
            <w:r>
              <w:rPr>
                <w:rStyle w:val="Strong"/>
                <w:i/>
                <w:iCs/>
                <w:color w:val="0D2137"/>
                <w:sz w:val="20"/>
                <w:szCs w:val="20"/>
              </w:rPr>
              <w:t>Availability:</w:t>
            </w:r>
            <w:r>
              <w:rPr>
                <w:i/>
                <w:iCs/>
                <w:color w:val="0D2137"/>
                <w:sz w:val="20"/>
                <w:szCs w:val="20"/>
              </w:rPr>
              <w:t xml:space="preserve"> They could delete or disable resources and disrupt operations, subject to other enforced controls. </w:t>
            </w:r>
          </w:p>
        </w:tc>
      </w:tr>
      <w:tr>
        <w:trPr/>
        <w:tc>
          <w:tcPr>
            <w:tcW w:w="259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Severity / Impact</w:t>
            </w:r>
          </w:p>
        </w:tc>
        <w:tc>
          <w:tcPr>
            <w:tcW w:w="746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Style w:val="Strong"/>
                <w:i/>
                <w:iCs/>
                <w:color w:val="0D2137"/>
                <w:sz w:val="20"/>
                <w:szCs w:val="20"/>
              </w:rPr>
              <w:t>High</w:t>
            </w:r>
            <w:r>
              <w:rPr>
                <w:i/>
                <w:iCs/>
                <w:color w:val="0D2137"/>
                <w:sz w:val="20"/>
                <w:szCs w:val="20"/>
              </w:rPr>
              <w:t xml:space="preserve">, because of the unrestricted policy scope; exploitation depends on obtaining access to the role. </w:t>
            </w:r>
          </w:p>
        </w:tc>
      </w:tr>
      <w:tr>
        <w:trPr/>
        <w:tc>
          <w:tcPr>
            <w:tcW w:w="259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Reference</w:t>
            </w:r>
          </w:p>
        </w:tc>
        <w:tc>
          <w:tcPr>
            <w:tcW w:w="746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ourceText"/>
                <w:i/>
                <w:iCs/>
                <w:color w:val="0D2137"/>
                <w:sz w:val="20"/>
                <w:szCs w:val="20"/>
              </w:rPr>
              <w:t>PhaseC_mighty_policies.png</w:t>
            </w:r>
            <w:r>
              <w:rPr>
                <w:i/>
                <w:iCs/>
                <w:color w:val="0D2137"/>
                <w:sz w:val="20"/>
                <w:szCs w:val="20"/>
              </w:rPr>
              <w:t xml:space="preserve"> — policy allowing all actions on all resources. </w:t>
            </w:r>
            <w:r>
              <w:rPr>
                <w:rStyle w:val="SourceText"/>
                <w:i/>
                <w:iCs/>
                <w:color w:val="0D2137"/>
                <w:sz w:val="20"/>
                <w:szCs w:val="20"/>
              </w:rPr>
              <w:t>PhaseC_policy_mapping.png</w:t>
            </w:r>
            <w:r>
              <w:rPr>
                <w:i/>
                <w:iCs/>
                <w:color w:val="0D2137"/>
                <w:sz w:val="20"/>
                <w:szCs w:val="20"/>
              </w:rPr>
              <w:t xml:space="preserve"> — policy attachment to the scenario role. Supporting analysis: </w:t>
            </w:r>
            <w:r>
              <w:rPr>
                <w:rStyle w:val="SourceText"/>
                <w:i/>
                <w:iCs/>
                <w:color w:val="0D2137"/>
                <w:sz w:val="20"/>
                <w:szCs w:val="20"/>
              </w:rPr>
              <w:t>PhaceC_analysis.txt</w:t>
            </w:r>
            <w:r>
              <w:rPr>
                <w:i/>
                <w:iCs/>
                <w:color w:val="0D2137"/>
                <w:sz w:val="20"/>
                <w:szCs w:val="20"/>
              </w:rPr>
              <w:t xml:space="preserve"> </w:t>
            </w:r>
          </w:p>
        </w:tc>
      </w:tr>
    </w:tbl>
    <w:p>
      <w:pPr>
        <w:pStyle w:val="Normal"/>
        <w:spacing w:before="0" w:after="80"/>
        <w:rPr/>
      </w:pPr>
      <w:r>
        <w:rPr>
          <w:i/>
          <w:iCs/>
          <w:color w:val="6B8CA3"/>
          <w:sz w:val="18"/>
          <w:szCs w:val="18"/>
        </w:rPr>
        <w:t xml:space="preserve">ℹ  </w:t>
      </w:r>
      <w:r>
        <w:rPr>
          <w:i/>
          <w:iCs/>
          <w:color w:val="6B8CA3"/>
          <w:sz w:val="18"/>
          <w:szCs w:val="18"/>
        </w:rPr>
        <w:t>Insert the most relevant CLI output, JSON policy extract, or console screenshot for this finding below. Label it Figure X with a one-sentence caption.</w:t>
      </w:r>
    </w:p>
    <w:p>
      <w:pPr>
        <w:pStyle w:val="Normal"/>
        <w:rPr/>
      </w:pPr>
      <w:r>
        <w:rPr/>
      </w:r>
    </w:p>
    <w:p>
      <w:pPr>
        <w:pStyle w:val="Heading3"/>
        <w:spacing w:before="200" w:after="80"/>
        <w:rPr>
          <w:sz w:val="28"/>
          <w:szCs w:val="28"/>
        </w:rPr>
      </w:pPr>
      <w:r>
        <w:rPr>
          <w:b/>
          <w:bCs/>
          <w:color w:val="0D2137"/>
          <w:sz w:val="22"/>
          <w:szCs w:val="22"/>
        </w:rPr>
        <w:t>Finding 3:</w:t>
      </w:r>
      <w:r>
        <w:rPr/>
        <w:t xml:space="preserve">Public S3 Bucket Listing Observed </w:t>
      </w:r>
      <w:r>
        <w:rPr>
          <w:b/>
          <w:bCs/>
          <w:color w:val="0D2137"/>
          <w:sz w:val="22"/>
          <w:szCs w:val="22"/>
        </w:rPr>
        <w:t xml:space="preserve"> </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2596"/>
        <w:gridCol w:w="7468"/>
      </w:tblGrid>
      <w:tr>
        <w:trPr/>
        <w:tc>
          <w:tcPr>
            <w:tcW w:w="259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Finding Title</w:t>
            </w:r>
          </w:p>
        </w:tc>
        <w:tc>
          <w:tcPr>
            <w:tcW w:w="746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Public S3 bucket listing observed </w:t>
            </w:r>
          </w:p>
        </w:tc>
      </w:tr>
      <w:tr>
        <w:trPr/>
        <w:tc>
          <w:tcPr>
            <w:tcW w:w="259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Type / Category</w:t>
            </w:r>
          </w:p>
        </w:tc>
        <w:tc>
          <w:tcPr>
            <w:tcW w:w="746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Public Access Exposure / Information Disclosure </w:t>
            </w:r>
          </w:p>
        </w:tc>
      </w:tr>
      <w:tr>
        <w:trPr/>
        <w:tc>
          <w:tcPr>
            <w:tcW w:w="259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Cloud Service / Resource</w:t>
            </w:r>
          </w:p>
        </w:tc>
        <w:tc>
          <w:tcPr>
            <w:tcW w:w="746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Amazon S3 bucket examined in the PwnedLabs environment; insert the exact bucket name from the screenshot. </w:t>
            </w:r>
          </w:p>
        </w:tc>
      </w:tr>
      <w:tr>
        <w:trPr/>
        <w:tc>
          <w:tcPr>
            <w:tcW w:w="259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Description</w:t>
            </w:r>
          </w:p>
        </w:tc>
        <w:tc>
          <w:tcPr>
            <w:tcW w:w="746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The saved evidence is described as showing a public bucket listing. Listing access can expose object names and directory-like prefixes. It does not, by itself, establish that object contents were publicly readable. The screenshot should confirm whether the request was anonymous before classifying the access as public </w:t>
            </w:r>
          </w:p>
        </w:tc>
      </w:tr>
      <w:tr>
        <w:trPr/>
        <w:tc>
          <w:tcPr>
            <w:tcW w:w="259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How Identified</w:t>
            </w:r>
          </w:p>
        </w:tc>
        <w:tc>
          <w:tcPr>
            <w:tcW w:w="746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Examined the bucket listing during the PwnedLabs exercise and captured the output in </w:t>
            </w:r>
            <w:r>
              <w:rPr>
                <w:rStyle w:val="SourceText"/>
                <w:i/>
                <w:iCs/>
                <w:color w:val="0D2137"/>
                <w:sz w:val="20"/>
                <w:szCs w:val="20"/>
              </w:rPr>
              <w:t>PhaseE_public_bucket_listing.png</w:t>
            </w:r>
            <w:r>
              <w:rPr>
                <w:i/>
                <w:iCs/>
                <w:color w:val="0D2137"/>
                <w:sz w:val="20"/>
                <w:szCs w:val="20"/>
              </w:rPr>
              <w:t xml:space="preserve">. The exact command and authentication context should be transcribed from the evidence </w:t>
            </w:r>
          </w:p>
        </w:tc>
      </w:tr>
      <w:tr>
        <w:trPr/>
        <w:tc>
          <w:tcPr>
            <w:tcW w:w="259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MITRE ATT&amp;CK Reference</w:t>
            </w:r>
          </w:p>
        </w:tc>
        <w:tc>
          <w:tcPr>
            <w:tcW w:w="746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No direct mapping assigned from listing evidence alone. </w:t>
            </w:r>
            <w:r>
              <w:rPr>
                <w:rStyle w:val="Strong"/>
                <w:i/>
                <w:iCs/>
                <w:color w:val="0D2137"/>
                <w:sz w:val="20"/>
                <w:szCs w:val="20"/>
              </w:rPr>
              <w:t>ISO/IEC 27001:2013 A.9.4.1 – Information access restriction</w:t>
            </w:r>
            <w:r>
              <w:rPr>
                <w:i/>
                <w:iCs/>
                <w:color w:val="0D2137"/>
                <w:sz w:val="20"/>
                <w:szCs w:val="20"/>
              </w:rPr>
              <w:t xml:space="preserve"> is relevant to restricting access to stored information. </w:t>
            </w:r>
          </w:p>
        </w:tc>
      </w:tr>
      <w:tr>
        <w:trPr/>
        <w:tc>
          <w:tcPr>
            <w:tcW w:w="259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Business / Security Impact</w:t>
            </w:r>
          </w:p>
        </w:tc>
        <w:tc>
          <w:tcPr>
            <w:tcW w:w="746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trong"/>
                <w:i/>
                <w:iCs/>
                <w:color w:val="0D2137"/>
                <w:sz w:val="20"/>
                <w:szCs w:val="20"/>
              </w:rPr>
              <w:t>Confidentiality:</w:t>
            </w:r>
            <w:r>
              <w:rPr>
                <w:i/>
                <w:iCs/>
                <w:color w:val="0D2137"/>
                <w:sz w:val="20"/>
                <w:szCs w:val="20"/>
              </w:rPr>
              <w:t xml:space="preserve"> Exposed object names could reveal internal naming conventions, project details, or likely sensitive files. Publicly readable objects would create additional disclosure risk, but this has not been verified. </w:t>
            </w:r>
            <w:r>
              <w:rPr>
                <w:rStyle w:val="Strong"/>
                <w:i/>
                <w:iCs/>
                <w:color w:val="0D2137"/>
                <w:sz w:val="20"/>
                <w:szCs w:val="20"/>
              </w:rPr>
              <w:t>Integrity and availability:</w:t>
            </w:r>
            <w:r>
              <w:rPr>
                <w:i/>
                <w:iCs/>
                <w:color w:val="0D2137"/>
                <w:sz w:val="20"/>
                <w:szCs w:val="20"/>
              </w:rPr>
              <w:t xml:space="preserve"> Listing access alone does not demonstrate permission to modify or delete objects. </w:t>
            </w:r>
          </w:p>
        </w:tc>
      </w:tr>
      <w:tr>
        <w:trPr/>
        <w:tc>
          <w:tcPr>
            <w:tcW w:w="259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Severity / Impact</w:t>
            </w:r>
          </w:p>
        </w:tc>
        <w:tc>
          <w:tcPr>
            <w:tcW w:w="7468"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Style w:val="Strong"/>
                <w:i/>
                <w:iCs/>
                <w:color w:val="0D2137"/>
                <w:sz w:val="20"/>
                <w:szCs w:val="20"/>
              </w:rPr>
              <w:t>Low — provisional</w:t>
            </w:r>
            <w:r>
              <w:rPr>
                <w:i/>
                <w:iCs/>
                <w:color w:val="0D2137"/>
                <w:sz w:val="20"/>
                <w:szCs w:val="20"/>
              </w:rPr>
              <w:t xml:space="preserve">, pending confirmation of anonymous access, listing contents, and object-read permissions </w:t>
            </w:r>
          </w:p>
        </w:tc>
      </w:tr>
      <w:tr>
        <w:trPr/>
        <w:tc>
          <w:tcPr>
            <w:tcW w:w="259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Evidence Reference</w:t>
            </w:r>
          </w:p>
        </w:tc>
        <w:tc>
          <w:tcPr>
            <w:tcW w:w="7468"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Style w:val="SourceText"/>
                <w:i/>
                <w:iCs/>
                <w:color w:val="0D2137"/>
                <w:sz w:val="20"/>
                <w:szCs w:val="20"/>
              </w:rPr>
              <w:t>PhaseE_public_bucket_listing.png</w:t>
            </w:r>
            <w:r>
              <w:rPr>
                <w:i/>
                <w:iCs/>
                <w:color w:val="0D2137"/>
                <w:sz w:val="20"/>
                <w:szCs w:val="20"/>
              </w:rPr>
              <w:t xml:space="preserve"> — bucket listing captured during the PwnedLabs exercise. </w:t>
            </w:r>
          </w:p>
        </w:tc>
      </w:tr>
    </w:tbl>
    <w:p>
      <w:pPr>
        <w:pStyle w:val="Normal"/>
        <w:spacing w:before="0" w:after="80"/>
        <w:rPr/>
      </w:pPr>
      <w:r>
        <w:rPr>
          <w:i/>
          <w:iCs/>
          <w:color w:val="6B8CA3"/>
          <w:sz w:val="18"/>
          <w:szCs w:val="18"/>
        </w:rPr>
        <w:t xml:space="preserve">ℹ  </w:t>
      </w:r>
      <w:r>
        <w:rPr>
          <w:i/>
          <w:iCs/>
          <w:color w:val="6B8CA3"/>
          <w:sz w:val="18"/>
          <w:szCs w:val="18"/>
        </w:rPr>
        <w:t>Insert the most relevant CLI output, JSON policy extract, or console screenshot for this finding below. Label it Figure X with a one-sentence caption.</w:t>
      </w:r>
    </w:p>
    <w:p>
      <w:pPr>
        <w:pStyle w:val="Normal"/>
        <w:rPr/>
      </w:pPr>
      <w:r>
        <w:rPr/>
      </w:r>
    </w:p>
    <w:p>
      <w:pPr>
        <w:pStyle w:val="Normal"/>
        <w:spacing w:before="0" w:after="120"/>
        <w:rPr>
          <w:color w:val="auto"/>
          <w:sz w:val="22"/>
          <w:szCs w:val="22"/>
        </w:rPr>
      </w:pPr>
      <w:r>
        <w:rPr>
          <w:i/>
          <w:iCs/>
          <w:color w:val="auto"/>
          <w:sz w:val="22"/>
          <w:szCs w:val="22"/>
        </w:rPr>
        <w:t>[Repeat Finding card format for each additional significant finding.]</w:t>
      </w:r>
    </w:p>
    <w:p>
      <w:pPr>
        <w:pStyle w:val="Normal"/>
        <w:spacing w:before="0" w:after="0"/>
        <w:rPr/>
      </w:pPr>
      <w:r>
        <w:rPr/>
      </w:r>
      <w:r>
        <w:br w:type="page"/>
      </w:r>
    </w:p>
    <w:p>
      <w:pPr>
        <w:pStyle w:val="Heading1"/>
        <w:pBdr>
          <w:bottom w:val="single" w:sz="8" w:space="6" w:color="146C94"/>
        </w:pBdr>
        <w:spacing w:before="0" w:after="160"/>
        <w:rPr/>
      </w:pPr>
      <w:r>
        <w:rPr>
          <w:b/>
          <w:bCs/>
          <w:color w:val="0D2137"/>
        </w:rPr>
        <w:t>5.0 Risk Assessment &amp; Cloud Threat Model</w:t>
      </w:r>
    </w:p>
    <w:p>
      <w:pPr>
        <w:pStyle w:val="Normal"/>
        <w:spacing w:before="0" w:after="120"/>
        <w:rPr>
          <w:color w:val="auto"/>
          <w:sz w:val="22"/>
          <w:szCs w:val="22"/>
        </w:rPr>
      </w:pPr>
      <w:r>
        <w:rPr>
          <w:i/>
          <w:iCs/>
          <w:color w:val="auto"/>
          <w:sz w:val="22"/>
          <w:szCs w:val="22"/>
        </w:rPr>
        <w:t>[This section is required for all tasks. Complete both sub-sections using the outputs from your Phase D threat modelling work and your findings from Section 4.]</w:t>
      </w:r>
    </w:p>
    <w:p>
      <w:pPr>
        <w:pStyle w:val="Heading2"/>
        <w:rPr>
          <w:b/>
          <w:bCs/>
          <w:color w:themeColor="text2" w:themeShade="bf" w:val="323E4F"/>
        </w:rPr>
      </w:pPr>
      <w:r>
        <w:rPr>
          <w:b/>
          <w:bCs/>
          <w:color w:themeColor="text2" w:themeShade="bf" w:val="323E4F"/>
        </w:rPr>
        <w:t>5.1 Cloud Security Control Gaps &amp; Defensive Coverage</w:t>
      </w:r>
    </w:p>
    <w:p>
      <w:pPr>
        <w:pStyle w:val="Heading2"/>
        <w:pBdr>
          <w:bottom w:val="single" w:sz="6" w:space="0" w:color="C6D3DB"/>
        </w:pBdr>
        <w:spacing w:before="280" w:after="120"/>
        <w:rPr>
          <w:color w:val="auto"/>
          <w:sz w:val="22"/>
          <w:szCs w:val="22"/>
        </w:rPr>
      </w:pPr>
      <w:r>
        <w:rPr>
          <w:i/>
          <w:iCs/>
          <w:color w:val="auto"/>
          <w:sz w:val="22"/>
          <w:szCs w:val="22"/>
        </w:rPr>
        <w:t>[For each significant finding, describe which AWS-native or third-party control could detect, prevent, or reduce the risk. Consider: CloudTrail rules, AWS Config rules, GuardDuty detectors, IAM Access Analyzer, Security Hub checks, S3 Block Public Access, SCPs, or CloudWatch alarms.]</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1996"/>
        <w:gridCol w:w="2404"/>
        <w:gridCol w:w="2600"/>
        <w:gridCol w:w="3064"/>
      </w:tblGrid>
      <w:tr>
        <w:trPr>
          <w:tblHeader w:val="true"/>
        </w:trPr>
        <w:tc>
          <w:tcPr>
            <w:tcW w:w="1996"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Finding / Gap</w:t>
            </w:r>
          </w:p>
        </w:tc>
        <w:tc>
          <w:tcPr>
            <w:tcW w:w="2404"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Observable / Trigger in Cloud Telemetry</w:t>
            </w:r>
          </w:p>
        </w:tc>
        <w:tc>
          <w:tcPr>
            <w:tcW w:w="26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Recommended Control</w:t>
            </w:r>
          </w:p>
        </w:tc>
        <w:tc>
          <w:tcPr>
            <w:tcW w:w="3064"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AWS Service / Tool for Implementation</w:t>
            </w:r>
          </w:p>
        </w:tc>
      </w:tr>
      <w:tr>
        <w:trPr/>
        <w:tc>
          <w:tcPr>
            <w:tcW w:w="199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Broad IAM and EC2 permissions assigned to Kerrigan </w:t>
            </w:r>
          </w:p>
        </w:tc>
        <w:tc>
          <w:tcPr>
            <w:tcW w:w="2404"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Unexpected policy changes such as </w:t>
            </w:r>
            <w:r>
              <w:rPr>
                <w:rStyle w:val="SourceText"/>
                <w:i/>
                <w:iCs/>
                <w:color w:val="0D2137"/>
                <w:sz w:val="20"/>
                <w:szCs w:val="20"/>
              </w:rPr>
              <w:t>AttachUserPolicy</w:t>
            </w:r>
            <w:r>
              <w:rPr>
                <w:i/>
                <w:iCs/>
                <w:color w:val="0D2137"/>
                <w:sz w:val="20"/>
                <w:szCs w:val="20"/>
              </w:rPr>
              <w:t xml:space="preserve">, </w:t>
            </w:r>
            <w:r>
              <w:rPr>
                <w:rStyle w:val="SourceText"/>
                <w:i/>
                <w:iCs/>
                <w:color w:val="0D2137"/>
                <w:sz w:val="20"/>
                <w:szCs w:val="20"/>
              </w:rPr>
              <w:t>AttachRolePolicy</w:t>
            </w:r>
            <w:r>
              <w:rPr>
                <w:i/>
                <w:iCs/>
                <w:color w:val="0D2137"/>
                <w:sz w:val="20"/>
                <w:szCs w:val="20"/>
              </w:rPr>
              <w:t xml:space="preserve">, </w:t>
            </w:r>
            <w:r>
              <w:rPr>
                <w:rStyle w:val="SourceText"/>
                <w:i/>
                <w:iCs/>
                <w:color w:val="0D2137"/>
                <w:sz w:val="20"/>
                <w:szCs w:val="20"/>
              </w:rPr>
              <w:t>PutUserPolicy</w:t>
            </w:r>
            <w:r>
              <w:rPr>
                <w:i/>
                <w:iCs/>
                <w:color w:val="0D2137"/>
                <w:sz w:val="20"/>
                <w:szCs w:val="20"/>
              </w:rPr>
              <w:t xml:space="preserve">, or </w:t>
            </w:r>
            <w:r>
              <w:rPr>
                <w:rStyle w:val="SourceText"/>
                <w:i/>
                <w:iCs/>
                <w:color w:val="0D2137"/>
                <w:sz w:val="20"/>
                <w:szCs w:val="20"/>
              </w:rPr>
              <w:t>PutRolePolicy</w:t>
            </w:r>
            <w:r>
              <w:rPr>
                <w:i/>
                <w:iCs/>
                <w:color w:val="0D2137"/>
                <w:sz w:val="20"/>
                <w:szCs w:val="20"/>
              </w:rPr>
              <w:t xml:space="preserve">; EC2 actions outside the user’s expected duties </w:t>
            </w:r>
          </w:p>
        </w:tc>
        <w:tc>
          <w:tcPr>
            <w:tcW w:w="26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Restrict actions and resources to operational requirements. Apply a restrictive permissions boundary and alert on unapproved permission changes. </w:t>
            </w:r>
          </w:p>
        </w:tc>
        <w:tc>
          <w:tcPr>
            <w:tcW w:w="3064"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IAM policies and permissions boundaries; CloudTrail with EventBridge alerts; AWS Config custom rules. </w:t>
            </w:r>
          </w:p>
        </w:tc>
      </w:tr>
      <w:tr>
        <w:trPr/>
        <w:tc>
          <w:tcPr>
            <w:tcW w:w="199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Unrestricted administrative policy on Mighty role </w:t>
            </w:r>
          </w:p>
        </w:tc>
        <w:tc>
          <w:tcPr>
            <w:tcW w:w="2404"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Unexpected </w:t>
            </w:r>
            <w:r>
              <w:rPr>
                <w:rStyle w:val="SourceText"/>
                <w:i/>
                <w:iCs/>
                <w:color w:val="0D2137"/>
                <w:sz w:val="20"/>
                <w:szCs w:val="20"/>
              </w:rPr>
              <w:t>AssumeRole</w:t>
            </w:r>
            <w:r>
              <w:rPr>
                <w:i/>
                <w:iCs/>
                <w:color w:val="0D2137"/>
                <w:sz w:val="20"/>
                <w:szCs w:val="20"/>
              </w:rPr>
              <w:t xml:space="preserve"> activity, changes to the role’s trust policy, or attachment of additional policies. Existing excessive permissions also require configuration review. </w:t>
            </w:r>
          </w:p>
        </w:tc>
        <w:tc>
          <w:tcPr>
            <w:tcW w:w="26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Replace wildcard administrative permissions with scoped policies. Restrict trusted principals and enforce organisational guardrails where applicable. </w:t>
            </w:r>
          </w:p>
        </w:tc>
        <w:tc>
          <w:tcPr>
            <w:tcW w:w="3064"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IAM; AWS Organizations SCPs; CloudTrail; EventBridge; policy-review tools </w:t>
            </w:r>
          </w:p>
        </w:tc>
      </w:tr>
      <w:tr>
        <w:trPr/>
        <w:tc>
          <w:tcPr>
            <w:tcW w:w="199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Public S3 bucket listing </w:t>
            </w:r>
          </w:p>
        </w:tc>
        <w:tc>
          <w:tcPr>
            <w:tcW w:w="2404"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t xml:space="preserve">Bucket policy, ACL, or public-access-block changes; unexpected listing requests captured through appropriately configured logging. </w:t>
            </w:r>
          </w:p>
        </w:tc>
        <w:tc>
          <w:tcPr>
            <w:tcW w:w="26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t xml:space="preserve">Enable S3 Block Public Access where public access is unnecessary, remove public grants, and monitor bucket access. </w:t>
            </w:r>
          </w:p>
        </w:tc>
        <w:tc>
          <w:tcPr>
            <w:tcW w:w="3064"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t xml:space="preserve">S3 Block Public Access; IAM Access Analyzer; AWS Config; CloudTrail S3 data events or S3 server access logging </w:t>
            </w:r>
          </w:p>
        </w:tc>
      </w:tr>
    </w:tbl>
    <w:p>
      <w:pPr>
        <w:pStyle w:val="Normal"/>
        <w:spacing w:before="0" w:after="0"/>
        <w:rPr>
          <w:i/>
          <w:i/>
          <w:iCs/>
          <w:color w:val="2E7EB8"/>
          <w:sz w:val="20"/>
          <w:szCs w:val="20"/>
        </w:rPr>
      </w:pPr>
      <w:r>
        <w:rPr>
          <w:i/>
          <w:iCs/>
          <w:color w:val="2E7EB8"/>
          <w:sz w:val="20"/>
          <w:szCs w:val="20"/>
        </w:rPr>
      </w:r>
    </w:p>
    <w:p>
      <w:pPr>
        <w:pStyle w:val="Heading2"/>
        <w:rPr>
          <w:b/>
          <w:bCs/>
          <w:color w:themeColor="text2" w:themeShade="bf" w:val="323E4F"/>
        </w:rPr>
      </w:pPr>
      <w:r>
        <w:rPr>
          <w:b/>
          <w:bCs/>
          <w:color w:themeColor="text2" w:themeShade="bf" w:val="323E4F"/>
        </w:rPr>
        <w:t>5.2 Risk Exposure Over Time</w:t>
      </w:r>
    </w:p>
    <w:p>
      <w:pPr>
        <w:pStyle w:val="Normal"/>
        <w:spacing w:before="0" w:after="0"/>
        <w:rPr>
          <w:i/>
          <w:i/>
          <w:iCs/>
          <w:color w:val="auto"/>
          <w:sz w:val="22"/>
          <w:szCs w:val="22"/>
        </w:rPr>
      </w:pPr>
      <w:r>
        <w:rPr>
          <w:i/>
          <w:iCs/>
          <w:color w:val="auto"/>
          <w:sz w:val="22"/>
          <w:szCs w:val="22"/>
        </w:rPr>
        <w:t>[For the top 2–3 risks identified in this task, explain what happens if they remain unaddressed over time. Consider: persistence, lateral movement, cross-account escalation, data exfiltration, regulatory non-compliance, or loss of audit visibility. Write 2–4 sentences per risk. Ground every statement in your actual task findings — not generic cloud security advice.]</w:t>
      </w:r>
    </w:p>
    <w:p>
      <w:pPr>
        <w:pStyle w:val="Normal"/>
        <w:spacing w:before="0" w:after="0"/>
        <w:rPr>
          <w:i/>
          <w:i/>
          <w:iCs/>
          <w:color w:val="auto"/>
          <w:sz w:val="22"/>
          <w:szCs w:val="22"/>
        </w:rPr>
      </w:pPr>
      <w:r>
        <w:rPr>
          <w:i/>
          <w:iCs/>
          <w:color w:val="auto"/>
          <w:sz w:val="22"/>
          <w:szCs w:val="22"/>
        </w:rPr>
      </w:r>
    </w:p>
    <w:p>
      <w:pPr>
        <w:pStyle w:val="BodyText"/>
        <w:spacing w:before="0" w:after="0"/>
        <w:rPr>
          <w:i/>
          <w:i/>
          <w:iCs/>
          <w:color w:val="auto"/>
          <w:sz w:val="22"/>
          <w:szCs w:val="22"/>
        </w:rPr>
      </w:pPr>
      <w:r>
        <w:rPr>
          <w:rStyle w:val="Strong"/>
          <w:i/>
          <w:iCs/>
          <w:color w:val="auto"/>
          <w:sz w:val="22"/>
          <w:szCs w:val="22"/>
        </w:rPr>
        <w:t>Risk 1 — Broad IAM and EC2 Permissions Assigned to Kerrigan:</w:t>
      </w:r>
      <w:r>
        <w:rPr>
          <w:i/>
          <w:iCs/>
          <w:color w:val="auto"/>
          <w:sz w:val="22"/>
          <w:szCs w:val="22"/>
        </w:rPr>
        <w:br/>
        <w:t>If left unchanged, Kerrigan’s broadly scoped permissions would remain available to anyone who compromised the user’s credentials. The permissions-management actions identified during policy analysis could support privilege expansion where resource scope and other controls permit it. This creates an ongoing potential escalation path, although successful exploitation was not demonstrated.</w:t>
      </w:r>
    </w:p>
    <w:p>
      <w:pPr>
        <w:pStyle w:val="BodyText"/>
        <w:spacing w:lineRule="auto" w:line="259"/>
        <w:rPr>
          <w:i/>
          <w:i/>
          <w:iCs/>
          <w:color w:val="auto"/>
          <w:sz w:val="22"/>
          <w:szCs w:val="22"/>
        </w:rPr>
      </w:pPr>
      <w:r>
        <w:rPr>
          <w:rStyle w:val="Strong"/>
          <w:i/>
          <w:iCs/>
          <w:color w:val="auto"/>
          <w:sz w:val="22"/>
          <w:szCs w:val="22"/>
        </w:rPr>
        <w:t>Risk 2 — Unrestricted Administrative Policy on Mighty Role:</w:t>
      </w:r>
      <w:r>
        <w:rPr>
          <w:i/>
          <w:iCs/>
          <w:color w:val="auto"/>
          <w:sz w:val="22"/>
          <w:szCs w:val="22"/>
        </w:rPr>
        <w:br/>
        <w:t>Mighty’s policy allows all actions on all resources, leaving a powerful escalation target available over time. If an attacker obtained access to the role and no other controls restricted it, they could expose data, alter security settings, or disrupt resources. Its administrative permissions could also support persistence through additional identities or credentials; these are potential consequences, not actions observed in the lab.</w:t>
      </w:r>
    </w:p>
    <w:p>
      <w:pPr>
        <w:pStyle w:val="BodyText"/>
        <w:spacing w:lineRule="auto" w:line="259"/>
        <w:rPr>
          <w:i/>
          <w:i/>
          <w:iCs/>
          <w:color w:val="auto"/>
          <w:sz w:val="22"/>
          <w:szCs w:val="22"/>
        </w:rPr>
      </w:pPr>
      <w:r>
        <w:rPr>
          <w:rStyle w:val="Strong"/>
          <w:i/>
          <w:iCs/>
          <w:color w:val="auto"/>
          <w:sz w:val="22"/>
          <w:szCs w:val="22"/>
        </w:rPr>
        <w:t>Risk 3 — Public S3 Bucket Listing:</w:t>
      </w:r>
      <w:r>
        <w:rPr>
          <w:i/>
          <w:iCs/>
          <w:color w:val="auto"/>
          <w:sz w:val="22"/>
          <w:szCs w:val="22"/>
        </w:rPr>
        <w:br/>
        <w:t>If the observed public listing remains accessible, external users could repeatedly collect object names and prefixes, revealing changes in the bucket’s contents over time. This information could help identify files worth targeting for further access. Object downloads, data exfiltration, and write access were not verified, so the demonstrated exposure remains limited to listing information.</w:t>
      </w:r>
    </w:p>
    <w:p>
      <w:pPr>
        <w:pStyle w:val="Normal"/>
        <w:spacing w:before="0" w:after="0"/>
        <w:rPr>
          <w:i/>
          <w:i/>
          <w:iCs/>
          <w:color w:val="auto"/>
          <w:sz w:val="22"/>
          <w:szCs w:val="22"/>
        </w:rPr>
      </w:pPr>
      <w:r>
        <w:rPr>
          <w:i/>
          <w:iCs/>
          <w:color w:val="auto"/>
          <w:sz w:val="22"/>
          <w:szCs w:val="22"/>
        </w:rPr>
      </w:r>
      <w:r>
        <w:br w:type="page"/>
      </w:r>
    </w:p>
    <w:p>
      <w:pPr>
        <w:pStyle w:val="Heading1"/>
        <w:pBdr>
          <w:bottom w:val="single" w:sz="8" w:space="6" w:color="146C94"/>
        </w:pBdr>
        <w:spacing w:before="0" w:after="160"/>
        <w:rPr/>
      </w:pPr>
      <w:r>
        <w:rPr>
          <w:b/>
          <w:bCs/>
          <w:color w:val="0D2137"/>
        </w:rPr>
        <w:t xml:space="preserve">6.0 Recommendations </w:t>
      </w:r>
    </w:p>
    <w:p>
      <w:pPr>
        <w:pStyle w:val="Normal"/>
        <w:spacing w:before="0" w:after="120"/>
        <w:rPr>
          <w:color w:themeColor="text2" w:themeShade="80" w:val="222A35"/>
          <w:sz w:val="22"/>
          <w:szCs w:val="22"/>
        </w:rPr>
      </w:pPr>
      <w:r>
        <w:rPr>
          <w:i/>
          <w:iCs/>
          <w:color w:themeColor="text2" w:themeShade="80" w:val="222A35"/>
          <w:sz w:val="22"/>
          <w:szCs w:val="22"/>
        </w:rPr>
        <w:t>[All recommendations must be grounded in your actual findings from Section 4. Generic cloud security advice not tied to a specific finding is not acceptable. Every recommendation should trace back to a finding in the summary table.]</w:t>
      </w:r>
    </w:p>
    <w:p>
      <w:pPr>
        <w:pStyle w:val="Heading2"/>
        <w:rPr>
          <w:b/>
          <w:bCs/>
          <w:color w:themeColor="text2" w:themeShade="bf" w:val="323E4F"/>
        </w:rPr>
      </w:pPr>
      <w:r>
        <w:rPr>
          <w:b/>
          <w:bCs/>
          <w:color w:themeColor="text2" w:themeShade="bf" w:val="323E4F"/>
        </w:rPr>
        <w:t>6.1 Technical Remediation</w:t>
      </w:r>
    </w:p>
    <w:tbl>
      <w:tblPr>
        <w:tblW w:w="10065"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320"/>
        <w:gridCol w:w="1600"/>
        <w:gridCol w:w="3956"/>
        <w:gridCol w:w="1200"/>
        <w:gridCol w:w="2989"/>
      </w:tblGrid>
      <w:tr>
        <w:trPr>
          <w:tblHeader w:val="true"/>
        </w:trPr>
        <w:tc>
          <w:tcPr>
            <w:tcW w:w="32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w:t>
            </w:r>
          </w:p>
        </w:tc>
        <w:tc>
          <w:tcPr>
            <w:tcW w:w="16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Finding</w:t>
            </w:r>
          </w:p>
        </w:tc>
        <w:tc>
          <w:tcPr>
            <w:tcW w:w="3956"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Specific Remediation Action (with Policy / CLI where applicable)</w:t>
            </w:r>
          </w:p>
        </w:tc>
        <w:tc>
          <w:tcPr>
            <w:tcW w:w="1200"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Priority</w:t>
            </w:r>
          </w:p>
        </w:tc>
        <w:tc>
          <w:tcPr>
            <w:tcW w:w="2989"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Standard / Reference</w:t>
            </w:r>
          </w:p>
        </w:tc>
      </w:tr>
      <w:tr>
        <w:trPr/>
        <w:tc>
          <w:tcPr>
            <w:tcW w:w="32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1</w:t>
            </w:r>
          </w:p>
        </w:tc>
        <w:tc>
          <w:tcPr>
            <w:tcW w:w="16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Broad IAM and EC2 permissions assigned to Kerrigan </w:t>
            </w:r>
          </w:p>
        </w:tc>
        <w:tc>
          <w:tcPr>
            <w:tcW w:w="395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Replace broad permissions with an approved list of required actions and resource ARNs. Restrict policy-attachment and policy-modification permissions to authorised administrators. Test the revised policy to confirm required operations succeed and unauthorised privilege changes are denied. </w:t>
            </w:r>
          </w:p>
        </w:tc>
        <w:tc>
          <w:tcPr>
            <w:tcW w:w="12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Short term; immediate if sensitive information is exposed </w:t>
            </w:r>
          </w:p>
        </w:tc>
        <w:tc>
          <w:tcPr>
            <w:tcW w:w="298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ISO/IEC 27001:2013 </w:t>
            </w:r>
            <w:r>
              <w:rPr>
                <w:rStyle w:val="Strong"/>
                <w:i/>
                <w:iCs/>
                <w:color w:val="0D2137"/>
                <w:sz w:val="20"/>
                <w:szCs w:val="20"/>
              </w:rPr>
              <w:t>A.9.4.1</w:t>
            </w:r>
            <w:r>
              <w:rPr>
                <w:i/>
                <w:iCs/>
                <w:color w:val="0D2137"/>
                <w:sz w:val="20"/>
                <w:szCs w:val="20"/>
              </w:rPr>
              <w:t xml:space="preserve">; Amazon S3 Block Public Access </w:t>
            </w:r>
          </w:p>
        </w:tc>
      </w:tr>
      <w:tr>
        <w:trPr/>
        <w:tc>
          <w:tcPr>
            <w:tcW w:w="32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2</w:t>
            </w:r>
          </w:p>
        </w:tc>
        <w:tc>
          <w:tcPr>
            <w:tcW w:w="16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Unrestricted administrative policy on Mighty role </w:t>
            </w:r>
          </w:p>
        </w:tc>
        <w:tc>
          <w:tcPr>
            <w:tcW w:w="395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 xml:space="preserve">Replace the </w:t>
            </w:r>
            <w:r>
              <w:rPr>
                <w:rStyle w:val="SourceText"/>
                <w:sz w:val="20"/>
                <w:szCs w:val="20"/>
              </w:rPr>
              <w:t>"Action": "*", "Resource": "*"</w:t>
            </w:r>
            <w:r>
              <w:rPr>
                <w:sz w:val="20"/>
                <w:szCs w:val="20"/>
              </w:rPr>
              <w:t xml:space="preserve"> grant with permissions specific to the role’s purpose. Review the trust policy and limit who can assume the role. Verify effective permissions, including boundaries and applicable SCPs. </w:t>
            </w:r>
          </w:p>
        </w:tc>
        <w:tc>
          <w:tcPr>
            <w:tcW w:w="12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 xml:space="preserve">Short term — validation </w:t>
            </w:r>
          </w:p>
        </w:tc>
        <w:tc>
          <w:tcPr>
            <w:tcW w:w="298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t xml:space="preserve">ISO/IEC 27001:2013 </w:t>
            </w:r>
            <w:r>
              <w:rPr>
                <w:rStyle w:val="Strong"/>
                <w:sz w:val="20"/>
                <w:szCs w:val="20"/>
              </w:rPr>
              <w:t>A.9.2.5</w:t>
            </w:r>
            <w:r>
              <w:rPr>
                <w:sz w:val="20"/>
                <w:szCs w:val="20"/>
              </w:rPr>
              <w:t xml:space="preserve"> </w:t>
            </w:r>
          </w:p>
        </w:tc>
      </w:tr>
      <w:tr>
        <w:trPr/>
        <w:tc>
          <w:tcPr>
            <w:tcW w:w="32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3</w:t>
            </w:r>
          </w:p>
        </w:tc>
        <w:tc>
          <w:tcPr>
            <w:tcW w:w="16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Public S3 bucket listing </w:t>
            </w:r>
          </w:p>
        </w:tc>
        <w:tc>
          <w:tcPr>
            <w:tcW w:w="395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t xml:space="preserve">Confirm that anonymous listing is possible and whether it is intended. If unnecessary, remove public </w:t>
            </w:r>
            <w:r>
              <w:rPr>
                <w:rStyle w:val="SourceText"/>
                <w:sz w:val="20"/>
                <w:szCs w:val="20"/>
              </w:rPr>
              <w:t>s3:ListBucket</w:t>
            </w:r>
            <w:r>
              <w:rPr>
                <w:sz w:val="20"/>
                <w:szCs w:val="20"/>
              </w:rPr>
              <w:t xml:space="preserve"> grants and enable all four S3 Block Public Access settings. Retest anonymously to confirm listing is denied, then verify that authorised access still works. </w:t>
            </w:r>
          </w:p>
        </w:tc>
        <w:tc>
          <w:tcPr>
            <w:tcW w:w="1200"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 xml:space="preserve">Short term — assurance improvement </w:t>
            </w:r>
          </w:p>
        </w:tc>
        <w:tc>
          <w:tcPr>
            <w:tcW w:w="298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sz w:val="20"/>
                <w:szCs w:val="20"/>
              </w:rPr>
              <w:t xml:space="preserve">ISO/IEC 27001:2013 </w:t>
            </w:r>
            <w:r>
              <w:rPr>
                <w:rStyle w:val="Strong"/>
                <w:sz w:val="20"/>
                <w:szCs w:val="20"/>
              </w:rPr>
              <w:t>A.9.2.5</w:t>
            </w:r>
            <w:r>
              <w:rPr>
                <w:sz w:val="20"/>
                <w:szCs w:val="20"/>
              </w:rPr>
              <w:t xml:space="preserve">; IAM Access Analyzer </w:t>
            </w:r>
          </w:p>
        </w:tc>
      </w:tr>
      <w:tr>
        <w:trPr/>
        <w:tc>
          <w:tcPr>
            <w:tcW w:w="32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4</w:t>
            </w:r>
          </w:p>
        </w:tc>
        <w:tc>
          <w:tcPr>
            <w:tcW w:w="16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
          </w:p>
        </w:tc>
        <w:tc>
          <w:tcPr>
            <w:tcW w:w="395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c>
          <w:tcPr>
            <w:tcW w:w="1200"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c>
          <w:tcPr>
            <w:tcW w:w="298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sz w:val="20"/>
                <w:szCs w:val="20"/>
              </w:rPr>
            </w:r>
          </w:p>
        </w:tc>
      </w:tr>
    </w:tbl>
    <w:p>
      <w:pPr>
        <w:pStyle w:val="Heading2"/>
        <w:rPr>
          <w:i/>
          <w:i/>
          <w:iCs/>
        </w:rPr>
      </w:pPr>
      <w:r>
        <w:rPr>
          <w:b/>
          <w:bCs/>
          <w:i/>
          <w:iCs/>
          <w:color w:themeColor="text2" w:themeShade="bf" w:val="323E4F"/>
        </w:rPr>
        <w:t>6.2 Strategic &amp; Operational Improvements</w:t>
      </w:r>
    </w:p>
    <w:p>
      <w:pPr>
        <w:pStyle w:val="Normal"/>
        <w:spacing w:before="0" w:after="120"/>
        <w:rPr>
          <w:i/>
          <w:i/>
          <w:iCs/>
        </w:rPr>
      </w:pPr>
      <w:r>
        <w:rPr>
          <w:i/>
          <w:iCs/>
          <w:color w:themeColor="text2" w:themeShade="80" w:val="222A35"/>
          <w:sz w:val="22"/>
          <w:szCs w:val="22"/>
        </w:rPr>
        <w:t>[Beyond fixing individual findings, describe improvements at the programme, account, or organisational level that would prevent similar issues in future. Aim for 3–5 actionable recommendations specific to your task domain and findings. Delete unused examples below.]</w:t>
      </w:r>
    </w:p>
    <w:p>
      <w:pPr>
        <w:pStyle w:val="Heading3"/>
        <w:numPr>
          <w:ilvl w:val="0"/>
          <w:numId w:val="96"/>
        </w:numPr>
        <w:spacing w:before="0" w:after="60"/>
        <w:ind w:hanging="360" w:left="360"/>
        <w:rPr>
          <w:color w:themeColor="text2" w:themeShade="80" w:val="222A35"/>
          <w:sz w:val="22"/>
          <w:szCs w:val="22"/>
        </w:rPr>
      </w:pPr>
      <w:r>
        <w:rPr>
          <w:rStyle w:val="Strong"/>
          <w:i/>
          <w:iCs/>
          <w:color w:themeColor="text2" w:themeShade="80" w:val="222A35"/>
          <w:sz w:val="22"/>
          <w:szCs w:val="22"/>
        </w:rPr>
        <w:t>Establish regular IAM access reviews.</w:t>
      </w:r>
      <w:r>
        <w:rPr>
          <w:i/>
          <w:iCs/>
          <w:color w:themeColor="text2" w:themeShade="80" w:val="222A35"/>
          <w:sz w:val="22"/>
          <w:szCs w:val="22"/>
        </w:rPr>
        <w:t xml:space="preserve"> Use an identity inventory and permission map to review users, roles, policy attachments, and trust relationships. Prioritise broad grants like those identified on Kerrigan and Mighty, recording each permission’s owner and business justification.</w:t>
      </w:r>
    </w:p>
    <w:p>
      <w:pPr>
        <w:pStyle w:val="Heading3"/>
        <w:numPr>
          <w:ilvl w:val="0"/>
          <w:numId w:val="97"/>
        </w:numPr>
        <w:spacing w:before="0" w:after="60"/>
        <w:ind w:hanging="360" w:left="360"/>
        <w:rPr>
          <w:color w:themeColor="text2" w:themeShade="80" w:val="222A35"/>
          <w:sz w:val="22"/>
          <w:szCs w:val="22"/>
        </w:rPr>
      </w:pPr>
      <w:r>
        <w:rPr>
          <w:rStyle w:val="Strong"/>
          <w:i/>
          <w:iCs/>
          <w:color w:themeColor="text2" w:themeShade="80" w:val="222A35"/>
          <w:sz w:val="22"/>
          <w:szCs w:val="22"/>
        </w:rPr>
        <w:t>Introduce policy checks before deployment.</w:t>
      </w:r>
      <w:r>
        <w:rPr>
          <w:i/>
          <w:iCs/>
          <w:color w:themeColor="text2" w:themeShade="80" w:val="222A35"/>
          <w:sz w:val="22"/>
          <w:szCs w:val="22"/>
        </w:rPr>
        <w:t xml:space="preserve"> Review infrastructure and IAM policy changes for unrestricted administrative grants and permissions-management actions. Require documented approval for exceptions and verify that permissions boundaries impose meaningful restrictions.</w:t>
      </w:r>
    </w:p>
    <w:p>
      <w:pPr>
        <w:pStyle w:val="Heading3"/>
        <w:numPr>
          <w:ilvl w:val="0"/>
          <w:numId w:val="98"/>
        </w:numPr>
        <w:spacing w:before="0" w:after="60"/>
        <w:ind w:hanging="360" w:left="360"/>
        <w:rPr>
          <w:color w:themeColor="text2" w:themeShade="80" w:val="222A35"/>
          <w:sz w:val="22"/>
          <w:szCs w:val="22"/>
        </w:rPr>
      </w:pPr>
      <w:r>
        <w:rPr>
          <w:rStyle w:val="Strong"/>
          <w:i/>
          <w:iCs/>
          <w:color w:themeColor="text2" w:themeShade="80" w:val="222A35"/>
          <w:sz w:val="22"/>
          <w:szCs w:val="22"/>
        </w:rPr>
        <w:t>Expand access-assurance coverage.</w:t>
      </w:r>
      <w:r>
        <w:rPr>
          <w:i/>
          <w:iCs/>
          <w:color w:themeColor="text2" w:themeShade="80" w:val="222A35"/>
          <w:sz w:val="22"/>
          <w:szCs w:val="22"/>
        </w:rPr>
        <w:t xml:space="preserve"> Combine external-access findings with internal permission analysis and effective-permission testing. The absence of external-access findings in Phase D should not override the excessive internal permissions identified in Phase C.</w:t>
      </w:r>
    </w:p>
    <w:p>
      <w:pPr>
        <w:pStyle w:val="Heading3"/>
        <w:numPr>
          <w:ilvl w:val="0"/>
          <w:numId w:val="99"/>
        </w:numPr>
        <w:spacing w:before="0" w:after="60"/>
        <w:ind w:hanging="360" w:left="360"/>
        <w:rPr>
          <w:color w:themeColor="text2" w:themeShade="80" w:val="222A35"/>
          <w:sz w:val="22"/>
          <w:szCs w:val="22"/>
        </w:rPr>
      </w:pPr>
      <w:r>
        <w:rPr>
          <w:rStyle w:val="Strong"/>
          <w:i/>
          <w:iCs/>
          <w:color w:themeColor="text2" w:themeShade="80" w:val="222A35"/>
          <w:sz w:val="22"/>
          <w:szCs w:val="22"/>
        </w:rPr>
        <w:t>Set a private-by-default S3 baseline.</w:t>
      </w:r>
      <w:r>
        <w:rPr>
          <w:i/>
          <w:iCs/>
          <w:color w:themeColor="text2" w:themeShade="80" w:val="222A35"/>
          <w:sz w:val="22"/>
          <w:szCs w:val="22"/>
        </w:rPr>
        <w:t xml:space="preserve"> Require public-access restrictions for buckets unless an approved business need exists. Review exceptions regularly and test anonymous listing and object access separately, addressing the exposure observed in Phase E.</w:t>
      </w:r>
    </w:p>
    <w:p>
      <w:pPr>
        <w:pStyle w:val="Heading3"/>
        <w:numPr>
          <w:ilvl w:val="0"/>
          <w:numId w:val="100"/>
        </w:numPr>
        <w:spacing w:before="0" w:after="60"/>
        <w:ind w:hanging="360" w:left="360"/>
        <w:rPr>
          <w:color w:themeColor="text2" w:themeShade="80" w:val="222A35"/>
          <w:sz w:val="22"/>
          <w:szCs w:val="22"/>
        </w:rPr>
      </w:pPr>
      <w:r>
        <w:rPr>
          <w:rStyle w:val="Strong"/>
          <w:i/>
          <w:iCs/>
          <w:color w:themeColor="text2" w:themeShade="80" w:val="222A35"/>
          <w:sz w:val="22"/>
          <w:szCs w:val="22"/>
        </w:rPr>
        <w:t>Standardise lab readiness and evidence collection.</w:t>
      </w:r>
      <w:r>
        <w:rPr>
          <w:i/>
          <w:iCs/>
          <w:color w:themeColor="text2" w:themeShade="80" w:val="222A35"/>
          <w:sz w:val="22"/>
          <w:szCs w:val="22"/>
        </w:rPr>
        <w:t xml:space="preserve"> Check required input files, dependencies, and tool commands before starting exercises. Maintain a record of completed tests, blockers, and unverified outcomes to prevent setup issues from leaving assessment gaps.</w:t>
      </w:r>
    </w:p>
    <w:p>
      <w:pPr>
        <w:pStyle w:val="ListParagraph"/>
        <w:numPr>
          <w:ilvl w:val="0"/>
          <w:numId w:val="0"/>
        </w:numPr>
        <w:spacing w:before="0" w:after="60"/>
        <w:ind w:hanging="0" w:left="360"/>
        <w:rPr>
          <w:color w:themeColor="text2" w:themeShade="80" w:val="222A35"/>
          <w:sz w:val="22"/>
          <w:szCs w:val="22"/>
        </w:rPr>
      </w:pPr>
      <w:r>
        <w:rPr>
          <w:color w:themeColor="text2" w:themeShade="80" w:val="222A35"/>
          <w:sz w:val="22"/>
          <w:szCs w:val="22"/>
        </w:rPr>
      </w:r>
    </w:p>
    <w:p>
      <w:pPr>
        <w:pStyle w:val="Normal"/>
        <w:spacing w:before="0" w:after="80"/>
        <w:rPr/>
      </w:pPr>
      <w:r>
        <w:rPr>
          <w:i/>
          <w:iCs/>
          <w:color w:val="6B8CA3"/>
          <w:sz w:val="18"/>
          <w:szCs w:val="18"/>
        </w:rPr>
        <w:t>ings. Delete examples that do not apply to your task.</w:t>
      </w:r>
    </w:p>
    <w:p>
      <w:pPr>
        <w:pStyle w:val="Normal"/>
        <w:spacing w:before="0" w:after="0"/>
        <w:rPr/>
      </w:pPr>
      <w:r>
        <w:rPr/>
      </w:r>
      <w:r>
        <w:br w:type="page"/>
      </w:r>
    </w:p>
    <w:p>
      <w:pPr>
        <w:pStyle w:val="Heading1"/>
        <w:pBdr>
          <w:bottom w:val="single" w:sz="8" w:space="6" w:color="146C94"/>
        </w:pBdr>
        <w:spacing w:before="0" w:after="160"/>
        <w:rPr>
          <w:b/>
          <w:bCs/>
          <w:color w:themeColor="text2" w:themeShade="80" w:val="222A35"/>
        </w:rPr>
      </w:pPr>
      <w:r>
        <w:rPr>
          <w:b/>
          <w:bCs/>
          <w:color w:themeColor="text2" w:themeShade="80" w:val="222A35"/>
        </w:rPr>
        <w:t>7.0 Reflection</w:t>
      </w:r>
    </w:p>
    <w:p>
      <w:pPr>
        <w:pStyle w:val="Normal"/>
        <w:spacing w:before="60" w:after="80"/>
        <w:rPr>
          <w:sz w:val="22"/>
          <w:szCs w:val="22"/>
        </w:rPr>
      </w:pPr>
      <w:r>
        <w:rPr/>
        <w:t>[</w:t>
      </w:r>
      <w:r>
        <w:rPr>
          <w:sz w:val="22"/>
          <w:szCs w:val="22"/>
        </w:rPr>
        <w:t>Answer the reflection questions from your task brief here. Copy each question exactly as written in your task document, then write your answer beneath it. Every task has 4–5 reflection questions. All must be answered.]</w:t>
      </w:r>
    </w:p>
    <w:p>
      <w:pPr>
        <w:pStyle w:val="Normal"/>
        <w:spacing w:before="60" w:after="80"/>
        <w:rPr>
          <w:sz w:val="22"/>
          <w:szCs w:val="22"/>
        </w:rPr>
      </w:pPr>
      <w:r>
        <w:rPr>
          <w:sz w:val="22"/>
          <w:szCs w:val="22"/>
        </w:rPr>
        <w:t>[Assessors look for evidence of genuine engagement — answers grounded in your specific lab experience, not generic textbook responses. Target 3–5 sentences per answer. Where a question asks you to communicate to a non-technical stakeholder, write your answer in plain language.]</w:t>
      </w:r>
    </w:p>
    <w:p>
      <w:pPr>
        <w:pStyle w:val="Normal"/>
        <w:spacing w:before="40" w:after="80"/>
        <w:rPr/>
      </w:pPr>
      <w:r>
        <w:rPr>
          <w:rFonts w:cs="Cambria Math" w:ascii="Cambria Math" w:hAnsi="Cambria Math"/>
          <w:i/>
          <w:iCs/>
          <w:color w:val="6B8CA3"/>
          <w:sz w:val="20"/>
          <w:szCs w:val="20"/>
        </w:rPr>
        <w:t>ℹ</w:t>
      </w:r>
      <w:r>
        <w:rPr>
          <w:i/>
          <w:iCs/>
          <w:color w:val="6B8CA3"/>
          <w:sz w:val="20"/>
          <w:szCs w:val="20"/>
        </w:rPr>
        <w:t xml:space="preserve">  </w:t>
      </w:r>
      <w:r>
        <w:rPr>
          <w:i/>
          <w:iCs/>
          <w:color w:val="6B8CA3"/>
          <w:sz w:val="20"/>
          <w:szCs w:val="20"/>
        </w:rPr>
        <w:t>Do not write 'N/A' for any reflection question. If you are unsure, describe what you would expect based on what you learned.</w:t>
      </w:r>
    </w:p>
    <w:p>
      <w:pPr>
        <w:pStyle w:val="Heading3"/>
        <w:spacing w:before="60" w:after="80"/>
        <w:rPr>
          <w:i/>
          <w:i/>
          <w:iCs/>
          <w:color w:val="5983B0"/>
          <w:sz w:val="26"/>
          <w:szCs w:val="26"/>
        </w:rPr>
      </w:pPr>
      <w:r>
        <w:rPr>
          <w:i/>
          <w:iCs/>
          <w:color w:val="5983B0"/>
          <w:sz w:val="26"/>
          <w:szCs w:val="26"/>
        </w:rPr>
        <w:t>Q1: How would you communicate identified over</w:t>
        <w:noBreakHyphen/>
        <w:t>privileged roles to non</w:t>
        <w:noBreakHyphen/>
        <w:t>technical management?</w:t>
      </w:r>
    </w:p>
    <w:p>
      <w:pPr>
        <w:pStyle w:val="BodyText"/>
        <w:spacing w:lineRule="auto" w:line="259" w:before="60" w:after="80"/>
        <w:rPr>
          <w:i/>
          <w:i/>
          <w:iCs/>
          <w:sz w:val="22"/>
          <w:szCs w:val="22"/>
        </w:rPr>
      </w:pPr>
      <w:r>
        <w:rPr>
          <w:i/>
          <w:iCs/>
          <w:sz w:val="22"/>
          <w:szCs w:val="22"/>
        </w:rPr>
        <w:t>I would explain that an over-privileged role is like a staff access card that opens every room, even when the person only needs access to one department. In my lab, the Mighty role’s policy allowed all actions on all resources, making it a powerful target if compromised. I would describe the potential consequences as exposure of information, unauthorised changes, and service disruption, while clarifying that I did not demonstrate a successful compromise. I would recommend reducing its access to approved business needs and assigning an owner to review it regularly.</w:t>
      </w:r>
    </w:p>
    <w:p>
      <w:pPr>
        <w:pStyle w:val="Heading3"/>
        <w:spacing w:before="60" w:after="80"/>
        <w:rPr>
          <w:i/>
          <w:i/>
          <w:iCs/>
          <w:color w:val="5983B0"/>
          <w:sz w:val="26"/>
          <w:szCs w:val="26"/>
        </w:rPr>
      </w:pPr>
      <w:r>
        <w:rPr>
          <w:i/>
          <w:iCs/>
          <w:color w:val="5983B0"/>
          <w:sz w:val="26"/>
          <w:szCs w:val="26"/>
        </w:rPr>
        <w:t>Q2: What business impact could result from an unmonitored cross-account trust relationship?</w:t>
      </w:r>
    </w:p>
    <w:p>
      <w:pPr>
        <w:pStyle w:val="BodyText"/>
        <w:spacing w:lineRule="auto" w:line="259" w:before="60" w:after="80"/>
        <w:rPr>
          <w:i/>
          <w:i/>
          <w:iCs/>
          <w:sz w:val="22"/>
          <w:szCs w:val="22"/>
        </w:rPr>
      </w:pPr>
      <w:r>
        <w:rPr>
          <w:i/>
          <w:iCs/>
          <w:sz w:val="22"/>
          <w:szCs w:val="22"/>
        </w:rPr>
        <w:t>An unmonitored trust relationship could allow an external account to assume a role where the trust conditions and other permissions permit it. Depending on that role’s access, this could expose business information, enable unauthorised changes, or disrupt services. In Phase D, Access Analyzer displayed no external-access findings, so I did not confirm an unintended cross-account relationship. This taught me to distinguish a potential business risk from an exposure actually demonstrated by my evidence.</w:t>
      </w:r>
    </w:p>
    <w:p>
      <w:pPr>
        <w:pStyle w:val="Heading3"/>
        <w:spacing w:before="60" w:after="80"/>
        <w:rPr>
          <w:i/>
          <w:i/>
          <w:iCs/>
          <w:color w:val="5983B0"/>
          <w:sz w:val="26"/>
          <w:szCs w:val="26"/>
        </w:rPr>
      </w:pPr>
      <w:r>
        <w:rPr>
          <w:i/>
          <w:iCs/>
          <w:color w:val="5983B0"/>
          <w:sz w:val="26"/>
          <w:szCs w:val="26"/>
        </w:rPr>
        <w:t>Q3: How can automation improve continuous visibility into IAM configurations?</w:t>
      </w:r>
    </w:p>
    <w:p>
      <w:pPr>
        <w:pStyle w:val="BodyText"/>
        <w:bidi w:val="0"/>
        <w:spacing w:lineRule="auto" w:line="259" w:before="60" w:after="80"/>
        <w:ind w:hanging="0" w:left="0" w:right="0"/>
        <w:rPr>
          <w:sz w:val="22"/>
          <w:szCs w:val="22"/>
        </w:rPr>
      </w:pPr>
      <w:r>
        <w:rPr>
          <w:i/>
          <w:iCs/>
          <w:sz w:val="22"/>
          <w:szCs w:val="22"/>
        </w:rPr>
        <w:t xml:space="preserve">Automation can regularly inventory IAM users, groups, roles, policies, and trust relationships, then highlight changes for review. In my lab, AWS CLI enumeration and Steampipe queries helped make identity information visible, while Policy Sentry supported permission analysis. I also found that the expected Policy Sentry </w:t>
      </w:r>
      <w:r>
        <w:rPr>
          <w:rStyle w:val="SourceText"/>
          <w:i/>
          <w:iCs/>
          <w:sz w:val="22"/>
          <w:szCs w:val="22"/>
        </w:rPr>
        <w:t>analyze</w:t>
      </w:r>
      <w:r>
        <w:rPr>
          <w:i/>
          <w:iCs/>
          <w:sz w:val="22"/>
          <w:szCs w:val="22"/>
        </w:rPr>
        <w:t xml:space="preserve"> command was unavailable, showing why automated workflows must check tool compatibility and report failures. Combining scheduled reviews with alerts on permission changes would help detect new broad grants like those identified on Kerrigan and Mighty.</w:t>
      </w:r>
    </w:p>
    <w:p>
      <w:pPr>
        <w:pStyle w:val="Heading3"/>
        <w:spacing w:before="60" w:after="80"/>
        <w:rPr>
          <w:i/>
          <w:i/>
          <w:iCs/>
          <w:color w:val="5983B0"/>
          <w:sz w:val="26"/>
          <w:szCs w:val="26"/>
        </w:rPr>
      </w:pPr>
      <w:r>
        <w:rPr>
          <w:i/>
          <w:iCs/>
          <w:color w:val="5983B0"/>
          <w:sz w:val="26"/>
          <w:szCs w:val="26"/>
        </w:rPr>
        <w:t>Q4: If you discovered an unused admin role in production, what remediation steps would you recommend?</w:t>
      </w:r>
    </w:p>
    <w:p>
      <w:pPr>
        <w:pStyle w:val="BodyText"/>
        <w:spacing w:lineRule="auto" w:line="259" w:before="60" w:after="80"/>
        <w:rPr>
          <w:i/>
          <w:i/>
          <w:iCs/>
          <w:sz w:val="22"/>
          <w:szCs w:val="22"/>
        </w:rPr>
      </w:pPr>
      <w:r>
        <w:rPr>
          <w:i/>
          <w:iCs/>
          <w:sz w:val="22"/>
          <w:szCs w:val="22"/>
        </w:rPr>
        <w:t>I would first confirm its owner, purpose, recent activity, and any application or emergency-access dependencies before changing it. The Mighty role demonstrated the risk of unrestricted permissions, but my evidence did not establish that it was unused. If a production role were confirmed unnecessary, I would remove its ability to be assumed through an approved change process and monitor for unexpected impact before deleting it. If it remained necessary, I would reduce its permissions, restrict its trust policy, and document an owner and review schedule.</w:t>
      </w:r>
    </w:p>
    <w:p>
      <w:pPr>
        <w:pStyle w:val="Normal"/>
        <w:spacing w:before="60" w:after="80"/>
        <w:rPr>
          <w:sz w:val="22"/>
          <w:szCs w:val="22"/>
        </w:rPr>
      </w:pPr>
      <w:r>
        <w:rPr>
          <w:sz w:val="22"/>
          <w:szCs w:val="22"/>
        </w:rPr>
      </w:r>
    </w:p>
    <w:p>
      <w:pPr>
        <w:pStyle w:val="Normal"/>
        <w:spacing w:before="60" w:after="80"/>
        <w:rPr>
          <w:sz w:val="22"/>
          <w:szCs w:val="22"/>
        </w:rPr>
      </w:pPr>
      <w:r>
        <w:rPr>
          <w:sz w:val="22"/>
          <w:szCs w:val="22"/>
        </w:rPr>
        <w:t xml:space="preserve">   </w:t>
      </w:r>
    </w:p>
    <w:p>
      <w:pPr>
        <w:pStyle w:val="Normal"/>
        <w:spacing w:before="80" w:after="80"/>
        <w:rPr/>
      </w:pPr>
      <w:r>
        <w:rPr/>
      </w:r>
    </w:p>
    <w:p>
      <w:pPr>
        <w:pStyle w:val="Heading2"/>
        <w:rPr/>
      </w:pPr>
      <w:r>
        <w:rPr/>
      </w:r>
      <w:r>
        <w:br w:type="page"/>
      </w:r>
    </w:p>
    <w:p>
      <w:pPr>
        <w:pStyle w:val="Heading1"/>
        <w:pBdr>
          <w:bottom w:val="single" w:sz="8" w:space="6" w:color="146C94"/>
        </w:pBdr>
        <w:spacing w:before="0" w:after="160"/>
        <w:rPr>
          <w:b/>
          <w:bCs/>
          <w:color w:themeColor="text2" w:themeShade="80" w:val="222A35"/>
        </w:rPr>
      </w:pPr>
      <w:r>
        <w:rPr>
          <w:b/>
          <w:bCs/>
          <w:color w:themeColor="text2" w:themeShade="80" w:val="222A35"/>
        </w:rPr>
        <w:t>8.0 Deliverables Submission Checklist</w:t>
      </w:r>
    </w:p>
    <w:p>
      <w:pPr>
        <w:pStyle w:val="Normal"/>
        <w:spacing w:before="0" w:after="120"/>
        <w:rPr>
          <w:color w:val="auto"/>
          <w:sz w:val="22"/>
          <w:szCs w:val="22"/>
        </w:rPr>
      </w:pPr>
      <w:r>
        <w:rPr>
          <w:i/>
          <w:iCs/>
          <w:color w:val="auto"/>
          <w:sz w:val="22"/>
          <w:szCs w:val="22"/>
        </w:rPr>
        <w:t>[Complete this checklist before submitting. Fill in the actual filename you produced for each phase. If a phase produced multiple files, list all of them separated by commas. If a deliverable does not apply to your specific task, write N/A in the Status column and briefly explain why in the Deliverable Description cell.]</w:t>
      </w:r>
    </w:p>
    <w:tbl>
      <w:tblPr>
        <w:tblW w:w="10206" w:type="dxa"/>
        <w:jc w:val="left"/>
        <w:tblInd w:w="0" w:type="dxa"/>
        <w:tblLayout w:type="fixed"/>
        <w:tblCellMar>
          <w:top w:w="60" w:type="dxa"/>
          <w:left w:w="80" w:type="dxa"/>
          <w:bottom w:w="60" w:type="dxa"/>
          <w:right w:w="80" w:type="dxa"/>
        </w:tblCellMar>
        <w:tblLook w:firstRow="1" w:noVBand="1" w:lastRow="0" w:firstColumn="1" w:lastColumn="0" w:noHBand="0" w:val="04a0"/>
      </w:tblPr>
      <w:tblGrid>
        <w:gridCol w:w="534"/>
        <w:gridCol w:w="1076"/>
        <w:gridCol w:w="3223"/>
        <w:gridCol w:w="3224"/>
        <w:gridCol w:w="2149"/>
      </w:tblGrid>
      <w:tr>
        <w:trPr>
          <w:tblHeader w:val="true"/>
        </w:trPr>
        <w:tc>
          <w:tcPr>
            <w:tcW w:w="534"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w:t>
            </w:r>
          </w:p>
        </w:tc>
        <w:tc>
          <w:tcPr>
            <w:tcW w:w="1076"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Phase</w:t>
            </w:r>
          </w:p>
        </w:tc>
        <w:tc>
          <w:tcPr>
            <w:tcW w:w="3223"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Deliverable Description</w:t>
            </w:r>
          </w:p>
        </w:tc>
        <w:tc>
          <w:tcPr>
            <w:tcW w:w="3224"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Your Filename</w:t>
            </w:r>
          </w:p>
        </w:tc>
        <w:tc>
          <w:tcPr>
            <w:tcW w:w="2149" w:type="dxa"/>
            <w:tcBorders>
              <w:bottom w:val="single" w:sz="6" w:space="0" w:color="C6D3DB"/>
              <w:right w:val="single" w:sz="4" w:space="0" w:color="C6D3DB"/>
            </w:tcBorders>
            <w:shd w:color="auto" w:fill="146C94" w:val="clear"/>
            <w:vAlign w:val="center"/>
          </w:tcPr>
          <w:p>
            <w:pPr>
              <w:pStyle w:val="Normal"/>
              <w:spacing w:before="0" w:after="0"/>
              <w:jc w:val="center"/>
              <w:rPr>
                <w:sz w:val="20"/>
                <w:szCs w:val="20"/>
              </w:rPr>
            </w:pPr>
            <w:r>
              <w:rPr>
                <w:b/>
                <w:bCs/>
                <w:color w:val="FFFFFF"/>
                <w:sz w:val="20"/>
                <w:szCs w:val="20"/>
              </w:rPr>
              <w:t>Status</w:t>
            </w:r>
          </w:p>
        </w:tc>
      </w:tr>
      <w:tr>
        <w:trPr/>
        <w:tc>
          <w:tcPr>
            <w:tcW w:w="534"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w:t>
            </w:r>
          </w:p>
        </w:tc>
        <w:tc>
          <w:tcPr>
            <w:tcW w:w="107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A</w:t>
            </w:r>
          </w:p>
        </w:tc>
        <w:tc>
          <w:tcPr>
            <w:tcW w:w="322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1D2125"/>
                <w:spacing w:val="0"/>
                <w:sz w:val="21"/>
                <w:szCs w:val="20"/>
              </w:rPr>
              <w:t>Summary of theoretical understanding</w:t>
            </w:r>
          </w:p>
        </w:tc>
        <w:tc>
          <w:tcPr>
            <w:tcW w:w="3224"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PhaseA_get_role.png, PhaseA_list_policies.png, PhaseA_list_users.png, PhaseA_summary.csv</w:t>
            </w:r>
          </w:p>
        </w:tc>
        <w:tc>
          <w:tcPr>
            <w:tcW w:w="214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Complete</w:t>
            </w:r>
            <w:r>
              <w:rPr>
                <w:i/>
                <w:iCs/>
                <w:color w:val="0D2137"/>
                <w:sz w:val="20"/>
                <w:szCs w:val="20"/>
              </w:rPr>
              <w:t>d</w:t>
            </w:r>
          </w:p>
        </w:tc>
      </w:tr>
      <w:tr>
        <w:trPr/>
        <w:tc>
          <w:tcPr>
            <w:tcW w:w="534"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w:t>
            </w:r>
          </w:p>
        </w:tc>
        <w:tc>
          <w:tcPr>
            <w:tcW w:w="107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Phase B</w:t>
            </w:r>
          </w:p>
        </w:tc>
        <w:tc>
          <w:tcPr>
            <w:tcW w:w="3223"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1D2125"/>
                <w:spacing w:val="0"/>
                <w:sz w:val="21"/>
                <w:szCs w:val="20"/>
              </w:rPr>
              <w:t>Exported entity list</w:t>
            </w:r>
          </w:p>
        </w:tc>
        <w:tc>
          <w:tcPr>
            <w:tcW w:w="3224"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PhaseB_deployed_role_.png, PhaseB_deployed_user_png, PhaseB_iam_entities.csv</w:t>
            </w:r>
          </w:p>
        </w:tc>
        <w:tc>
          <w:tcPr>
            <w:tcW w:w="214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Complete</w:t>
            </w:r>
            <w:r>
              <w:rPr>
                <w:i/>
                <w:iCs/>
                <w:color w:val="0D2137"/>
                <w:sz w:val="20"/>
                <w:szCs w:val="20"/>
              </w:rPr>
              <w:t>d</w:t>
            </w:r>
          </w:p>
        </w:tc>
      </w:tr>
      <w:tr>
        <w:trPr/>
        <w:tc>
          <w:tcPr>
            <w:tcW w:w="534"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w:t>
            </w:r>
          </w:p>
        </w:tc>
        <w:tc>
          <w:tcPr>
            <w:tcW w:w="107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C</w:t>
            </w:r>
          </w:p>
        </w:tc>
        <w:tc>
          <w:tcPr>
            <w:tcW w:w="322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1D2125"/>
                <w:spacing w:val="0"/>
                <w:sz w:val="21"/>
                <w:szCs w:val="20"/>
              </w:rPr>
              <w:t>Policy Sentry output</w:t>
            </w:r>
          </w:p>
        </w:tc>
        <w:tc>
          <w:tcPr>
            <w:tcW w:w="3224"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PhaseC_kerrigan_policy_document.png, PhaseC_kerrigan_policy_mapping.png, PhaseC_list_groups.png, PhaseC_list_policies.png,PhaseC_list_users.png,PhaseC_meek_policy.png,PhaseC_mighty_policies.png,PhaseC_policy_mapping.png,PhaseC_sentry_analysis.png,PhaseCPhaseC_policy_sentry_commands.png, PhaseC_steampipe_roles.png,</w:t>
            </w:r>
            <w:r>
              <w:rPr>
                <w:rStyle w:val="Strong"/>
                <w:b w:val="false"/>
                <w:bCs w:val="false"/>
                <w:i/>
                <w:iCs/>
                <w:color w:val="auto"/>
                <w:sz w:val="22"/>
                <w:szCs w:val="22"/>
              </w:rPr>
              <w:t>PhaceC_analysis.txt</w:t>
            </w:r>
          </w:p>
        </w:tc>
        <w:tc>
          <w:tcPr>
            <w:tcW w:w="214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Complete</w:t>
            </w:r>
            <w:r>
              <w:rPr>
                <w:i/>
                <w:iCs/>
                <w:color w:val="0D2137"/>
                <w:sz w:val="20"/>
                <w:szCs w:val="20"/>
              </w:rPr>
              <w:t>d</w:t>
            </w:r>
          </w:p>
        </w:tc>
      </w:tr>
      <w:tr>
        <w:trPr/>
        <w:tc>
          <w:tcPr>
            <w:tcW w:w="534"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w:t>
            </w:r>
          </w:p>
        </w:tc>
        <w:tc>
          <w:tcPr>
            <w:tcW w:w="107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Phase D</w:t>
            </w:r>
          </w:p>
        </w:tc>
        <w:tc>
          <w:tcPr>
            <w:tcW w:w="3223"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1D2125"/>
                <w:spacing w:val="0"/>
                <w:sz w:val="21"/>
                <w:szCs w:val="20"/>
              </w:rPr>
              <w:t>Risk mapping document</w:t>
            </w:r>
          </w:p>
        </w:tc>
        <w:tc>
          <w:tcPr>
            <w:tcW w:w="3224" w:type="dxa"/>
            <w:tcBorders>
              <w:bottom w:val="single" w:sz="4" w:space="0" w:color="C6D3DB"/>
              <w:right w:val="single" w:sz="4" w:space="0" w:color="C6D3DB"/>
            </w:tcBorders>
            <w:shd w:color="auto" w:fill="FFFFFF" w:val="clear"/>
            <w:vAlign w:val="center"/>
          </w:tcPr>
          <w:p>
            <w:pPr>
              <w:pStyle w:val="Normal"/>
              <w:widowControl/>
              <w:bidi w:val="0"/>
              <w:spacing w:lineRule="auto" w:line="259" w:before="0" w:after="160"/>
              <w:jc w:val="left"/>
              <w:rPr>
                <w:color w:val="000000"/>
              </w:rPr>
            </w:pPr>
            <w:r>
              <w:rPr>
                <w:i/>
                <w:iCs/>
                <w:color w:val="0D2137"/>
                <w:sz w:val="20"/>
                <w:szCs w:val="20"/>
              </w:rPr>
              <w:t>Phase</w:t>
            </w:r>
            <w:r>
              <w:rPr>
                <w:i/>
                <w:iCs/>
                <w:color w:val="0D2137"/>
                <w:sz w:val="20"/>
                <w:szCs w:val="20"/>
              </w:rPr>
              <w:t>E</w:t>
            </w:r>
            <w:r>
              <w:rPr>
                <w:i/>
                <w:iCs/>
                <w:color w:val="0D2137"/>
                <w:sz w:val="20"/>
                <w:szCs w:val="20"/>
              </w:rPr>
              <w:t>_</w:t>
            </w:r>
            <w:r>
              <w:rPr>
                <w:i/>
                <w:iCs/>
                <w:color w:val="0D2137"/>
                <w:sz w:val="20"/>
                <w:szCs w:val="20"/>
              </w:rPr>
              <w:t>cybr_lab_completed.png,PhaseE_pwnedlab_hash_cracking.png,PhaseE_public_bucket_listing.png</w:t>
            </w:r>
          </w:p>
        </w:tc>
        <w:tc>
          <w:tcPr>
            <w:tcW w:w="214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Complete</w:t>
            </w:r>
            <w:r>
              <w:rPr>
                <w:i/>
                <w:iCs/>
                <w:color w:val="0D2137"/>
                <w:sz w:val="20"/>
                <w:szCs w:val="20"/>
              </w:rPr>
              <w:t>d</w:t>
            </w:r>
          </w:p>
        </w:tc>
      </w:tr>
      <w:tr>
        <w:trPr/>
        <w:tc>
          <w:tcPr>
            <w:tcW w:w="534"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w:t>
            </w:r>
          </w:p>
        </w:tc>
        <w:tc>
          <w:tcPr>
            <w:tcW w:w="1076"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color w:val="0D2137"/>
                <w:sz w:val="20"/>
                <w:szCs w:val="20"/>
              </w:rPr>
              <w:t>Phase E</w:t>
            </w:r>
          </w:p>
        </w:tc>
        <w:tc>
          <w:tcPr>
            <w:tcW w:w="3223"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1D2125"/>
                <w:spacing w:val="0"/>
                <w:sz w:val="21"/>
                <w:szCs w:val="20"/>
              </w:rPr>
              <w:t>Proof of lab completion</w:t>
            </w:r>
          </w:p>
        </w:tc>
        <w:tc>
          <w:tcPr>
            <w:tcW w:w="3224" w:type="dxa"/>
            <w:tcBorders>
              <w:bottom w:val="single" w:sz="4" w:space="0" w:color="C6D3DB"/>
              <w:right w:val="single" w:sz="4" w:space="0" w:color="C6D3DB"/>
            </w:tcBorders>
            <w:shd w:color="auto" w:fill="F4F7F9" w:val="clear"/>
            <w:vAlign w:val="center"/>
          </w:tcPr>
          <w:p>
            <w:pPr>
              <w:pStyle w:val="Normal"/>
              <w:widowControl/>
              <w:bidi w:val="0"/>
              <w:spacing w:lineRule="auto" w:line="259" w:before="0" w:after="160"/>
              <w:jc w:val="left"/>
              <w:rPr>
                <w:color w:val="000000"/>
              </w:rPr>
            </w:pPr>
            <w:r>
              <w:rPr>
                <w:i/>
                <w:iCs/>
                <w:color w:val="0D2137"/>
                <w:sz w:val="20"/>
                <w:szCs w:val="20"/>
              </w:rPr>
              <w:t>Phase</w:t>
            </w:r>
            <w:r>
              <w:rPr>
                <w:i/>
                <w:iCs/>
                <w:color w:val="0D2137"/>
                <w:sz w:val="20"/>
                <w:szCs w:val="20"/>
              </w:rPr>
              <w:t>E</w:t>
            </w:r>
            <w:r>
              <w:rPr>
                <w:i/>
                <w:iCs/>
                <w:color w:val="0D2137"/>
                <w:sz w:val="20"/>
                <w:szCs w:val="20"/>
              </w:rPr>
              <w:t>_</w:t>
            </w:r>
            <w:r>
              <w:rPr>
                <w:i/>
                <w:iCs/>
                <w:color w:val="0D2137"/>
                <w:sz w:val="20"/>
                <w:szCs w:val="20"/>
              </w:rPr>
              <w:t>cybr_lab_completed.png,PhaseE_pwnedlab_hash_cracking.png,PhaseE_public_bucket_listing.png</w:t>
            </w:r>
          </w:p>
        </w:tc>
        <w:tc>
          <w:tcPr>
            <w:tcW w:w="2149" w:type="dxa"/>
            <w:tcBorders>
              <w:bottom w:val="single" w:sz="4" w:space="0" w:color="C6D3DB"/>
              <w:right w:val="single" w:sz="4" w:space="0" w:color="C6D3DB"/>
            </w:tcBorders>
            <w:shd w:color="auto" w:fill="F4F7F9" w:val="clear"/>
            <w:vAlign w:val="center"/>
          </w:tcPr>
          <w:p>
            <w:pPr>
              <w:pStyle w:val="Normal"/>
              <w:spacing w:before="0" w:after="0"/>
              <w:rPr>
                <w:sz w:val="20"/>
                <w:szCs w:val="20"/>
              </w:rPr>
            </w:pPr>
            <w:r>
              <w:rPr>
                <w:i/>
                <w:iCs/>
                <w:color w:val="0D2137"/>
                <w:sz w:val="20"/>
                <w:szCs w:val="20"/>
              </w:rPr>
              <w:t>inc</w:t>
            </w:r>
            <w:r>
              <w:rPr>
                <w:i/>
                <w:iCs/>
                <w:color w:val="0D2137"/>
                <w:sz w:val="20"/>
                <w:szCs w:val="20"/>
              </w:rPr>
              <w:t>omplete</w:t>
            </w:r>
          </w:p>
        </w:tc>
      </w:tr>
      <w:tr>
        <w:trPr/>
        <w:tc>
          <w:tcPr>
            <w:tcW w:w="534"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w:t>
            </w:r>
          </w:p>
        </w:tc>
        <w:tc>
          <w:tcPr>
            <w:tcW w:w="1076"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color w:val="0D2137"/>
                <w:sz w:val="20"/>
                <w:szCs w:val="20"/>
              </w:rPr>
              <w:t>Report</w:t>
            </w:r>
          </w:p>
        </w:tc>
        <w:tc>
          <w:tcPr>
            <w:tcW w:w="3223"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rFonts w:ascii="system-ui;apple-system;Segoe UI;Roboto;Helvetica Neue;Noto Sans;Liberation Sans;Arial;sans-serif;Apple Color Emoji;Segoe UI Emoji;Segoe UI Symbol;Noto Color Emoji" w:hAnsi="system-ui;apple-system;Segoe UI;Roboto;Helvetica Neue;Noto Sans;Liberation Sans;Arial;sans-serif;Apple Color Emoji;Segoe UI Emoji;Segoe UI Symbol;Noto Color Emoji"/>
                <w:b w:val="false"/>
                <w:i w:val="false"/>
                <w:caps w:val="false"/>
                <w:smallCaps w:val="false"/>
                <w:color w:val="1D2125"/>
                <w:spacing w:val="0"/>
                <w:sz w:val="21"/>
                <w:szCs w:val="20"/>
              </w:rPr>
              <w:t>Final professional report</w:t>
            </w:r>
          </w:p>
        </w:tc>
        <w:tc>
          <w:tcPr>
            <w:tcW w:w="3224" w:type="dxa"/>
            <w:tcBorders>
              <w:bottom w:val="single" w:sz="4" w:space="0" w:color="C6D3DB"/>
              <w:right w:val="single" w:sz="4" w:space="0" w:color="C6D3DB"/>
            </w:tcBorders>
            <w:shd w:color="auto" w:fill="FFFFFF" w:val="clear"/>
            <w:vAlign w:val="center"/>
          </w:tcPr>
          <w:p>
            <w:pPr>
              <w:pStyle w:val="Normal"/>
              <w:spacing w:before="0" w:after="0"/>
              <w:rPr>
                <w:i/>
                <w:i/>
                <w:iCs/>
              </w:rPr>
            </w:pPr>
            <w:r>
              <w:rPr>
                <w:i/>
                <w:iCs/>
                <w:color w:val="0D2137"/>
                <w:sz w:val="20"/>
                <w:szCs w:val="20"/>
              </w:rPr>
              <w:t>CSE_AWS_L_007_04_YNT_20261019.pdf</w:t>
            </w:r>
          </w:p>
        </w:tc>
        <w:tc>
          <w:tcPr>
            <w:tcW w:w="2149" w:type="dxa"/>
            <w:tcBorders>
              <w:bottom w:val="single" w:sz="4" w:space="0" w:color="C6D3DB"/>
              <w:right w:val="single" w:sz="4" w:space="0" w:color="C6D3DB"/>
            </w:tcBorders>
            <w:shd w:color="auto" w:fill="FFFFFF" w:val="clear"/>
            <w:vAlign w:val="center"/>
          </w:tcPr>
          <w:p>
            <w:pPr>
              <w:pStyle w:val="Normal"/>
              <w:spacing w:before="0" w:after="0"/>
              <w:rPr>
                <w:sz w:val="20"/>
                <w:szCs w:val="20"/>
              </w:rPr>
            </w:pPr>
            <w:r>
              <w:rPr>
                <w:i/>
                <w:iCs/>
                <w:color w:val="0D2137"/>
                <w:sz w:val="20"/>
                <w:szCs w:val="20"/>
              </w:rPr>
              <w:t>Complete</w:t>
            </w:r>
            <w:r>
              <w:rPr>
                <w:i/>
                <w:iCs/>
                <w:color w:val="0D2137"/>
                <w:sz w:val="20"/>
                <w:szCs w:val="20"/>
              </w:rPr>
              <w:t>d</w:t>
            </w:r>
          </w:p>
        </w:tc>
      </w:tr>
    </w:tbl>
    <w:p>
      <w:pPr>
        <w:pStyle w:val="Normal"/>
        <w:spacing w:before="60" w:after="80"/>
        <w:rPr>
          <w:b/>
          <w:bCs/>
          <w:sz w:val="22"/>
          <w:szCs w:val="22"/>
        </w:rPr>
      </w:pPr>
      <w:r>
        <w:rPr>
          <w:b/>
          <w:bCs/>
          <w:sz w:val="22"/>
          <w:szCs w:val="22"/>
        </w:rPr>
      </w:r>
    </w:p>
    <w:p>
      <w:pPr>
        <w:pStyle w:val="Normal"/>
        <w:spacing w:before="60" w:after="80"/>
        <w:rPr>
          <w:sz w:val="22"/>
          <w:szCs w:val="22"/>
        </w:rPr>
      </w:pPr>
      <w:r>
        <w:rPr>
          <w:b/>
          <w:bCs/>
          <w:sz w:val="22"/>
          <w:szCs w:val="22"/>
        </w:rPr>
        <w:t>Submission naming convention:</w:t>
      </w:r>
    </w:p>
    <w:p>
      <w:pPr>
        <w:pStyle w:val="ListParagraph"/>
        <w:numPr>
          <w:ilvl w:val="0"/>
          <w:numId w:val="101"/>
        </w:numPr>
        <w:spacing w:lineRule="auto" w:line="240" w:before="40" w:after="40"/>
        <w:rPr>
          <w:sz w:val="22"/>
          <w:szCs w:val="22"/>
        </w:rPr>
      </w:pPr>
      <w:r>
        <w:rPr>
          <w:sz w:val="22"/>
          <w:szCs w:val="22"/>
        </w:rPr>
        <w:t xml:space="preserve">Report PDF: </w:t>
      </w:r>
      <w:r>
        <w:rPr>
          <w:color w:val="0D2137"/>
          <w:sz w:val="20"/>
          <w:szCs w:val="20"/>
        </w:rPr>
        <w:t>CSE_AWS_L_007_04_YNT_20261019.pdf</w:t>
      </w:r>
      <w:r>
        <w:rPr>
          <w:sz w:val="22"/>
          <w:szCs w:val="22"/>
        </w:rPr>
        <w:t xml:space="preserve"> </w:t>
      </w:r>
    </w:p>
    <w:p>
      <w:pPr>
        <w:pStyle w:val="ListParagraph"/>
        <w:numPr>
          <w:ilvl w:val="0"/>
          <w:numId w:val="102"/>
        </w:numPr>
        <w:spacing w:lineRule="auto" w:line="240" w:before="40" w:after="40"/>
        <w:rPr>
          <w:sz w:val="22"/>
          <w:szCs w:val="22"/>
        </w:rPr>
      </w:pPr>
      <w:r>
        <w:rPr>
          <w:sz w:val="22"/>
          <w:szCs w:val="22"/>
        </w:rPr>
        <w:t>Evidence folder:  Evidence_YNT  — zip all phase files together</w:t>
      </w:r>
    </w:p>
    <w:p>
      <w:pPr>
        <w:pStyle w:val="Normal"/>
        <w:spacing w:before="40" w:after="80"/>
        <w:rPr/>
      </w:pPr>
      <w:r>
        <w:rPr>
          <w:rFonts w:cs="Cambria Math" w:ascii="Cambria Math" w:hAnsi="Cambria Math"/>
          <w:i/>
          <w:iCs/>
          <w:color w:val="6B8CA3"/>
          <w:sz w:val="20"/>
          <w:szCs w:val="20"/>
        </w:rPr>
        <w:t>ℹ</w:t>
      </w:r>
      <w:r>
        <w:rPr>
          <w:i/>
          <w:iCs/>
          <w:color w:val="6B8CA3"/>
          <w:sz w:val="20"/>
          <w:szCs w:val="20"/>
        </w:rPr>
        <w:t xml:space="preserve">  </w:t>
      </w:r>
      <w:r>
        <w:rPr>
          <w:i/>
          <w:iCs/>
          <w:color w:val="6B8CA3"/>
          <w:sz w:val="20"/>
          <w:szCs w:val="20"/>
        </w:rPr>
        <w:t>Example: CSE-AWS-L-002-04_MAR_20260315.pdf and CSE-AWS-L-002-04_Evidence_MAR.zip</w:t>
      </w:r>
    </w:p>
    <w:p>
      <w:pPr>
        <w:pStyle w:val="Normal"/>
        <w:spacing w:before="0" w:after="0"/>
        <w:rPr/>
      </w:pPr>
      <w:r>
        <w:rPr/>
      </w:r>
      <w:r>
        <w:br w:type="page"/>
      </w:r>
    </w:p>
    <w:p>
      <w:pPr>
        <w:pStyle w:val="Heading1"/>
        <w:pBdr>
          <w:bottom w:val="single" w:sz="8" w:space="6" w:color="146C94"/>
        </w:pBdr>
        <w:spacing w:before="0" w:after="160"/>
        <w:rPr/>
      </w:pPr>
      <w:r>
        <w:rPr>
          <w:b/>
          <w:bCs/>
          <w:color w:val="0D2137"/>
        </w:rPr>
        <w:t>9.0 Additional Observations</w:t>
      </w:r>
    </w:p>
    <w:p>
      <w:pPr>
        <w:pStyle w:val="Normal"/>
        <w:spacing w:before="0" w:after="120"/>
        <w:rPr>
          <w:color w:val="auto"/>
          <w:sz w:val="22"/>
          <w:szCs w:val="22"/>
        </w:rPr>
      </w:pPr>
      <w:r>
        <w:rPr>
          <w:i/>
          <w:iCs/>
          <w:color w:val="auto"/>
          <w:sz w:val="22"/>
          <w:szCs w:val="22"/>
        </w:rPr>
        <w:t>[Optional but valued. Include anything meaningful that did not fit elsewhere:]</w:t>
      </w:r>
    </w:p>
    <w:p>
      <w:pPr>
        <w:pStyle w:val="ListParagraph"/>
        <w:numPr>
          <w:ilvl w:val="0"/>
          <w:numId w:val="103"/>
        </w:numPr>
        <w:spacing w:before="0" w:after="60"/>
        <w:ind w:hanging="360" w:left="360"/>
        <w:rPr>
          <w:color w:val="auto"/>
          <w:sz w:val="22"/>
          <w:szCs w:val="22"/>
        </w:rPr>
      </w:pPr>
      <w:r>
        <w:rPr>
          <w:color w:val="auto"/>
          <w:sz w:val="22"/>
          <w:szCs w:val="22"/>
        </w:rPr>
        <w:t>Unexpected AWS service behaviour encountered and how you resolved it</w:t>
      </w:r>
    </w:p>
    <w:p>
      <w:pPr>
        <w:pStyle w:val="ListParagraph"/>
        <w:numPr>
          <w:ilvl w:val="0"/>
          <w:numId w:val="104"/>
        </w:numPr>
        <w:spacing w:before="0" w:after="60"/>
        <w:ind w:hanging="360" w:left="360"/>
        <w:rPr>
          <w:color w:val="auto"/>
          <w:sz w:val="22"/>
          <w:szCs w:val="22"/>
        </w:rPr>
      </w:pPr>
      <w:r>
        <w:rPr>
          <w:color w:val="auto"/>
          <w:sz w:val="22"/>
          <w:szCs w:val="22"/>
        </w:rPr>
        <w:t>CLI or tool errors and the troubleshooting steps taken — include error messages and resolution commands</w:t>
      </w:r>
    </w:p>
    <w:p>
      <w:pPr>
        <w:pStyle w:val="ListParagraph"/>
        <w:numPr>
          <w:ilvl w:val="0"/>
          <w:numId w:val="105"/>
        </w:numPr>
        <w:spacing w:before="0" w:after="60"/>
        <w:ind w:hanging="360" w:left="360"/>
        <w:rPr>
          <w:color w:val="auto"/>
          <w:sz w:val="22"/>
          <w:szCs w:val="22"/>
        </w:rPr>
      </w:pPr>
      <w:r>
        <w:rPr>
          <w:color w:val="auto"/>
          <w:sz w:val="22"/>
          <w:szCs w:val="22"/>
        </w:rPr>
        <w:t>Cloud resource cost implications observed (e.g. unexpected charges in AWS Free Tier) and how you mitigated them</w:t>
      </w:r>
    </w:p>
    <w:p>
      <w:pPr>
        <w:pStyle w:val="ListParagraph"/>
        <w:numPr>
          <w:ilvl w:val="0"/>
          <w:numId w:val="106"/>
        </w:numPr>
        <w:spacing w:before="0" w:after="60"/>
        <w:ind w:hanging="360" w:left="360"/>
        <w:rPr>
          <w:color w:val="auto"/>
          <w:sz w:val="22"/>
          <w:szCs w:val="22"/>
        </w:rPr>
      </w:pPr>
      <w:r>
        <w:rPr>
          <w:color w:val="auto"/>
          <w:sz w:val="22"/>
          <w:szCs w:val="22"/>
        </w:rPr>
        <w:t>Connections to other tasks or internship programme tracks you noticed during this task</w:t>
      </w:r>
    </w:p>
    <w:p>
      <w:pPr>
        <w:pStyle w:val="ListParagraph"/>
        <w:numPr>
          <w:ilvl w:val="0"/>
          <w:numId w:val="107"/>
        </w:numPr>
        <w:spacing w:before="0" w:after="60"/>
        <w:ind w:hanging="360" w:left="360"/>
        <w:rPr>
          <w:color w:val="auto"/>
          <w:sz w:val="22"/>
          <w:szCs w:val="22"/>
        </w:rPr>
      </w:pPr>
      <w:r>
        <w:rPr>
          <w:color w:val="auto"/>
          <w:sz w:val="22"/>
          <w:szCs w:val="22"/>
        </w:rPr>
        <w:t>Optional premium labs or advanced extensions completed beyond the required Phase D tasks</w:t>
      </w:r>
    </w:p>
    <w:p>
      <w:pPr>
        <w:pStyle w:val="ListParagraph"/>
        <w:numPr>
          <w:ilvl w:val="0"/>
          <w:numId w:val="108"/>
        </w:numPr>
        <w:spacing w:before="0" w:after="60"/>
        <w:ind w:hanging="360" w:left="360"/>
        <w:rPr>
          <w:color w:val="auto"/>
          <w:sz w:val="22"/>
          <w:szCs w:val="22"/>
        </w:rPr>
      </w:pPr>
      <w:r>
        <w:rPr>
          <w:color w:val="auto"/>
          <w:sz w:val="22"/>
          <w:szCs w:val="22"/>
        </w:rPr>
        <w:t>Feedback on the task brief, lab environment, or learning resources — the programme team reads this section</w:t>
      </w:r>
    </w:p>
    <w:p>
      <w:pPr>
        <w:pStyle w:val="Normal"/>
        <w:spacing w:before="0" w:after="80"/>
        <w:rPr>
          <w:color w:val="auto"/>
          <w:sz w:val="22"/>
          <w:szCs w:val="22"/>
        </w:rPr>
      </w:pPr>
      <w:r>
        <w:rPr>
          <w:color w:val="auto"/>
          <w:sz w:val="22"/>
          <w:szCs w:val="22"/>
        </w:rPr>
      </w:r>
    </w:p>
    <w:p>
      <w:pPr>
        <w:pStyle w:val="Normal"/>
        <w:spacing w:before="0" w:after="120"/>
        <w:rPr>
          <w:color w:val="auto"/>
          <w:sz w:val="22"/>
          <w:szCs w:val="22"/>
        </w:rPr>
      </w:pPr>
      <w:r>
        <w:rPr>
          <w:i/>
          <w:iCs/>
          <w:color w:val="auto"/>
          <w:sz w:val="22"/>
          <w:szCs w:val="22"/>
        </w:rPr>
        <w:t>[If nothing additional to report, write: No additional observations for this task.]</w:t>
      </w:r>
    </w:p>
    <w:p>
      <w:pPr>
        <w:pStyle w:val="Normal"/>
        <w:spacing w:before="0" w:after="0"/>
        <w:rPr/>
      </w:pPr>
      <w:r>
        <w:rPr/>
      </w:r>
      <w:r>
        <w:br w:type="page"/>
      </w:r>
    </w:p>
    <w:p>
      <w:pPr>
        <w:pStyle w:val="Heading1"/>
        <w:pBdr>
          <w:bottom w:val="single" w:sz="8" w:space="6" w:color="146C94"/>
        </w:pBdr>
        <w:spacing w:before="0" w:after="160"/>
        <w:rPr/>
      </w:pPr>
      <w:r>
        <w:rPr>
          <w:b/>
          <w:bCs/>
          <w:color w:val="0D2137"/>
        </w:rPr>
        <w:t>Declaration &amp; Sign-Off</w:t>
      </w:r>
    </w:p>
    <w:p>
      <w:pPr>
        <w:pStyle w:val="Normal"/>
        <w:spacing w:before="0" w:after="120"/>
        <w:rPr/>
      </w:pPr>
      <w:r>
        <w:rPr>
          <w:color w:val="0D2137"/>
        </w:rPr>
        <w:t>I</w:t>
      </w:r>
      <w:r>
        <w:rPr>
          <w:i/>
          <w:iCs/>
          <w:color w:val="0D2137"/>
        </w:rPr>
        <w:t xml:space="preserve"> confirm that:</w:t>
      </w:r>
    </w:p>
    <w:p>
      <w:pPr>
        <w:pStyle w:val="ListParagraph"/>
        <w:numPr>
          <w:ilvl w:val="0"/>
          <w:numId w:val="109"/>
        </w:numPr>
        <w:spacing w:before="0" w:after="60"/>
        <w:ind w:hanging="283" w:left="709"/>
        <w:rPr>
          <w:i/>
          <w:i/>
          <w:iCs/>
        </w:rPr>
      </w:pPr>
      <w:r>
        <w:rPr>
          <w:i/>
          <w:iCs/>
          <w:color w:val="0D2137"/>
        </w:rPr>
        <w:t>All work in this report is my own except where AI usage is explicitly declared in Section 2.3.</w:t>
      </w:r>
    </w:p>
    <w:p>
      <w:pPr>
        <w:pStyle w:val="ListParagraph"/>
        <w:numPr>
          <w:ilvl w:val="0"/>
          <w:numId w:val="110"/>
        </w:numPr>
        <w:spacing w:before="0" w:after="60"/>
        <w:ind w:hanging="283" w:left="709"/>
        <w:rPr>
          <w:i/>
          <w:i/>
          <w:iCs/>
        </w:rPr>
      </w:pPr>
      <w:r>
        <w:rPr>
          <w:i/>
          <w:iCs/>
          <w:color w:val="0D2137"/>
        </w:rPr>
        <w:t>All technical activities were performed exclusively within the authorised cloud environments listed in Section 1.3.</w:t>
      </w:r>
    </w:p>
    <w:p>
      <w:pPr>
        <w:pStyle w:val="ListParagraph"/>
        <w:numPr>
          <w:ilvl w:val="0"/>
          <w:numId w:val="111"/>
        </w:numPr>
        <w:spacing w:before="0" w:after="60"/>
        <w:ind w:hanging="283" w:left="709"/>
        <w:rPr>
          <w:i/>
          <w:i/>
          <w:iCs/>
        </w:rPr>
      </w:pPr>
      <w:r>
        <w:rPr>
          <w:i/>
          <w:iCs/>
          <w:color w:val="0D2137"/>
        </w:rPr>
        <w:t>No external AWS accounts, production environments, third-party cloud resources, or real customer data were accessed during this task.</w:t>
      </w:r>
    </w:p>
    <w:p>
      <w:pPr>
        <w:pStyle w:val="ListParagraph"/>
        <w:numPr>
          <w:ilvl w:val="0"/>
          <w:numId w:val="112"/>
        </w:numPr>
        <w:spacing w:before="0" w:after="60"/>
        <w:ind w:hanging="283" w:left="709"/>
        <w:rPr>
          <w:i/>
          <w:i/>
          <w:iCs/>
        </w:rPr>
      </w:pPr>
      <w:r>
        <w:rPr>
          <w:i/>
          <w:iCs/>
          <w:color w:val="0D2137"/>
        </w:rPr>
        <w:t>All AWS credentials, access keys, session tokens, and account identifiers used during this task have been redacted in evidence files before submission.</w:t>
      </w:r>
    </w:p>
    <w:p>
      <w:pPr>
        <w:pStyle w:val="ListParagraph"/>
        <w:numPr>
          <w:ilvl w:val="0"/>
          <w:numId w:val="113"/>
        </w:numPr>
        <w:spacing w:before="0" w:after="60"/>
        <w:ind w:hanging="283" w:left="709"/>
        <w:rPr>
          <w:i/>
          <w:i/>
          <w:iCs/>
        </w:rPr>
      </w:pPr>
      <w:r>
        <w:rPr>
          <w:i/>
          <w:iCs/>
          <w:color w:val="0D2137"/>
        </w:rPr>
        <w:t>I have reviewed this report for accuracy, completeness, and professional presentation before submission.</w:t>
      </w:r>
    </w:p>
    <w:p>
      <w:pPr>
        <w:pStyle w:val="Normal"/>
        <w:spacing w:before="0" w:after="200"/>
        <w:ind w:left="360"/>
        <w:rPr/>
      </w:pPr>
      <w:r>
        <w:rPr/>
      </w:r>
    </w:p>
    <w:tbl>
      <w:tblPr>
        <w:tblW w:w="5000" w:type="pct"/>
        <w:jc w:val="left"/>
        <w:tblInd w:w="0" w:type="dxa"/>
        <w:tblLayout w:type="fixed"/>
        <w:tblCellMar>
          <w:top w:w="80" w:type="dxa"/>
          <w:left w:w="120" w:type="dxa"/>
          <w:bottom w:w="80" w:type="dxa"/>
          <w:right w:w="120" w:type="dxa"/>
        </w:tblCellMar>
        <w:tblLook w:firstRow="1" w:noVBand="1" w:lastRow="0" w:firstColumn="1" w:lastColumn="0" w:noHBand="0" w:val="04a0"/>
      </w:tblPr>
      <w:tblGrid>
        <w:gridCol w:w="3326"/>
        <w:gridCol w:w="3323"/>
        <w:gridCol w:w="3431"/>
      </w:tblGrid>
      <w:tr>
        <w:trPr>
          <w:tblHeader w:val="true"/>
        </w:trPr>
        <w:tc>
          <w:tcPr>
            <w:tcW w:w="3326" w:type="dxa"/>
            <w:tcBorders>
              <w:top w:val="single" w:sz="4" w:space="0" w:color="C6D3DB"/>
              <w:left w:val="single" w:sz="4" w:space="0" w:color="C6D3DB"/>
              <w:bottom w:val="single" w:sz="4" w:space="0" w:color="C6D3DB"/>
              <w:right w:val="single" w:sz="4" w:space="0" w:color="C6D3DB"/>
            </w:tcBorders>
            <w:shd w:color="auto" w:fill="146C94" w:val="clear"/>
            <w:vAlign w:val="center"/>
          </w:tcPr>
          <w:p>
            <w:pPr>
              <w:pStyle w:val="Normal"/>
              <w:widowControl/>
              <w:bidi w:val="0"/>
              <w:spacing w:lineRule="auto" w:line="259" w:before="0" w:after="160"/>
              <w:jc w:val="left"/>
              <w:rPr/>
            </w:pPr>
            <w:r>
              <w:rPr>
                <w:b/>
                <w:bCs/>
                <w:color w:val="FFFFFF"/>
                <w:sz w:val="20"/>
                <w:szCs w:val="20"/>
              </w:rPr>
              <w:t>Intern Full Name</w:t>
            </w:r>
          </w:p>
        </w:tc>
        <w:tc>
          <w:tcPr>
            <w:tcW w:w="3323" w:type="dxa"/>
            <w:tcBorders>
              <w:top w:val="single" w:sz="4" w:space="0" w:color="C6D3DB"/>
              <w:left w:val="single" w:sz="4" w:space="0" w:color="C6D3DB"/>
              <w:bottom w:val="single" w:sz="4" w:space="0" w:color="C6D3DB"/>
              <w:right w:val="single" w:sz="4" w:space="0" w:color="C6D3DB"/>
            </w:tcBorders>
            <w:shd w:color="auto" w:fill="146C94" w:val="clear"/>
            <w:vAlign w:val="center"/>
          </w:tcPr>
          <w:p>
            <w:pPr>
              <w:pStyle w:val="Normal"/>
              <w:widowControl/>
              <w:bidi w:val="0"/>
              <w:spacing w:lineRule="auto" w:line="259" w:before="0" w:after="160"/>
              <w:jc w:val="left"/>
              <w:rPr/>
            </w:pPr>
            <w:r>
              <w:rPr>
                <w:b/>
                <w:bCs/>
                <w:color w:val="FFFFFF"/>
                <w:sz w:val="20"/>
                <w:szCs w:val="20"/>
              </w:rPr>
              <w:t>Signature</w:t>
            </w:r>
          </w:p>
        </w:tc>
        <w:tc>
          <w:tcPr>
            <w:tcW w:w="3431" w:type="dxa"/>
            <w:tcBorders>
              <w:top w:val="single" w:sz="4" w:space="0" w:color="C6D3DB"/>
              <w:left w:val="single" w:sz="4" w:space="0" w:color="C6D3DB"/>
              <w:bottom w:val="single" w:sz="4" w:space="0" w:color="C6D3DB"/>
              <w:right w:val="single" w:sz="4" w:space="0" w:color="C6D3DB"/>
            </w:tcBorders>
            <w:shd w:color="auto" w:fill="146C94" w:val="clear"/>
            <w:vAlign w:val="center"/>
          </w:tcPr>
          <w:p>
            <w:pPr>
              <w:pStyle w:val="Normal"/>
              <w:widowControl/>
              <w:bidi w:val="0"/>
              <w:spacing w:lineRule="auto" w:line="259" w:before="0" w:after="160"/>
              <w:jc w:val="left"/>
              <w:rPr/>
            </w:pPr>
            <w:r>
              <w:rPr>
                <w:b/>
                <w:bCs/>
                <w:color w:val="FFFFFF"/>
                <w:sz w:val="20"/>
                <w:szCs w:val="20"/>
              </w:rPr>
              <w:t>Date of Submission</w:t>
            </w:r>
          </w:p>
        </w:tc>
      </w:tr>
      <w:tr>
        <w:trPr>
          <w:trHeight w:val="379" w:hRule="atLeast"/>
        </w:trPr>
        <w:tc>
          <w:tcPr>
            <w:tcW w:w="3326" w:type="dxa"/>
            <w:tcBorders>
              <w:top w:val="single" w:sz="4" w:space="0" w:color="C6D3DB"/>
              <w:left w:val="single" w:sz="4" w:space="0" w:color="C6D3DB"/>
              <w:bottom w:val="single" w:sz="4" w:space="0" w:color="C6D3DB"/>
              <w:right w:val="single" w:sz="4" w:space="0" w:color="C6D3DB"/>
            </w:tcBorders>
            <w:vAlign w:val="center"/>
          </w:tcPr>
          <w:p>
            <w:pPr>
              <w:pStyle w:val="Normal"/>
              <w:spacing w:before="0" w:after="160"/>
              <w:rPr/>
            </w:pPr>
            <w:r>
              <w:rPr>
                <w:i/>
                <w:iCs/>
                <w:color w:val="2E7EB8"/>
              </w:rPr>
              <w:t>Yusuf Nusirat Titilayo</w:t>
            </w:r>
          </w:p>
        </w:tc>
        <w:tc>
          <w:tcPr>
            <w:tcW w:w="3323" w:type="dxa"/>
            <w:tcBorders>
              <w:top w:val="single" w:sz="4" w:space="0" w:color="C6D3DB"/>
              <w:left w:val="single" w:sz="4" w:space="0" w:color="C6D3DB"/>
              <w:bottom w:val="single" w:sz="4" w:space="0" w:color="C6D3DB"/>
              <w:right w:val="single" w:sz="4" w:space="0" w:color="C6D3DB"/>
            </w:tcBorders>
            <w:tcMar>
              <w:top w:w="120" w:type="dxa"/>
              <w:bottom w:w="120" w:type="dxa"/>
            </w:tcMar>
            <w:vAlign w:val="center"/>
          </w:tcPr>
          <w:p>
            <w:pPr>
              <w:pStyle w:val="Normal"/>
              <w:spacing w:before="0" w:after="160"/>
              <w:rPr/>
            </w:pPr>
            <w:r>
              <w:rPr/>
              <w:t>Yusuf N. Titilayo</w:t>
            </w:r>
          </w:p>
        </w:tc>
        <w:tc>
          <w:tcPr>
            <w:tcW w:w="3431" w:type="dxa"/>
            <w:tcBorders>
              <w:top w:val="single" w:sz="4" w:space="0" w:color="C6D3DB"/>
              <w:left w:val="single" w:sz="4" w:space="0" w:color="C6D3DB"/>
              <w:bottom w:val="single" w:sz="4" w:space="0" w:color="C6D3DB"/>
              <w:right w:val="single" w:sz="4" w:space="0" w:color="C6D3DB"/>
            </w:tcBorders>
            <w:vAlign w:val="center"/>
          </w:tcPr>
          <w:p>
            <w:pPr>
              <w:pStyle w:val="Normal"/>
              <w:widowControl/>
              <w:bidi w:val="0"/>
              <w:spacing w:lineRule="auto" w:line="259" w:before="0" w:after="160"/>
              <w:jc w:val="left"/>
              <w:rPr/>
            </w:pPr>
            <w:r>
              <w:rPr>
                <w:i/>
                <w:iCs/>
                <w:color w:val="2E7EB8"/>
              </w:rPr>
              <w:t>19 October 2026</w:t>
            </w:r>
          </w:p>
        </w:tc>
      </w:tr>
    </w:tbl>
    <w:p>
      <w:pPr>
        <w:pStyle w:val="Normal"/>
        <w:spacing w:before="0" w:after="200"/>
        <w:rPr/>
      </w:pPr>
      <w:r>
        <w:rPr/>
      </w:r>
    </w:p>
    <w:p>
      <w:pPr>
        <w:pStyle w:val="Normal"/>
        <w:spacing w:lineRule="auto" w:line="240" w:before="0" w:after="0"/>
        <w:ind w:left="284"/>
        <w:jc w:val="center"/>
        <w:rPr/>
      </w:pPr>
      <w:r>
        <w:rPr>
          <w:b/>
          <w:bCs/>
          <w:color w:val="0D2137"/>
          <w:sz w:val="18"/>
          <w:szCs w:val="18"/>
        </w:rPr>
        <w:t>EncryptEdge Labs Limited — Junior Cloud Security Engineer Internship Programme</w:t>
      </w:r>
    </w:p>
    <w:p>
      <w:pPr>
        <w:pStyle w:val="Normal"/>
        <w:spacing w:lineRule="auto" w:line="240" w:before="0" w:after="0"/>
        <w:ind w:left="284"/>
        <w:jc w:val="center"/>
        <w:rPr/>
      </w:pPr>
      <w:r>
        <w:rPr>
          <w:color w:val="6B8CA3"/>
          <w:sz w:val="17"/>
          <w:szCs w:val="17"/>
        </w:rPr>
        <w:t>Company No. 15830711 | United Kingdom | encryptedgelabs.com</w:t>
      </w:r>
    </w:p>
    <w:p>
      <w:pPr>
        <w:pStyle w:val="Normal"/>
        <w:spacing w:lineRule="auto" w:line="240" w:before="80" w:after="0"/>
        <w:ind w:left="284"/>
        <w:jc w:val="center"/>
        <w:rPr/>
      </w:pPr>
      <w:r>
        <w:rPr>
          <w:i/>
          <w:iCs/>
          <w:color w:val="6B8CA3"/>
          <w:sz w:val="17"/>
          <w:szCs w:val="17"/>
        </w:rPr>
        <w:t>Copyright © 2026 EncryptEdge Labs. All rights reserved. | Report Template v3.0</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Liberation Mono">
    <w:altName w:val="Courier New"/>
    <w:charset w:val="00"/>
    <w:family w:val="swiss"/>
    <w:pitch w:val="variable"/>
  </w:font>
  <w:font w:name="OpenSymbol">
    <w:altName w:val="Arial Unicode MS"/>
    <w:charset w:val="00"/>
    <w:family w:val="swiss"/>
    <w:pitch w:val="variable"/>
  </w:font>
  <w:font w:name="Liberation Sans">
    <w:altName w:val="Arial"/>
    <w:charset w:val="00"/>
    <w:family w:val="swiss"/>
    <w:pitch w:val="variable"/>
  </w:font>
  <w:font w:name="system-ui">
    <w:altName w:val="apple-system"/>
    <w:charset w:val="00"/>
    <w:family w:val="swiss"/>
    <w:pitch w:val="variable"/>
  </w:font>
  <w:font w:name="Courier New">
    <w:charset w:val="00"/>
    <w:family w:val="swiss"/>
    <w:pitch w:val="variable"/>
  </w:font>
  <w:font w:name="Cambria Math">
    <w:charset w:val="00"/>
    <w:family w:val="roman"/>
    <w:pitch w:val="variable"/>
  </w:font>
  <w:font w:name="system-ui">
    <w:altName w:val="apple-system"/>
    <w:charset w:val="00"/>
    <w:family w:val="auto"/>
    <w:pitch w:val="default"/>
  </w:font>
  <w:font w:name="Wingdings">
    <w:charset w:val="02"/>
    <w:family w:val="auto"/>
    <w:pitch w:val="variable"/>
  </w:font>
  <w:font w:name="Wingdings 2">
    <w:charset w:val="02"/>
    <w:family w:val="roman"/>
    <w:pitch w:val="variable"/>
  </w:font>
  <w:font w:name="OpenSymbol">
    <w:altName w:val="Arial Unicode MS"/>
    <w:charset w:val="01"/>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6D3DB"/>
      </w:pBdr>
      <w:tabs>
        <w:tab w:val="clear" w:pos="720"/>
        <w:tab w:val="right" w:pos="9026" w:leader="none"/>
      </w:tabs>
      <w:spacing w:before="0" w:after="160"/>
      <w:rPr/>
    </w:pPr>
    <w:r>
      <w:rPr>
        <w:color w:val="8FAEC2"/>
        <w:sz w:val="16"/>
        <w:szCs w:val="16"/>
      </w:rPr>
      <w:t>Confidential — EncryptEdge Labs' Internship Programme</w:t>
    </w:r>
    <w:r>
      <w:rPr/>
      <w:tab/>
    </w:r>
    <w:r>
      <w:rPr>
        <w:color w:val="8FAEC2"/>
        <w:sz w:val="16"/>
        <w:szCs w:val="16"/>
      </w:rPr>
      <w:t xml:space="preserve">Page </w:t>
    </w:r>
    <w:r>
      <w:rPr>
        <w:color w:val="8FAEC2"/>
        <w:sz w:val="16"/>
        <w:szCs w:val="16"/>
      </w:rPr>
      <w:fldChar w:fldCharType="begin"/>
    </w:r>
    <w:r>
      <w:rPr>
        <w:sz w:val="16"/>
        <w:szCs w:val="16"/>
        <w:color w:val="8FAEC2"/>
      </w:rPr>
      <w:instrText xml:space="preserve"> PAGE </w:instrText>
    </w:r>
    <w:r>
      <w:rPr>
        <w:sz w:val="16"/>
        <w:szCs w:val="16"/>
        <w:color w:val="8FAEC2"/>
      </w:rPr>
      <w:fldChar w:fldCharType="separate"/>
    </w:r>
    <w:r>
      <w:rPr>
        <w:sz w:val="16"/>
        <w:szCs w:val="16"/>
        <w:color w:val="8FAEC2"/>
      </w:rPr>
      <w:t>32</w:t>
    </w:r>
    <w:r>
      <w:rPr>
        <w:sz w:val="16"/>
        <w:szCs w:val="16"/>
        <w:color w:val="8FAEC2"/>
      </w:rPr>
      <w:fldChar w:fldCharType="end"/>
    </w:r>
    <w:r>
      <w:rPr>
        <w:color w:val="8FAEC2"/>
        <w:sz w:val="16"/>
        <w:szCs w:val="16"/>
      </w:rPr>
      <w:t xml:space="preserve"> of </w:t>
    </w:r>
    <w:r>
      <w:rPr>
        <w:color w:val="8FAEC2"/>
        <w:sz w:val="16"/>
        <w:szCs w:val="16"/>
      </w:rPr>
      <w:fldChar w:fldCharType="begin"/>
    </w:r>
    <w:r>
      <w:rPr>
        <w:sz w:val="16"/>
        <w:szCs w:val="16"/>
        <w:color w:val="8FAEC2"/>
      </w:rPr>
      <w:instrText xml:space="preserve"> NUMPAGES </w:instrText>
    </w:r>
    <w:r>
      <w:rPr>
        <w:sz w:val="16"/>
        <w:szCs w:val="16"/>
        <w:color w:val="8FAEC2"/>
      </w:rPr>
      <w:fldChar w:fldCharType="separate"/>
    </w:r>
    <w:r>
      <w:rPr>
        <w:sz w:val="16"/>
        <w:szCs w:val="16"/>
        <w:color w:val="8FAEC2"/>
      </w:rPr>
      <w:t>32</w:t>
    </w:r>
    <w:r>
      <w:rPr>
        <w:sz w:val="16"/>
        <w:szCs w:val="16"/>
        <w:color w:val="8FAEC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6D3DB"/>
      </w:pBdr>
      <w:tabs>
        <w:tab w:val="clear" w:pos="720"/>
        <w:tab w:val="right" w:pos="9026" w:leader="none"/>
      </w:tabs>
      <w:spacing w:before="0" w:after="160"/>
      <w:rPr/>
    </w:pPr>
    <w:r>
      <w:rPr>
        <w:color w:val="8FAEC2"/>
        <w:sz w:val="16"/>
        <w:szCs w:val="16"/>
      </w:rPr>
      <w:t>EncryptEdge Labs — Junior Cloud Security Engineer Task Report</w:t>
    </w:r>
    <w:r>
      <w:rPr/>
      <w:tab/>
    </w:r>
    <w:r>
      <w:rPr>
        <w:i/>
        <w:iCs/>
        <w:color w:val="8FAEC2"/>
        <w:sz w:val="16"/>
        <w:szCs w:val="16"/>
      </w:rPr>
      <w:t>[Intern Name]</w:t>
    </w:r>
    <w:r>
      <w:rPr>
        <w:color w:val="8FAEC2"/>
        <w:sz w:val="16"/>
        <w:szCs w:val="16"/>
      </w:rPr>
      <w:t xml:space="preserve">  |  </w:t>
    </w:r>
    <w:r>
      <w:rPr>
        <w:i/>
        <w:iCs/>
        <w:color w:val="8FAEC2"/>
        <w:sz w:val="16"/>
        <w:szCs w:val="16"/>
      </w:rPr>
      <w:t>[Task ID]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Wingdings" w:hAnsi="Wingdings" w:cs="Wingdings" w:hint="default"/>
        <w:color w:val="000000"/>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8">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2"/>
    <w:lvlOverride w:ilvl="0">
      <w:startOverride w:val="1"/>
    </w:lvlOverride>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lvlOverride w:ilvl="0">
      <w:lvl w:ilvl="0">
        <w:start w:val="1"/>
        <w:numFmt w:val="bullet"/>
        <w:lvlText w:val=""/>
        <w:lvlJc w:val="left"/>
        <w:pPr>
          <w:tabs>
            <w:tab w:val="num" w:pos="0"/>
          </w:tabs>
          <w:ind w:left="720" w:hanging="360"/>
        </w:pPr>
        <w:rPr>
          <w:rFonts w:ascii="Wingdings" w:hAnsi="Wingdings" w:cs="Wingdings" w:hint="default"/>
          <w:color w:val="000000"/>
        </w:rPr>
      </w:lvl>
    </w:lvlOverride>
  </w:num>
  <w:num w:numId="63">
    <w:abstractNumId w:val="2"/>
    <w:lvlOverride w:ilvl="0">
      <w:lvl w:ilvl="0">
        <w:start w:val="1"/>
        <w:numFmt w:val="bullet"/>
        <w:lvlText w:val=""/>
        <w:lvlJc w:val="left"/>
        <w:pPr>
          <w:tabs>
            <w:tab w:val="num" w:pos="0"/>
          </w:tabs>
          <w:ind w:left="720" w:hanging="360"/>
        </w:pPr>
        <w:rPr>
          <w:rFonts w:ascii="Wingdings" w:hAnsi="Wingdings" w:cs="Wingdings" w:hint="default"/>
          <w:color w:val="000000"/>
        </w:rPr>
      </w:lvl>
    </w:lvlOverride>
  </w:num>
  <w:num w:numId="64">
    <w:abstractNumId w:val="2"/>
    <w:lvlOverride w:ilvl="0">
      <w:lvl w:ilvl="0">
        <w:start w:val="1"/>
        <w:numFmt w:val="bullet"/>
        <w:lvlText w:val=""/>
        <w:lvlJc w:val="left"/>
        <w:pPr>
          <w:tabs>
            <w:tab w:val="num" w:pos="0"/>
          </w:tabs>
          <w:ind w:left="720" w:hanging="360"/>
        </w:pPr>
        <w:rPr>
          <w:rFonts w:ascii="Wingdings" w:hAnsi="Wingdings" w:cs="Wingdings" w:hint="default"/>
          <w:color w:val="000000"/>
        </w:rPr>
      </w:lvl>
    </w:lvlOverride>
  </w:num>
  <w:num w:numId="65">
    <w:abstractNumId w:val="2"/>
    <w:lvlOverride w:ilvl="0">
      <w:lvl w:ilvl="0">
        <w:start w:val="1"/>
        <w:numFmt w:val="bullet"/>
        <w:lvlText w:val=""/>
        <w:lvlJc w:val="left"/>
        <w:pPr>
          <w:tabs>
            <w:tab w:val="num" w:pos="0"/>
          </w:tabs>
          <w:ind w:left="720" w:hanging="360"/>
        </w:pPr>
        <w:rPr>
          <w:rFonts w:ascii="Wingdings" w:hAnsi="Wingdings" w:cs="Wingdings" w:hint="default"/>
          <w:color w:val="000000"/>
        </w:rPr>
      </w:lvl>
    </w:lvlOverride>
  </w:num>
  <w:num w:numId="66">
    <w:abstractNumId w:val="2"/>
    <w:lvlOverride w:ilvl="0">
      <w:lvl w:ilvl="0">
        <w:start w:val="1"/>
        <w:numFmt w:val="bullet"/>
        <w:lvlText w:val=""/>
        <w:lvlJc w:val="left"/>
        <w:pPr>
          <w:tabs>
            <w:tab w:val="num" w:pos="0"/>
          </w:tabs>
          <w:ind w:left="720" w:hanging="360"/>
        </w:pPr>
        <w:rPr>
          <w:rFonts w:ascii="Wingdings" w:hAnsi="Wingdings" w:cs="Wingdings" w:hint="default"/>
          <w:color w:val="000000"/>
        </w:rPr>
      </w:lvl>
    </w:lvlOverride>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36"/>
    <w:lvlOverride w:ilvl="0">
      <w:startOverride w:val="1"/>
    </w:lvlOverride>
  </w:num>
  <w:num w:numId="94">
    <w:abstractNumId w:val="36"/>
  </w:num>
  <w:num w:numId="95">
    <w:abstractNumId w:val="36"/>
  </w:num>
  <w:num w:numId="96">
    <w:abstractNumId w:val="2"/>
  </w:num>
  <w:num w:numId="97">
    <w:abstractNumId w:val="2"/>
  </w:num>
  <w:num w:numId="98">
    <w:abstractNumId w:val="2"/>
  </w:num>
  <w:num w:numId="99">
    <w:abstractNumId w:val="2"/>
  </w:num>
  <w:num w:numId="100">
    <w:abstractNumId w:val="2"/>
  </w:num>
  <w:num w:numId="101">
    <w:abstractNumId w:val="36"/>
  </w:num>
  <w:num w:numId="102">
    <w:abstractNumId w:val="36"/>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1A1A1A"/>
      <w:kern w:val="0"/>
      <w:sz w:val="21"/>
      <w:szCs w:val="21"/>
      <w:lang w:val="en-US" w:eastAsia="en-US" w:bidi="ar-SA"/>
    </w:rPr>
  </w:style>
  <w:style w:type="paragraph" w:styleId="Heading1">
    <w:name w:val="heading 1"/>
    <w:basedOn w:val="Normal"/>
    <w:next w:val="Normal"/>
    <w:link w:val="Heading1Char"/>
    <w:uiPriority w:val="9"/>
    <w:qFormat/>
    <w:pPr>
      <w:outlineLvl w:val="0"/>
    </w:pPr>
    <w:rPr>
      <w:color w:val="2E74B5"/>
      <w:sz w:val="32"/>
      <w:szCs w:val="32"/>
    </w:rPr>
  </w:style>
  <w:style w:type="paragraph" w:styleId="Heading2">
    <w:name w:val="heading 2"/>
    <w:basedOn w:val="Normal"/>
    <w:next w:val="Normal"/>
    <w:link w:val="Heading2Char"/>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ing2Char" w:customStyle="1">
    <w:name w:val="Heading 2 Char"/>
    <w:basedOn w:val="DefaultParagraphFont"/>
    <w:link w:val="Heading2"/>
    <w:uiPriority w:val="9"/>
    <w:qFormat/>
    <w:rsid w:val="008548ab"/>
    <w:rPr>
      <w:color w:val="2E74B5"/>
      <w:sz w:val="26"/>
      <w:szCs w:val="26"/>
    </w:rPr>
  </w:style>
  <w:style w:type="character" w:styleId="HeaderChar" w:customStyle="1">
    <w:name w:val="Header Char"/>
    <w:basedOn w:val="DefaultParagraphFont"/>
    <w:link w:val="Header"/>
    <w:uiPriority w:val="99"/>
    <w:qFormat/>
    <w:rsid w:val="002b7728"/>
    <w:rPr/>
  </w:style>
  <w:style w:type="character" w:styleId="FooterChar" w:customStyle="1">
    <w:name w:val="Footer Char"/>
    <w:basedOn w:val="DefaultParagraphFont"/>
    <w:link w:val="Footer"/>
    <w:uiPriority w:val="99"/>
    <w:qFormat/>
    <w:rsid w:val="002b7728"/>
    <w:rPr/>
  </w:style>
  <w:style w:type="character" w:styleId="Heading1Char" w:customStyle="1">
    <w:name w:val="Heading 1 Char"/>
    <w:basedOn w:val="DefaultParagraphFont"/>
    <w:link w:val="Heading1"/>
    <w:uiPriority w:val="9"/>
    <w:qFormat/>
    <w:rsid w:val="00fc5528"/>
    <w:rPr>
      <w:color w:val="2E74B5"/>
      <w:sz w:val="32"/>
      <w:szCs w:val="32"/>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rPr>
      <w:sz w:val="56"/>
      <w:szCs w:val="56"/>
    </w:rPr>
  </w:style>
  <w:style w:type="paragraph" w:styleId="Strong1" w:customStyle="1">
    <w:name w:val="Strong1"/>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Normal"/>
    <w:link w:val="HeaderChar"/>
    <w:uiPriority w:val="99"/>
    <w:unhideWhenUsed/>
    <w:rsid w:val="002b7728"/>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2b7728"/>
    <w:pPr>
      <w:tabs>
        <w:tab w:val="clear" w:pos="720"/>
        <w:tab w:val="center" w:pos="4680" w:leader="none"/>
        <w:tab w:val="right" w:pos="9360"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ListContents">
    <w:name w:val="List Contents"/>
    <w:basedOn w:val="Normal"/>
    <w:qFormat/>
    <w:pPr>
      <w:ind w:lef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9D8FC-15B2-4436-8D9B-0303AD8EE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447</TotalTime>
  <Application>LibreOffice/25.2.7.2$Windows_X86_64 LibreOffice_project/5cbfd1ab6520636bb5f7b99185aa69bd7456825d</Application>
  <AppVersion>15.0000</AppVersion>
  <Pages>32</Pages>
  <Words>7939</Words>
  <Characters>51099</Characters>
  <CharactersWithSpaces>58605</CharactersWithSpaces>
  <Paragraphs>705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2026-07-01T05:56:00Z</dcterms:created>
  <dc:creator>Un-named</dc:creator>
  <dc:description/>
  <dc:language>en-CA</dc:language>
  <cp:lastModifiedBy/>
  <dcterms:modified xsi:type="dcterms:W3CDTF">2026-10-19T15:33:56Z</dcterms:modified>
  <cp:revision>35</cp:revision>
  <dc:subject/>
  <dc:title/>
</cp:coreProperties>
</file>

<file path=docProps/custom.xml><?xml version="1.0" encoding="utf-8"?>
<Properties xmlns="http://schemas.openxmlformats.org/officeDocument/2006/custom-properties" xmlns:vt="http://schemas.openxmlformats.org/officeDocument/2006/docPropsVTypes"/>
</file>