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  <w:t>{</w:t>
      </w:r>
    </w:p>
    <w:p>
      <w:pPr>
        <w:pStyle w:val="BodyText"/>
        <w:bidi w:val="0"/>
        <w:ind w:hanging="0" w:start="0" w:end="0"/>
        <w:rPr/>
      </w:pPr>
      <w:r>
        <w:rPr/>
        <w:t xml:space="preserve">  </w:t>
      </w:r>
      <w:r>
        <w:rPr/>
        <w:t>"Version": "2012-10-17",</w:t>
      </w:r>
    </w:p>
    <w:p>
      <w:pPr>
        <w:pStyle w:val="BodyText"/>
        <w:bidi w:val="0"/>
        <w:ind w:hanging="0" w:start="0" w:end="0"/>
        <w:rPr/>
      </w:pPr>
      <w:r>
        <w:rPr/>
        <w:t xml:space="preserve">  </w:t>
      </w:r>
      <w:r>
        <w:rPr/>
        <w:t>"Statement": [</w:t>
      </w:r>
    </w:p>
    <w:p>
      <w:pPr>
        <w:pStyle w:val="BodyText"/>
        <w:bidi w:val="0"/>
        <w:ind w:hanging="0" w:start="0" w:end="0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ind w:hanging="0" w:start="0" w:end="0"/>
        <w:rPr/>
      </w:pPr>
      <w:r>
        <w:rPr/>
        <w:t xml:space="preserve">      </w:t>
      </w:r>
      <w:r>
        <w:rPr/>
        <w:t>"Sid": "PublicReadExample",</w:t>
      </w:r>
    </w:p>
    <w:p>
      <w:pPr>
        <w:pStyle w:val="BodyText"/>
        <w:bidi w:val="0"/>
        <w:ind w:hanging="0" w:start="0" w:end="0"/>
        <w:rPr/>
      </w:pPr>
      <w:r>
        <w:rPr/>
        <w:t xml:space="preserve">      </w:t>
      </w:r>
      <w:r>
        <w:rPr/>
        <w:t>"Effect": "Allow",</w:t>
      </w:r>
    </w:p>
    <w:p>
      <w:pPr>
        <w:pStyle w:val="BodyText"/>
        <w:bidi w:val="0"/>
        <w:ind w:hanging="0" w:start="0" w:end="0"/>
        <w:rPr/>
      </w:pPr>
      <w:r>
        <w:rPr/>
        <w:t xml:space="preserve">      </w:t>
      </w:r>
      <w:r>
        <w:rPr/>
        <w:t>"Principal": "*",</w:t>
      </w:r>
    </w:p>
    <w:p>
      <w:pPr>
        <w:pStyle w:val="BodyText"/>
        <w:bidi w:val="0"/>
        <w:ind w:hanging="0" w:start="0" w:end="0"/>
        <w:rPr/>
      </w:pPr>
      <w:r>
        <w:rPr/>
        <w:t xml:space="preserve">      </w:t>
      </w:r>
      <w:r>
        <w:rPr/>
        <w:t>"Action": "s3:GetObject",</w:t>
      </w:r>
    </w:p>
    <w:p>
      <w:pPr>
        <w:pStyle w:val="BodyText"/>
        <w:bidi w:val="0"/>
        <w:ind w:hanging="0" w:start="0" w:end="0"/>
        <w:rPr/>
      </w:pPr>
      <w:r>
        <w:rPr/>
        <w:t xml:space="preserve">      </w:t>
      </w:r>
      <w:r>
        <w:rPr/>
        <w:t>"Resource": "arn:aws:s3:::example-analysis-bucket/*"</w:t>
      </w:r>
    </w:p>
    <w:p>
      <w:pPr>
        <w:pStyle w:val="BodyText"/>
        <w:bidi w:val="0"/>
        <w:ind w:hanging="0" w:start="0" w:end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start="0" w:end="0"/>
        <w:rPr/>
      </w:pPr>
      <w:r>
        <w:rPr/>
        <w:t xml:space="preserve">  </w:t>
      </w:r>
      <w:r>
        <w:rPr/>
        <w:t>]</w:t>
      </w:r>
    </w:p>
    <w:p>
      <w:pPr>
        <w:pStyle w:val="BodyText"/>
        <w:bidi w:val="0"/>
        <w:ind w:hanging="0" w:start="0" w:end="0"/>
        <w:rPr/>
      </w:pPr>
      <w:r>
        <w:rPr/>
        <w:t>}</w:t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Phase A: S3 Bucket Policy Analysis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5"/>
        <w:gridCol w:w="4557"/>
      </w:tblGrid>
      <w:tr>
        <w:trPr>
          <w:tblHeader w:val="true"/>
        </w:trPr>
        <w:tc>
          <w:tcPr>
            <w:tcW w:w="54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Policy Element</w:t>
            </w:r>
          </w:p>
        </w:tc>
        <w:tc>
          <w:tcPr>
            <w:tcW w:w="45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Analysis</w:t>
            </w:r>
          </w:p>
        </w:tc>
      </w:tr>
      <w:tr>
        <w:trPr/>
        <w:tc>
          <w:tcPr>
            <w:tcW w:w="54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trong"/>
              </w:rPr>
              <w:t xml:space="preserve">Effect: </w:t>
            </w:r>
            <w:r>
              <w:rPr>
                <w:rStyle w:val="SourceText"/>
              </w:rPr>
              <w:t>Allow</w:t>
            </w:r>
          </w:p>
        </w:tc>
        <w:tc>
          <w:tcPr>
            <w:tcW w:w="4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Grants the specified action, subject to other applicable controls.</w:t>
            </w:r>
          </w:p>
        </w:tc>
      </w:tr>
      <w:tr>
        <w:trPr/>
        <w:tc>
          <w:tcPr>
            <w:tcW w:w="54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trong"/>
              </w:rPr>
              <w:t xml:space="preserve">Principal: </w:t>
            </w:r>
            <w:r>
              <w:rPr>
                <w:rStyle w:val="SourceText"/>
              </w:rPr>
              <w:t>*</w:t>
            </w:r>
          </w:p>
        </w:tc>
        <w:tc>
          <w:tcPr>
            <w:tcW w:w="4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Includes everyone, including anonymous requesters.</w:t>
            </w:r>
          </w:p>
        </w:tc>
      </w:tr>
      <w:tr>
        <w:trPr/>
        <w:tc>
          <w:tcPr>
            <w:tcW w:w="54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trong"/>
              </w:rPr>
              <w:t xml:space="preserve">Action: </w:t>
            </w:r>
            <w:r>
              <w:rPr>
                <w:rStyle w:val="SourceText"/>
              </w:rPr>
              <w:t>s3:GetObject</w:t>
            </w:r>
          </w:p>
        </w:tc>
        <w:tc>
          <w:tcPr>
            <w:tcW w:w="4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Permits object downloads; does not grant listing, uploading or deletion.</w:t>
            </w:r>
          </w:p>
        </w:tc>
      </w:tr>
      <w:tr>
        <w:trPr/>
        <w:tc>
          <w:tcPr>
            <w:tcW w:w="54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trong"/>
              </w:rPr>
              <w:t xml:space="preserve">Resource: </w:t>
            </w:r>
            <w:r>
              <w:rPr>
                <w:rStyle w:val="SourceText"/>
              </w:rPr>
              <w:t>arn:aws:s3:::example-analysis-bucket/*</w:t>
            </w:r>
          </w:p>
        </w:tc>
        <w:tc>
          <w:tcPr>
            <w:tcW w:w="4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Covers every object in the example bucket.</w:t>
            </w:r>
          </w:p>
        </w:tc>
      </w:tr>
      <w:tr>
        <w:trPr/>
        <w:tc>
          <w:tcPr>
            <w:tcW w:w="5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Condition: absent</w:t>
            </w:r>
          </w:p>
        </w:tc>
        <w:tc>
          <w:tcPr>
            <w:tcW w:w="4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conditions narrow this statement’s public-read grant.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Risk:</w:t>
      </w:r>
      <w:r>
        <w:rPr/>
        <w:t xml:space="preserve"> If effective, the policy could expose sensitive object contents to anyone who knows or discovers their keys.</w:t>
      </w:r>
    </w:p>
    <w:p>
      <w:pPr>
        <w:pStyle w:val="BodyText"/>
        <w:bidi w:val="0"/>
        <w:jc w:val="start"/>
        <w:rPr/>
      </w:pPr>
      <w:r>
        <w:rPr>
          <w:rStyle w:val="Strong"/>
        </w:rPr>
        <w:t>Mitigation:</w:t>
      </w:r>
      <w:r>
        <w:rPr/>
        <w:t xml:space="preserve"> Keep Block Public Access enabled, remove unintended public grants and authorize only required identities, actions and resources. Keep ACLs disabled for policy-based access management.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Key distinction:</w:t>
      </w:r>
      <w:r>
        <w:rPr/>
        <w:t xml:space="preserve"> A wildcard Principal alone does not establish exposure. Its effect depends on </w:t>
      </w:r>
      <w:r>
        <w:rPr>
          <w:rStyle w:val="SourceText"/>
        </w:rPr>
        <w:t>Effect</w:t>
      </w:r>
      <w:r>
        <w:rPr/>
        <w:t xml:space="preserve">, </w:t>
      </w:r>
      <w:r>
        <w:rPr>
          <w:rStyle w:val="SourceText"/>
        </w:rPr>
        <w:t>Action</w:t>
      </w:r>
      <w:r>
        <w:rPr/>
        <w:t xml:space="preserve">, </w:t>
      </w:r>
      <w:r>
        <w:rPr>
          <w:rStyle w:val="SourceText"/>
        </w:rPr>
        <w:t>Resource</w:t>
      </w:r>
      <w:r>
        <w:rPr/>
        <w:t>, conditions and other applicable controls.</w:t>
      </w:r>
    </w:p>
    <w:p>
      <w:pPr>
        <w:pStyle w:val="BodyText"/>
        <w:bidi w:val="0"/>
        <w:jc w:val="start"/>
        <w:rPr/>
      </w:pPr>
      <w:r>
        <w:rPr>
          <w:rStyle w:val="Strong"/>
        </w:rPr>
        <w:t>Enumeration insight:</w:t>
      </w:r>
      <w:r>
        <w:rPr/>
        <w:t xml:space="preserve"> Bucket discovery, object listing and object reading are separate tests. A denied listing does not establish that all objects are unreadable.</w:t>
      </w:r>
    </w:p>
    <w:p>
      <w:pPr>
        <w:pStyle w:val="BodyText"/>
        <w:bidi w:val="0"/>
        <w:jc w:val="start"/>
        <w:rPr/>
      </w:pPr>
      <w:r>
        <w:rPr>
          <w:rStyle w:val="Strong"/>
        </w:rPr>
        <w:t>AI tool:</w:t>
      </w:r>
      <w:r>
        <w:rPr/>
        <w:t xml:space="preserve"> ChatGPT interpreted the sample policy. This was conceptual analysis; the policy was not deployed.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2</Pages>
  <Words>180</Words>
  <Characters>1222</Characters>
  <CharactersWithSpaces>1416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2026-10-22T16:56:34Z</dcterms:created>
  <dc:creator/>
  <dc:description/>
  <dc:language>en-CA</dc:language>
  <cp:lastModifiedBy/>
  <dcterms:modified xsi:type="dcterms:W3CDTF">2026-10-22T16:59:10Z</dcterms:modified>
  <cp:revision>2</cp:revision>
  <dc:subject/>
  <dc:title/>
</cp:coreProperties>
</file>