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824" w:rsidRPr="00933824" w:rsidRDefault="00517F1A" w:rsidP="00517F1A">
      <w:pPr>
        <w:pStyle w:val="Title"/>
        <w:jc w:val="left"/>
        <w:rPr>
          <w:rFonts w:cs="Arial"/>
          <w:b/>
          <w:sz w:val="32"/>
          <w:szCs w:val="32"/>
        </w:rPr>
      </w:pPr>
      <w:r w:rsidRPr="00517F1A">
        <w:rPr>
          <w:rFonts w:cs="Arial"/>
          <w:b/>
          <w:sz w:val="32"/>
          <w:szCs w:val="32"/>
        </w:rPr>
        <w:t>Metodología de pronóstico multivariado con aprendizaje autónomo,</w:t>
      </w:r>
      <w:r>
        <w:rPr>
          <w:rFonts w:cs="Arial"/>
          <w:b/>
          <w:sz w:val="32"/>
          <w:szCs w:val="32"/>
        </w:rPr>
        <w:t xml:space="preserve"> </w:t>
      </w:r>
      <w:r w:rsidRPr="00517F1A">
        <w:rPr>
          <w:rFonts w:cs="Arial"/>
          <w:b/>
          <w:sz w:val="32"/>
          <w:szCs w:val="32"/>
        </w:rPr>
        <w:t>integración en la nube y reportes automatizados</w:t>
      </w:r>
    </w:p>
    <w:p w:rsidR="00933824" w:rsidRPr="00933824" w:rsidRDefault="00D75CEF" w:rsidP="00933824">
      <w:pPr>
        <w:pStyle w:val="Title"/>
        <w:jc w:val="left"/>
        <w:rPr>
          <w:rFonts w:cs="Arial"/>
          <w:b/>
          <w:bCs/>
          <w:sz w:val="20"/>
          <w:szCs w:val="20"/>
        </w:rPr>
      </w:pPr>
      <w:r>
        <w:rPr>
          <w:rFonts w:cs="Arial"/>
          <w:b/>
          <w:bCs/>
          <w:sz w:val="20"/>
          <w:szCs w:val="20"/>
        </w:rPr>
        <w:t>Luis D. Chavarría</w:t>
      </w:r>
      <w:r w:rsidR="00933824" w:rsidRPr="00933824">
        <w:rPr>
          <w:rFonts w:cs="Arial"/>
          <w:b/>
          <w:bCs/>
          <w:sz w:val="20"/>
          <w:szCs w:val="20"/>
          <w:vertAlign w:val="superscript"/>
        </w:rPr>
        <w:t>1</w:t>
      </w:r>
      <w:r w:rsidR="00933824" w:rsidRPr="00933824">
        <w:rPr>
          <w:rFonts w:cs="Arial"/>
          <w:b/>
          <w:bCs/>
          <w:sz w:val="20"/>
          <w:szCs w:val="20"/>
        </w:rPr>
        <w:t xml:space="preserve"> </w:t>
      </w:r>
      <w:r>
        <w:rPr>
          <w:rFonts w:cs="Arial"/>
          <w:b/>
          <w:bCs/>
          <w:sz w:val="20"/>
          <w:szCs w:val="20"/>
        </w:rPr>
        <w:t>y Juan M. Cogollo</w:t>
      </w:r>
      <w:r w:rsidRPr="00933824">
        <w:rPr>
          <w:rFonts w:cs="Arial"/>
          <w:b/>
          <w:bCs/>
          <w:sz w:val="20"/>
          <w:szCs w:val="20"/>
          <w:vertAlign w:val="superscript"/>
        </w:rPr>
        <w:t xml:space="preserve"> </w:t>
      </w:r>
      <w:r w:rsidR="00933824" w:rsidRPr="00933824">
        <w:rPr>
          <w:rFonts w:cs="Arial"/>
          <w:b/>
          <w:bCs/>
          <w:sz w:val="20"/>
          <w:szCs w:val="20"/>
          <w:vertAlign w:val="superscript"/>
        </w:rPr>
        <w:t>1</w:t>
      </w:r>
    </w:p>
    <w:p w:rsidR="00F85502" w:rsidRDefault="00933824" w:rsidP="00933824">
      <w:pPr>
        <w:widowControl w:val="0"/>
        <w:rPr>
          <w:rFonts w:cs="Arial"/>
          <w:color w:val="000000"/>
        </w:rPr>
      </w:pPr>
      <w:r w:rsidRPr="00933824">
        <w:rPr>
          <w:rFonts w:cs="Arial"/>
          <w:color w:val="000000"/>
        </w:rPr>
        <w:t xml:space="preserve">(1) </w:t>
      </w:r>
      <w:r w:rsidR="00D75CEF" w:rsidRPr="00933824">
        <w:rPr>
          <w:rFonts w:cs="Arial"/>
          <w:color w:val="000000"/>
        </w:rPr>
        <w:t>Fac</w:t>
      </w:r>
      <w:r w:rsidR="00D75CEF">
        <w:rPr>
          <w:rFonts w:cs="Arial"/>
          <w:color w:val="000000"/>
        </w:rPr>
        <w:t>ultad de Minas</w:t>
      </w:r>
      <w:r w:rsidR="00D75CEF" w:rsidRPr="00933824">
        <w:rPr>
          <w:rFonts w:cs="Arial"/>
          <w:color w:val="000000"/>
        </w:rPr>
        <w:t xml:space="preserve">, </w:t>
      </w:r>
      <w:r w:rsidR="00D75CEF">
        <w:rPr>
          <w:rFonts w:cs="Arial"/>
          <w:color w:val="000000"/>
        </w:rPr>
        <w:t>Dpto. Ingeniería de la Organización, Universidad Nacional de Colombia.</w:t>
      </w:r>
    </w:p>
    <w:p w:rsidR="00933824" w:rsidRPr="00F85502" w:rsidRDefault="00933824" w:rsidP="00D75CEF">
      <w:pPr>
        <w:widowControl w:val="0"/>
        <w:rPr>
          <w:rFonts w:cs="Arial"/>
          <w:color w:val="000000"/>
          <w:lang w:val="pt-BR"/>
        </w:rPr>
      </w:pPr>
      <w:r w:rsidRPr="00F85502">
        <w:rPr>
          <w:rFonts w:cs="Arial"/>
          <w:color w:val="000000"/>
          <w:lang w:val="pt-BR"/>
        </w:rPr>
        <w:t xml:space="preserve">E-mail: </w:t>
      </w:r>
      <w:r w:rsidR="00D75CEF" w:rsidRPr="00D75CEF">
        <w:rPr>
          <w:rFonts w:cs="Arial"/>
          <w:color w:val="000000"/>
          <w:lang w:val="pt-BR"/>
        </w:rPr>
        <w:t>ldchavarriam@unal.edu.co; jmcogollof@unal.edu.co</w:t>
      </w:r>
    </w:p>
    <w:p w:rsidR="00933824" w:rsidRPr="00F85502" w:rsidRDefault="00933824">
      <w:pPr>
        <w:rPr>
          <w:rFonts w:cs="Arial"/>
          <w:b/>
          <w:lang w:val="pt-BR"/>
        </w:rPr>
      </w:pPr>
    </w:p>
    <w:p w:rsidR="00933824" w:rsidRPr="00513B78" w:rsidRDefault="00933824">
      <w:pPr>
        <w:pStyle w:val="BodyText21"/>
        <w:widowControl/>
        <w:rPr>
          <w:rFonts w:cs="Arial"/>
          <w:sz w:val="20"/>
          <w:lang w:val="es-CL"/>
        </w:rPr>
      </w:pPr>
      <w:r w:rsidRPr="00513B78">
        <w:rPr>
          <w:rFonts w:cs="Arial"/>
          <w:sz w:val="20"/>
          <w:lang w:val="es-CL"/>
        </w:rPr>
        <w:t>Resumen</w:t>
      </w:r>
    </w:p>
    <w:p w:rsidR="00933824" w:rsidRPr="00513B78" w:rsidRDefault="00933824">
      <w:pPr>
        <w:pStyle w:val="Title"/>
        <w:jc w:val="both"/>
        <w:rPr>
          <w:rFonts w:cs="Arial"/>
          <w:b/>
          <w:sz w:val="20"/>
          <w:szCs w:val="20"/>
          <w:lang w:val="es-CL"/>
        </w:rPr>
      </w:pPr>
    </w:p>
    <w:p w:rsidR="003D5EED" w:rsidRDefault="000860CB">
      <w:pPr>
        <w:pStyle w:val="Textoindependiente21"/>
        <w:jc w:val="both"/>
        <w:rPr>
          <w:rFonts w:cs="Arial"/>
          <w:bCs/>
          <w:sz w:val="20"/>
        </w:rPr>
      </w:pPr>
      <w:r>
        <w:rPr>
          <w:rFonts w:cs="Arial"/>
          <w:bCs/>
          <w:sz w:val="20"/>
        </w:rPr>
        <w:t xml:space="preserve">Parámetros trabajo: </w:t>
      </w:r>
      <w:hyperlink r:id="rId8" w:history="1">
        <w:r w:rsidRPr="000C7185">
          <w:rPr>
            <w:rStyle w:val="Hyperlink"/>
            <w:rFonts w:cs="Arial"/>
            <w:bCs/>
            <w:sz w:val="20"/>
          </w:rPr>
          <w:t>http://congreso.pucp.edu.pe/caip2019/envio-trabajos/trabajos-completos/</w:t>
        </w:r>
      </w:hyperlink>
      <w:r>
        <w:rPr>
          <w:rFonts w:cs="Arial"/>
          <w:bCs/>
          <w:sz w:val="20"/>
        </w:rPr>
        <w:t xml:space="preserve"> </w:t>
      </w:r>
    </w:p>
    <w:p w:rsidR="00D75CEF" w:rsidRDefault="00D75CEF">
      <w:pPr>
        <w:pStyle w:val="Textoindependiente21"/>
        <w:jc w:val="both"/>
        <w:rPr>
          <w:rFonts w:cs="Arial"/>
          <w:bCs/>
          <w:sz w:val="20"/>
        </w:rPr>
      </w:pPr>
    </w:p>
    <w:p w:rsidR="003D5EED" w:rsidRPr="003D5EED" w:rsidRDefault="003D5EED" w:rsidP="003D5EED">
      <w:pPr>
        <w:pStyle w:val="Heading9"/>
        <w:rPr>
          <w:iCs w:val="0"/>
          <w:sz w:val="20"/>
        </w:rPr>
      </w:pPr>
      <w:r w:rsidRPr="003D5EED">
        <w:rPr>
          <w:iCs w:val="0"/>
          <w:sz w:val="20"/>
        </w:rPr>
        <w:t xml:space="preserve">Palabras clave: elementos finitos; difusión; </w:t>
      </w:r>
      <w:proofErr w:type="spellStart"/>
      <w:r w:rsidRPr="003D5EED">
        <w:rPr>
          <w:sz w:val="20"/>
        </w:rPr>
        <w:t>Algor</w:t>
      </w:r>
      <w:proofErr w:type="spellEnd"/>
      <w:r w:rsidRPr="003D5EED">
        <w:rPr>
          <w:sz w:val="20"/>
        </w:rPr>
        <w:t>; modelado de procesos; extracción; aceite de clavo de olor</w:t>
      </w:r>
    </w:p>
    <w:p w:rsidR="00933824" w:rsidRPr="003D5EED" w:rsidRDefault="00933824">
      <w:pPr>
        <w:pStyle w:val="Textoindependiente21"/>
        <w:jc w:val="both"/>
        <w:rPr>
          <w:rFonts w:cs="Arial"/>
          <w:sz w:val="20"/>
          <w:lang w:val="es-ES"/>
        </w:rPr>
      </w:pPr>
    </w:p>
    <w:p w:rsidR="00933824" w:rsidRPr="009B7ABD" w:rsidRDefault="00933824">
      <w:pPr>
        <w:pStyle w:val="Heading2"/>
        <w:jc w:val="left"/>
        <w:rPr>
          <w:sz w:val="32"/>
          <w:szCs w:val="32"/>
          <w:lang w:val="en-US"/>
        </w:rPr>
      </w:pPr>
      <w:r w:rsidRPr="009B7ABD">
        <w:rPr>
          <w:sz w:val="32"/>
          <w:szCs w:val="32"/>
          <w:lang w:val="en-US"/>
        </w:rPr>
        <w:t>M</w:t>
      </w:r>
      <w:r w:rsidR="000B5C0B">
        <w:rPr>
          <w:sz w:val="32"/>
          <w:szCs w:val="32"/>
          <w:lang w:val="en-US"/>
        </w:rPr>
        <w:t>ultivariate forecast methodology with integrated cloud-based reports</w:t>
      </w:r>
    </w:p>
    <w:p w:rsidR="00933824" w:rsidRPr="00933824" w:rsidRDefault="00933824">
      <w:pPr>
        <w:pStyle w:val="Footer"/>
        <w:tabs>
          <w:tab w:val="clear" w:pos="4419"/>
          <w:tab w:val="clear" w:pos="8838"/>
        </w:tabs>
        <w:rPr>
          <w:rFonts w:cs="Arial"/>
          <w:lang w:val="en-US"/>
        </w:rPr>
      </w:pPr>
    </w:p>
    <w:p w:rsidR="00933824" w:rsidRPr="00933824" w:rsidRDefault="00933824">
      <w:pPr>
        <w:pStyle w:val="Heading2"/>
        <w:rPr>
          <w:lang w:val="en-US"/>
        </w:rPr>
      </w:pPr>
      <w:r w:rsidRPr="00933824">
        <w:rPr>
          <w:lang w:val="en-US"/>
        </w:rPr>
        <w:t>Abstract</w:t>
      </w:r>
    </w:p>
    <w:p w:rsidR="00933824" w:rsidRPr="00933824" w:rsidRDefault="00933824">
      <w:pPr>
        <w:rPr>
          <w:rFonts w:cs="Arial"/>
          <w:b/>
          <w:lang w:val="en-US"/>
        </w:rPr>
      </w:pPr>
    </w:p>
    <w:p w:rsidR="00933824" w:rsidRPr="00933824" w:rsidRDefault="00D75CEF">
      <w:pPr>
        <w:pStyle w:val="BodyText2"/>
        <w:rPr>
          <w:bCs/>
          <w:sz w:val="20"/>
          <w:lang w:val="en-US"/>
        </w:rPr>
      </w:pPr>
      <w:proofErr w:type="spellStart"/>
      <w:r>
        <w:rPr>
          <w:bCs/>
          <w:sz w:val="20"/>
          <w:lang w:val="en-US"/>
        </w:rPr>
        <w:t>Resumen</w:t>
      </w:r>
      <w:proofErr w:type="spellEnd"/>
      <w:r>
        <w:rPr>
          <w:bCs/>
          <w:sz w:val="20"/>
          <w:lang w:val="en-US"/>
        </w:rPr>
        <w:t xml:space="preserve"> </w:t>
      </w:r>
      <w:proofErr w:type="spellStart"/>
      <w:r>
        <w:rPr>
          <w:bCs/>
          <w:sz w:val="20"/>
          <w:lang w:val="en-US"/>
        </w:rPr>
        <w:t>en</w:t>
      </w:r>
      <w:proofErr w:type="spellEnd"/>
      <w:r>
        <w:rPr>
          <w:bCs/>
          <w:sz w:val="20"/>
          <w:lang w:val="en-US"/>
        </w:rPr>
        <w:t xml:space="preserve"> </w:t>
      </w:r>
      <w:proofErr w:type="spellStart"/>
      <w:r>
        <w:rPr>
          <w:bCs/>
          <w:sz w:val="20"/>
          <w:lang w:val="en-US"/>
        </w:rPr>
        <w:t>inglés</w:t>
      </w:r>
      <w:proofErr w:type="spellEnd"/>
      <w:r>
        <w:rPr>
          <w:bCs/>
          <w:sz w:val="20"/>
          <w:lang w:val="en-US"/>
        </w:rPr>
        <w:t>.</w:t>
      </w:r>
    </w:p>
    <w:p w:rsidR="00933824" w:rsidRPr="00933824" w:rsidRDefault="00933824">
      <w:pPr>
        <w:rPr>
          <w:rFonts w:cs="Arial"/>
          <w:lang w:val="en-US"/>
        </w:rPr>
      </w:pPr>
    </w:p>
    <w:p w:rsidR="00933824" w:rsidRDefault="00933824">
      <w:pPr>
        <w:pStyle w:val="Heading9"/>
        <w:rPr>
          <w:sz w:val="20"/>
          <w:lang w:val="en-US"/>
        </w:rPr>
      </w:pPr>
      <w:r w:rsidRPr="00933824">
        <w:rPr>
          <w:iCs w:val="0"/>
          <w:sz w:val="20"/>
          <w:lang w:val="en-US"/>
        </w:rPr>
        <w:t xml:space="preserve">Keywords: </w:t>
      </w:r>
      <w:r w:rsidRPr="00933824">
        <w:rPr>
          <w:sz w:val="20"/>
          <w:lang w:val="en-US"/>
        </w:rPr>
        <w:t>finite elements</w:t>
      </w:r>
      <w:r w:rsidR="003D5EED">
        <w:rPr>
          <w:sz w:val="20"/>
          <w:lang w:val="en-US"/>
        </w:rPr>
        <w:t>;</w:t>
      </w:r>
      <w:r w:rsidRPr="00933824">
        <w:rPr>
          <w:sz w:val="20"/>
          <w:lang w:val="en-US"/>
        </w:rPr>
        <w:t xml:space="preserve"> diffusion</w:t>
      </w:r>
      <w:r w:rsidR="003D5EED">
        <w:rPr>
          <w:sz w:val="20"/>
          <w:lang w:val="en-US"/>
        </w:rPr>
        <w:t>;</w:t>
      </w:r>
      <w:r w:rsidRPr="00933824">
        <w:rPr>
          <w:sz w:val="20"/>
          <w:lang w:val="en-US"/>
        </w:rPr>
        <w:t xml:space="preserve"> </w:t>
      </w:r>
      <w:proofErr w:type="spellStart"/>
      <w:r w:rsidRPr="00933824">
        <w:rPr>
          <w:sz w:val="20"/>
          <w:lang w:val="en-US"/>
        </w:rPr>
        <w:t>Algor</w:t>
      </w:r>
      <w:proofErr w:type="spellEnd"/>
      <w:r w:rsidR="003D5EED">
        <w:rPr>
          <w:sz w:val="20"/>
          <w:lang w:val="en-US"/>
        </w:rPr>
        <w:t>;</w:t>
      </w:r>
      <w:r w:rsidRPr="00933824">
        <w:rPr>
          <w:sz w:val="20"/>
          <w:lang w:val="en-US"/>
        </w:rPr>
        <w:t xml:space="preserve"> </w:t>
      </w:r>
      <w:r w:rsidR="003D5EED">
        <w:rPr>
          <w:sz w:val="20"/>
          <w:lang w:val="en-US"/>
        </w:rPr>
        <w:t xml:space="preserve">process </w:t>
      </w:r>
      <w:r w:rsidRPr="00933824">
        <w:rPr>
          <w:iCs w:val="0"/>
          <w:sz w:val="20"/>
          <w:lang w:val="en-US"/>
        </w:rPr>
        <w:t>m</w:t>
      </w:r>
      <w:r w:rsidRPr="00933824">
        <w:rPr>
          <w:sz w:val="20"/>
          <w:lang w:val="en-US"/>
        </w:rPr>
        <w:t>odeling</w:t>
      </w:r>
      <w:r w:rsidR="003D5EED">
        <w:rPr>
          <w:sz w:val="20"/>
          <w:lang w:val="en-US"/>
        </w:rPr>
        <w:t>;</w:t>
      </w:r>
      <w:r w:rsidRPr="00933824">
        <w:rPr>
          <w:sz w:val="20"/>
          <w:lang w:val="en-US"/>
        </w:rPr>
        <w:t xml:space="preserve"> extraction</w:t>
      </w:r>
      <w:r w:rsidR="003D5EED">
        <w:rPr>
          <w:sz w:val="20"/>
          <w:lang w:val="en-US"/>
        </w:rPr>
        <w:t>;</w:t>
      </w:r>
      <w:r w:rsidRPr="00933824">
        <w:rPr>
          <w:sz w:val="20"/>
          <w:lang w:val="en-US"/>
        </w:rPr>
        <w:t xml:space="preserve"> clove oil</w:t>
      </w:r>
    </w:p>
    <w:p w:rsidR="00DD518C" w:rsidRDefault="00DD518C" w:rsidP="00DD518C">
      <w:pPr>
        <w:rPr>
          <w:lang w:val="en-US"/>
        </w:rPr>
      </w:pPr>
    </w:p>
    <w:p w:rsidR="00DD518C" w:rsidRPr="00DD518C" w:rsidRDefault="00DD518C" w:rsidP="00DD518C">
      <w:pPr>
        <w:rPr>
          <w:lang w:val="en-US"/>
        </w:rPr>
      </w:pPr>
    </w:p>
    <w:p w:rsidR="00933824" w:rsidRPr="00933824" w:rsidRDefault="00933824">
      <w:pPr>
        <w:rPr>
          <w:rFonts w:cs="Arial"/>
          <w:b/>
          <w:lang w:val="en-US"/>
        </w:rPr>
      </w:pPr>
    </w:p>
    <w:p w:rsidR="009A2515" w:rsidRPr="00933824" w:rsidRDefault="009A2515">
      <w:pPr>
        <w:pStyle w:val="Title"/>
        <w:rPr>
          <w:rFonts w:cs="Arial"/>
          <w:b/>
          <w:sz w:val="20"/>
          <w:szCs w:val="20"/>
          <w:lang w:val="en-US"/>
        </w:rPr>
      </w:pPr>
    </w:p>
    <w:p w:rsidR="009A2515" w:rsidRPr="00933824" w:rsidRDefault="009A2515">
      <w:pPr>
        <w:pStyle w:val="Title"/>
        <w:rPr>
          <w:rFonts w:cs="Arial"/>
          <w:b/>
          <w:sz w:val="20"/>
          <w:szCs w:val="20"/>
          <w:lang w:val="en-US"/>
        </w:rPr>
      </w:pPr>
    </w:p>
    <w:p w:rsidR="009A2515" w:rsidRPr="00933824" w:rsidRDefault="009A2515">
      <w:pPr>
        <w:rPr>
          <w:rFonts w:cs="Arial"/>
          <w:lang w:val="en-US"/>
        </w:rPr>
      </w:pPr>
    </w:p>
    <w:p w:rsidR="009A2515" w:rsidRPr="00F430CC" w:rsidRDefault="00933824" w:rsidP="00F430CC">
      <w:pPr>
        <w:pStyle w:val="Heading3"/>
      </w:pPr>
      <w:r w:rsidRPr="0097132C">
        <w:rPr>
          <w:lang w:val="es-CO"/>
        </w:rPr>
        <w:br w:type="page"/>
      </w:r>
      <w:r w:rsidR="009A2515" w:rsidRPr="00933824">
        <w:lastRenderedPageBreak/>
        <w:t>Introducción</w:t>
      </w:r>
    </w:p>
    <w:p w:rsidR="009A2515" w:rsidRPr="00933824" w:rsidRDefault="009A2515">
      <w:pPr>
        <w:pStyle w:val="Title"/>
        <w:jc w:val="both"/>
        <w:rPr>
          <w:rFonts w:cs="Arial"/>
          <w:bCs/>
          <w:sz w:val="20"/>
          <w:szCs w:val="20"/>
        </w:rPr>
      </w:pPr>
    </w:p>
    <w:p w:rsidR="000D03E4" w:rsidRDefault="000D03E4" w:rsidP="000D03E4">
      <w:r w:rsidRPr="000D03E4">
        <w:t xml:space="preserve">La estimación correcta de la demanda desagregada para múltiples productos es fundamental para el buen funcionamiento de la mayoría de los modelos de gestión industrial y financiera (MPS, MRP, EOQ, flujos de caja, entre otros). </w:t>
      </w:r>
      <w:r w:rsidR="00301019" w:rsidRPr="00301019">
        <w:rPr>
          <w:color w:val="FF0000"/>
        </w:rPr>
        <w:t xml:space="preserve">Ampliar y </w:t>
      </w:r>
      <w:r w:rsidRPr="00301019">
        <w:rPr>
          <w:color w:val="FF0000"/>
        </w:rPr>
        <w:t>Referenciar</w:t>
      </w:r>
    </w:p>
    <w:p w:rsidR="000D03E4" w:rsidRDefault="000D03E4" w:rsidP="000D03E4"/>
    <w:p w:rsidR="00D75CEF" w:rsidRDefault="000D03E4" w:rsidP="000D03E4">
      <w:pPr>
        <w:rPr>
          <w:color w:val="FF0000"/>
        </w:rPr>
      </w:pPr>
      <w:r w:rsidRPr="000D03E4">
        <w:t>El análisis de series de tiempo es una de las herramientas más utilizadas en este campo y tiene como objetivo hacer predicciones basándose en los datos del pasado. Este tipo de análisis requiere alto rigor matemático-estadístico para ser confiable; por lo que no es escalable de manera factible a n productos por su alto costo, por lo que, en ocasiones, las empresas prefieren utilizar métodos cualitativos o empíricos.</w:t>
      </w:r>
      <w:r>
        <w:t xml:space="preserve"> </w:t>
      </w:r>
      <w:r w:rsidR="00301019" w:rsidRPr="00301019">
        <w:rPr>
          <w:color w:val="FF0000"/>
        </w:rPr>
        <w:t xml:space="preserve">Ampliar y </w:t>
      </w:r>
      <w:r w:rsidRPr="00301019">
        <w:rPr>
          <w:color w:val="FF0000"/>
        </w:rPr>
        <w:t>Referenciar</w:t>
      </w:r>
      <w:r w:rsidR="00301019">
        <w:rPr>
          <w:color w:val="FF0000"/>
        </w:rPr>
        <w:t xml:space="preserve"> con base en los métodos tradicionales</w:t>
      </w:r>
    </w:p>
    <w:p w:rsidR="000D03E4" w:rsidRDefault="000D03E4" w:rsidP="000D03E4">
      <w:pPr>
        <w:rPr>
          <w:color w:val="FF0000"/>
        </w:rPr>
      </w:pPr>
    </w:p>
    <w:p w:rsidR="000D03E4" w:rsidRDefault="000D03E4" w:rsidP="000D03E4">
      <w:r w:rsidRPr="000D03E4">
        <w:t xml:space="preserve">Los problemas </w:t>
      </w:r>
      <w:r>
        <w:t>de series de tiempo temporales se agrupan típicamente en dos tipos de análisis, de series de tiempo y longitudinales. A pesar de que sus entradas sean los mismos datos, sus acercamientos al modelamiento difieren.</w:t>
      </w:r>
      <w:r w:rsidR="00CC32EE">
        <w:t xml:space="preserve"> </w:t>
      </w:r>
      <w:r w:rsidR="00CC32EE">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Cook, &amp; Hyndman, 2019)","plainTextFormattedCitation":"(Wang, Cook, &amp; Hyndman, 2019)","previouslyFormattedCitation":"(Wang, Cook, &amp; Hyndman, 2019)"},"properties":{"noteIndex":0},"schema":"https://github.com/citation-style-language/schema/raw/master/csl-citation.json"}</w:instrText>
      </w:r>
      <w:r w:rsidR="00CC32EE">
        <w:fldChar w:fldCharType="separate"/>
      </w:r>
      <w:r w:rsidR="00F80A02" w:rsidRPr="00F80A02">
        <w:rPr>
          <w:noProof/>
        </w:rPr>
        <w:t>(Wang, Cook, &amp; Hyndman, 2019)</w:t>
      </w:r>
      <w:r w:rsidR="00CC32EE">
        <w:fldChar w:fldCharType="end"/>
      </w:r>
    </w:p>
    <w:p w:rsidR="00532285" w:rsidRDefault="00532285" w:rsidP="000D03E4"/>
    <w:p w:rsidR="00532285" w:rsidRDefault="00532285" w:rsidP="00532285">
      <w:pPr>
        <w:rPr>
          <w:lang w:val="es-CO"/>
        </w:rPr>
      </w:pPr>
      <w:r w:rsidRPr="003B2EF8">
        <w:rPr>
          <w:lang w:val="es-CO"/>
        </w:rPr>
        <w:t xml:space="preserve">Los </w:t>
      </w:r>
      <w:r>
        <w:rPr>
          <w:lang w:val="es-CO"/>
        </w:rPr>
        <w:t>programas</w:t>
      </w:r>
      <w:r w:rsidRPr="003B2EF8">
        <w:rPr>
          <w:lang w:val="es-CO"/>
        </w:rPr>
        <w:t xml:space="preserve"> ERP </w:t>
      </w:r>
      <w:r w:rsidRPr="003B2EF8">
        <w:rPr>
          <w:i/>
          <w:lang w:val="es-CO"/>
        </w:rPr>
        <w:t xml:space="preserve">(Enterprise </w:t>
      </w:r>
      <w:proofErr w:type="spellStart"/>
      <w:r w:rsidRPr="003B2EF8">
        <w:rPr>
          <w:i/>
          <w:lang w:val="es-CO"/>
        </w:rPr>
        <w:t>Resource</w:t>
      </w:r>
      <w:proofErr w:type="spellEnd"/>
      <w:r w:rsidRPr="003B2EF8">
        <w:rPr>
          <w:i/>
          <w:lang w:val="es-CO"/>
        </w:rPr>
        <w:t xml:space="preserve"> </w:t>
      </w:r>
      <w:proofErr w:type="spellStart"/>
      <w:r w:rsidRPr="003B2EF8">
        <w:rPr>
          <w:i/>
          <w:lang w:val="es-CO"/>
        </w:rPr>
        <w:t>Planning</w:t>
      </w:r>
      <w:proofErr w:type="spellEnd"/>
      <w:r w:rsidRPr="003B2EF8">
        <w:rPr>
          <w:i/>
          <w:lang w:val="es-CO"/>
        </w:rPr>
        <w:t xml:space="preserve">) </w:t>
      </w:r>
      <w:r>
        <w:rPr>
          <w:lang w:val="es-CO"/>
        </w:rPr>
        <w:t>generalmente permiten realizar exportaciones de sus datos, los cuales posteriormente pueden ser analizados para llegar a conclusiones útiles. Estimar correctamente los valores futuros de una variable es con frecuencia uno de los análisis más requeridos.</w:t>
      </w:r>
    </w:p>
    <w:p w:rsidR="00532285" w:rsidRPr="00532285" w:rsidRDefault="00532285" w:rsidP="000D03E4">
      <w:pPr>
        <w:rPr>
          <w:lang w:val="es-CO"/>
        </w:rPr>
      </w:pPr>
    </w:p>
    <w:p w:rsidR="000D03E4" w:rsidRDefault="000D03E4" w:rsidP="000D03E4"/>
    <w:p w:rsidR="00301019" w:rsidRDefault="00301019" w:rsidP="000D03E4">
      <w:pPr>
        <w:rPr>
          <w:color w:val="FF0000"/>
        </w:rPr>
      </w:pPr>
      <w:r w:rsidRPr="00301019">
        <w:rPr>
          <w:color w:val="FF0000"/>
        </w:rPr>
        <w:t>Argumentar las dificultades de los métodos tradicionales y sus limitacione</w:t>
      </w:r>
      <w:r>
        <w:rPr>
          <w:color w:val="FF0000"/>
        </w:rPr>
        <w:t>s</w:t>
      </w:r>
    </w:p>
    <w:p w:rsidR="00301019" w:rsidRDefault="00301019" w:rsidP="000D03E4">
      <w:pPr>
        <w:rPr>
          <w:color w:val="FF0000"/>
        </w:rPr>
      </w:pPr>
    </w:p>
    <w:p w:rsidR="00301019" w:rsidRPr="00301019" w:rsidRDefault="00301019" w:rsidP="000D03E4">
      <w:r w:rsidRPr="00532285">
        <w:rPr>
          <w:color w:val="0070C0"/>
        </w:rPr>
        <w:t xml:space="preserve">Posteriormente, finalizar explicando las bondades (se presenta), motivación (en la revisión de literatura no se encontró una metodología que lo resolviera) y aporte (por qué es novedoso con respecto a los demás) de la nueva metodología y por qué se desarrolla. </w:t>
      </w:r>
      <w:r w:rsidRPr="00301019">
        <w:rPr>
          <w:color w:val="FF0000"/>
        </w:rPr>
        <w:t>Utilizar el enfoque del congreso, que es aplicado de la computación a la industria de procesos.</w:t>
      </w:r>
    </w:p>
    <w:p w:rsidR="000D03E4" w:rsidRPr="000D03E4" w:rsidRDefault="000D03E4" w:rsidP="000D03E4"/>
    <w:p w:rsidR="009A2515" w:rsidRDefault="00FD4C83" w:rsidP="00F430CC">
      <w:pPr>
        <w:pStyle w:val="Heading3"/>
      </w:pPr>
      <w:r>
        <w:t>m</w:t>
      </w:r>
      <w:r w:rsidR="00262CDA">
        <w:t>étodos de pronóstico cuantitativos tradicionales</w:t>
      </w:r>
    </w:p>
    <w:p w:rsidR="003B2EF8" w:rsidRDefault="003B2EF8" w:rsidP="003B2EF8"/>
    <w:p w:rsidR="003B2EF8" w:rsidRDefault="003B2EF8" w:rsidP="003B2EF8">
      <w:pPr>
        <w:rPr>
          <w:color w:val="FF0000"/>
          <w:lang w:val="es-CO"/>
        </w:rPr>
      </w:pPr>
      <w:r>
        <w:rPr>
          <w:lang w:val="es-CO"/>
        </w:rPr>
        <w:t>Existen múltiples maneras de generar pronósticos, entre estos métodos se encuentran</w:t>
      </w:r>
      <w:r w:rsidR="00FE0C10">
        <w:rPr>
          <w:lang w:val="es-CO"/>
        </w:rPr>
        <w:t xml:space="preserve"> los cualitativos y los cuantitativos. Estos últimos requieren que exista información del pasado, </w:t>
      </w:r>
      <w:proofErr w:type="gramStart"/>
      <w:r w:rsidR="00FE0C10">
        <w:rPr>
          <w:lang w:val="es-CO"/>
        </w:rPr>
        <w:t>y</w:t>
      </w:r>
      <w:proofErr w:type="gramEnd"/>
      <w:r w:rsidR="00FE0C10">
        <w:rPr>
          <w:lang w:val="es-CO"/>
        </w:rPr>
        <w:t xml:space="preserve"> además, que sea razonable asumir que algunos patrones anteriores continuarán en el futuro. </w:t>
      </w:r>
      <w:r w:rsidR="00D32A35">
        <w:rPr>
          <w:lang w:val="es-CO"/>
        </w:rPr>
        <w:fldChar w:fldCharType="begin" w:fldLock="1"/>
      </w:r>
      <w:r w:rsidR="00F80A02">
        <w:rPr>
          <w:lang w:val="es-CO"/>
        </w:rPr>
        <w:instrText>ADDIN CSL_CITATION {"citationItems":[{"id":"ITEM-1","itemData":{"ISBN":"0987507109","abstract":"Getting started -- The forecaster's toolbox -- Judgmental forecasts -- Simple regression -- Multiple regression -- Time series decomposition -- Exponential smoothing -- ARIMA models -- Advanced forecasting methods.","author":[{"dropping-particle":"","family":"Hyndman","given":"Rob J.","non-dropping-particle":"","parse-names":false,"suffix":""},{"dropping-particle":"","family":"Athanasopoulos","given":"George","non-dropping-particle":"","parse-names":false,"suffix":""}],"container-title":"Monash University","id":"ITEM-1","issued":{"date-parts":[["2014"]]},"title":"Forecasting : principles and practice","type":"article-journal"},"uris":["http://www.mendeley.com/documents/?uuid=feabf9bf-5106-4a8f-b645-8d289c40a4ef"]}],"mendeley":{"formattedCitation":"(Hyndman &amp; Athanasopoulos, 2014)","plainTextFormattedCitation":"(Hyndman &amp; Athanasopoulos, 2014)","previouslyFormattedCitation":"(Hyndman &amp; Athanasopoulos, 2014)"},"properties":{"noteIndex":0},"schema":"https://github.com/citation-style-language/schema/raw/master/csl-citation.json"}</w:instrText>
      </w:r>
      <w:r w:rsidR="00D32A35">
        <w:rPr>
          <w:lang w:val="es-CO"/>
        </w:rPr>
        <w:fldChar w:fldCharType="separate"/>
      </w:r>
      <w:r w:rsidR="00F80A02" w:rsidRPr="00F80A02">
        <w:rPr>
          <w:noProof/>
          <w:lang w:val="es-CO"/>
        </w:rPr>
        <w:t>(Hyndman &amp; Athanasopoulos, 2014)</w:t>
      </w:r>
      <w:r w:rsidR="00D32A35">
        <w:rPr>
          <w:lang w:val="es-CO"/>
        </w:rPr>
        <w:fldChar w:fldCharType="end"/>
      </w:r>
    </w:p>
    <w:p w:rsidR="00FE0C10" w:rsidRDefault="00FE0C10" w:rsidP="003B2EF8">
      <w:pPr>
        <w:rPr>
          <w:color w:val="FF0000"/>
          <w:lang w:val="es-CO"/>
        </w:rPr>
      </w:pPr>
    </w:p>
    <w:p w:rsidR="00FE0C10" w:rsidRDefault="00572863" w:rsidP="003B2EF8">
      <w:pPr>
        <w:rPr>
          <w:lang w:val="es-CO"/>
        </w:rPr>
      </w:pPr>
      <w:r>
        <w:rPr>
          <w:lang w:val="es-CO"/>
        </w:rPr>
        <w:t xml:space="preserve">Entre los métodos cuantitativos, hay </w:t>
      </w:r>
      <w:r w:rsidR="00B30A62">
        <w:rPr>
          <w:lang w:val="es-CO"/>
        </w:rPr>
        <w:t>tres</w:t>
      </w:r>
      <w:r>
        <w:rPr>
          <w:lang w:val="es-CO"/>
        </w:rPr>
        <w:t xml:space="preserve"> muy utilizados en la industria que corresponden a los métodos más sencillos</w:t>
      </w:r>
      <w:r w:rsidR="00B30A62">
        <w:rPr>
          <w:lang w:val="es-CO"/>
        </w:rPr>
        <w:t>:</w:t>
      </w:r>
      <w:r>
        <w:rPr>
          <w:lang w:val="es-CO"/>
        </w:rPr>
        <w:t xml:space="preserve"> el promedio</w:t>
      </w:r>
      <w:r w:rsidR="00891D84">
        <w:rPr>
          <w:lang w:val="es-CO"/>
        </w:rPr>
        <w:t xml:space="preserve">, el método de </w:t>
      </w:r>
      <w:r w:rsidR="00891D84" w:rsidRPr="00891D84">
        <w:rPr>
          <w:i/>
          <w:lang w:val="es-CO"/>
        </w:rPr>
        <w:t>Naï</w:t>
      </w:r>
      <w:r w:rsidRPr="00891D84">
        <w:rPr>
          <w:i/>
          <w:lang w:val="es-CO"/>
        </w:rPr>
        <w:t>ve</w:t>
      </w:r>
      <w:r>
        <w:rPr>
          <w:lang w:val="es-CO"/>
        </w:rPr>
        <w:t xml:space="preserve"> y la deriva.</w:t>
      </w:r>
    </w:p>
    <w:p w:rsidR="00572863" w:rsidRPr="00445BBA" w:rsidRDefault="00445BBA" w:rsidP="00AB61A1">
      <w:pPr>
        <w:pStyle w:val="ListParagraph"/>
        <w:numPr>
          <w:ilvl w:val="0"/>
          <w:numId w:val="23"/>
        </w:numPr>
        <w:rPr>
          <w:b/>
          <w:lang w:val="es-CO"/>
        </w:rPr>
      </w:pPr>
      <w:r w:rsidRPr="00445BBA">
        <w:rPr>
          <w:b/>
          <w:lang w:val="es-CO"/>
        </w:rPr>
        <w:t>Método del promedio</w:t>
      </w:r>
    </w:p>
    <w:p w:rsidR="00AB61A1" w:rsidRDefault="00AB61A1" w:rsidP="00AB61A1">
      <w:pPr>
        <w:rPr>
          <w:lang w:val="es-CO"/>
        </w:rPr>
      </w:pPr>
    </w:p>
    <w:p w:rsidR="00AB61A1" w:rsidRPr="00AB61A1" w:rsidRDefault="00AB61A1" w:rsidP="00AB61A1">
      <w:pPr>
        <w:rPr>
          <w:lang w:val="es-CO"/>
        </w:rPr>
      </w:pPr>
      <w:r>
        <w:rPr>
          <w:lang w:val="es-CO"/>
        </w:rPr>
        <w:t xml:space="preserve">Consiste en tomar el promedio de las observaciones en un periodo particular y asumir el futuro como este resultado. Si denotamos los datos históricos como </w:t>
      </w:r>
      <m:oMath>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 xml:space="preserve">, …, </m:t>
        </m:r>
        <m:sSub>
          <m:sSubPr>
            <m:ctrlPr>
              <w:rPr>
                <w:rFonts w:ascii="Cambria Math" w:hAnsi="Cambria Math"/>
                <w:i/>
                <w:lang w:val="es-CO"/>
              </w:rPr>
            </m:ctrlPr>
          </m:sSubPr>
          <m:e>
            <m:r>
              <w:rPr>
                <w:rFonts w:ascii="Cambria Math" w:hAnsi="Cambria Math"/>
                <w:lang w:val="es-CO"/>
              </w:rPr>
              <m:t>y</m:t>
            </m:r>
          </m:e>
          <m:sub>
            <m:r>
              <w:rPr>
                <w:rFonts w:ascii="Cambria Math" w:hAnsi="Cambria Math"/>
                <w:lang w:val="es-CO"/>
              </w:rPr>
              <m:t>T</m:t>
            </m:r>
          </m:sub>
        </m:sSub>
      </m:oMath>
      <w:r>
        <w:rPr>
          <w:lang w:val="es-CO"/>
        </w:rPr>
        <w:t xml:space="preserve"> entonces podemos escribir los pronósticos como:</w:t>
      </w:r>
    </w:p>
    <w:p w:rsidR="00AB61A1" w:rsidRPr="00AB61A1" w:rsidRDefault="00AB61A1" w:rsidP="00AB61A1">
      <w:pPr>
        <w:rPr>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AB61A1" w:rsidRPr="00933824" w:rsidTr="00B30A62">
        <w:trPr>
          <w:trHeight w:val="540"/>
        </w:trPr>
        <w:tc>
          <w:tcPr>
            <w:tcW w:w="2499" w:type="pct"/>
            <w:vAlign w:val="center"/>
          </w:tcPr>
          <w:p w:rsidR="00891D84" w:rsidRPr="00D35B9F" w:rsidRDefault="00227CC5" w:rsidP="00891D84">
            <w:pPr>
              <w:pStyle w:val="Title"/>
              <w:rPr>
                <w:rFonts w:cs="Arial"/>
                <w:spacing w:val="-3"/>
                <w:sz w:val="20"/>
                <w:szCs w:val="20"/>
                <w:lang w:val="es-CO"/>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acc>
                  <m:accPr>
                    <m:chr m:val="̅"/>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d>
                      <m:dPr>
                        <m:ctrlPr>
                          <w:rPr>
                            <w:rFonts w:ascii="Cambria Math" w:hAnsi="Cambria Math" w:cs="Arial"/>
                            <w:i/>
                            <w:spacing w:val="-3"/>
                            <w:sz w:val="20"/>
                            <w:szCs w:val="20"/>
                            <w:lang w:val="es-CO"/>
                          </w:rPr>
                        </m:ctrlPr>
                      </m:dPr>
                      <m:e>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e>
                    </m:d>
                  </m:num>
                  <m:den>
                    <m:r>
                      <w:rPr>
                        <w:rFonts w:ascii="Cambria Math" w:hAnsi="Cambria Math" w:cs="Arial"/>
                        <w:spacing w:val="-3"/>
                        <w:sz w:val="20"/>
                        <w:szCs w:val="20"/>
                        <w:lang w:val="es-CO"/>
                      </w:rPr>
                      <m:t>T</m:t>
                    </m:r>
                  </m:den>
                </m:f>
              </m:oMath>
            </m:oMathPara>
          </w:p>
          <w:p w:rsidR="00891D84" w:rsidRPr="00891D84" w:rsidRDefault="00891D84" w:rsidP="00891D84">
            <w:pPr>
              <w:pStyle w:val="Title"/>
              <w:rPr>
                <w:rFonts w:cs="Arial"/>
                <w:bCs/>
                <w:sz w:val="20"/>
                <w:szCs w:val="20"/>
              </w:rPr>
            </w:pPr>
          </w:p>
        </w:tc>
        <w:tc>
          <w:tcPr>
            <w:tcW w:w="2501" w:type="pct"/>
            <w:vAlign w:val="center"/>
          </w:tcPr>
          <w:p w:rsidR="00AB61A1" w:rsidRPr="00933824" w:rsidRDefault="00AB61A1" w:rsidP="009C02AC">
            <w:pPr>
              <w:pStyle w:val="Title"/>
              <w:jc w:val="right"/>
              <w:rPr>
                <w:rFonts w:cs="Arial"/>
                <w:bCs/>
                <w:sz w:val="20"/>
                <w:szCs w:val="20"/>
              </w:rPr>
            </w:pPr>
            <w:r w:rsidRPr="00933824">
              <w:rPr>
                <w:rFonts w:cs="Arial"/>
                <w:bCs/>
                <w:sz w:val="20"/>
                <w:szCs w:val="20"/>
              </w:rPr>
              <w:t>(1)</w:t>
            </w:r>
          </w:p>
        </w:tc>
      </w:tr>
    </w:tbl>
    <w:p w:rsidR="00AB61A1" w:rsidRPr="00AB61A1" w:rsidRDefault="00AB61A1" w:rsidP="00AB61A1">
      <w:pPr>
        <w:rPr>
          <w:lang w:val="es-CO"/>
        </w:rPr>
      </w:pPr>
    </w:p>
    <w:p w:rsidR="009A2515" w:rsidRDefault="00891D84">
      <w:pPr>
        <w:pStyle w:val="Title"/>
        <w:jc w:val="both"/>
        <w:rPr>
          <w:rFonts w:cs="Arial"/>
          <w:sz w:val="20"/>
          <w:szCs w:val="20"/>
          <w:lang w:val="es-CO"/>
        </w:rPr>
      </w:pPr>
      <w:r w:rsidRPr="00891D84">
        <w:rPr>
          <w:rFonts w:cs="Arial"/>
          <w:spacing w:val="-3"/>
          <w:sz w:val="20"/>
          <w:szCs w:val="20"/>
          <w:lang w:val="es-CO"/>
        </w:rPr>
        <w:t xml:space="preserve">Dónde la notación </w:t>
      </w: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oMath>
      <w:r w:rsidRPr="00891D84">
        <w:rPr>
          <w:rFonts w:cs="Arial"/>
          <w:spacing w:val="-3"/>
          <w:sz w:val="20"/>
          <w:szCs w:val="20"/>
          <w:lang w:val="es-CO"/>
        </w:rPr>
        <w:t xml:space="preserve"> es una abreviación para la estimación 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t>
            </m:r>
          </m:sub>
        </m:sSub>
      </m:oMath>
      <w:r w:rsidRPr="00891D84">
        <w:rPr>
          <w:rFonts w:cs="Arial"/>
          <w:spacing w:val="-3"/>
          <w:sz w:val="20"/>
          <w:szCs w:val="20"/>
          <w:lang w:val="es-CO"/>
        </w:rPr>
        <w:t xml:space="preserve"> dados los datos históricos </w:t>
      </w:r>
      <m:oMath>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1</m:t>
            </m:r>
          </m:sub>
        </m:sSub>
        <m:r>
          <w:rPr>
            <w:rFonts w:ascii="Cambria Math" w:hAnsi="Cambria Math"/>
            <w:sz w:val="20"/>
            <w:szCs w:val="20"/>
            <w:lang w:val="es-CO"/>
          </w:rPr>
          <m:t xml:space="preserve">, …, </m:t>
        </m:r>
        <m:sSub>
          <m:sSubPr>
            <m:ctrlPr>
              <w:rPr>
                <w:rFonts w:ascii="Cambria Math" w:hAnsi="Cambria Math"/>
                <w:i/>
                <w:sz w:val="20"/>
                <w:szCs w:val="20"/>
                <w:lang w:val="es-CO"/>
              </w:rPr>
            </m:ctrlPr>
          </m:sSubPr>
          <m:e>
            <m:r>
              <w:rPr>
                <w:rFonts w:ascii="Cambria Math" w:hAnsi="Cambria Math"/>
                <w:sz w:val="20"/>
                <w:szCs w:val="20"/>
                <w:lang w:val="es-CO"/>
              </w:rPr>
              <m:t>y</m:t>
            </m:r>
          </m:e>
          <m:sub>
            <m:r>
              <w:rPr>
                <w:rFonts w:ascii="Cambria Math" w:hAnsi="Cambria Math"/>
                <w:sz w:val="20"/>
                <w:szCs w:val="20"/>
                <w:lang w:val="es-CO"/>
              </w:rPr>
              <m:t>T</m:t>
            </m:r>
          </m:sub>
        </m:sSub>
      </m:oMath>
      <w:r w:rsidR="00B30A62">
        <w:rPr>
          <w:rFonts w:cs="Arial"/>
          <w:sz w:val="20"/>
          <w:szCs w:val="20"/>
          <w:lang w:val="es-CO"/>
        </w:rPr>
        <w:t>,</w:t>
      </w:r>
      <m:oMath>
        <m:r>
          <w:rPr>
            <w:rFonts w:ascii="Cambria Math" w:hAnsi="Cambria Math" w:cs="Arial"/>
            <w:sz w:val="20"/>
            <w:szCs w:val="20"/>
            <w:lang w:val="es-CO"/>
          </w:rPr>
          <m:t>h</m:t>
        </m:r>
      </m:oMath>
      <w:r>
        <w:rPr>
          <w:rFonts w:cs="Arial"/>
          <w:sz w:val="20"/>
          <w:szCs w:val="20"/>
          <w:lang w:val="es-CO"/>
        </w:rPr>
        <w:t xml:space="preserve"> es el horizonte de pronóstico utilizado</w:t>
      </w:r>
      <w:r w:rsidR="00B30A62">
        <w:rPr>
          <w:rFonts w:cs="Arial"/>
          <w:sz w:val="20"/>
          <w:szCs w:val="20"/>
          <w:lang w:val="es-CO"/>
        </w:rPr>
        <w:t xml:space="preserve"> y el número de datos </w:t>
      </w:r>
      <m:oMath>
        <m:r>
          <w:rPr>
            <w:rFonts w:ascii="Cambria Math" w:hAnsi="Cambria Math" w:cs="Arial"/>
            <w:spacing w:val="-3"/>
            <w:sz w:val="20"/>
            <w:szCs w:val="20"/>
            <w:lang w:val="es-CO"/>
          </w:rPr>
          <m:t>T</m:t>
        </m:r>
      </m:oMath>
      <w:r>
        <w:rPr>
          <w:rFonts w:cs="Arial"/>
          <w:sz w:val="20"/>
          <w:szCs w:val="20"/>
          <w:lang w:val="es-CO"/>
        </w:rPr>
        <w:t>.</w:t>
      </w:r>
      <w:r w:rsidR="00BE5C8E">
        <w:rPr>
          <w:rFonts w:cs="Arial"/>
          <w:sz w:val="20"/>
          <w:szCs w:val="20"/>
          <w:lang w:val="es-CO"/>
        </w:rPr>
        <w:t xml:space="preserve"> Este método presenta múltiples limitaciones, entre ellas que no se tiene en cuenta la tendencia de la serie o su componente estacional.</w:t>
      </w:r>
    </w:p>
    <w:p w:rsidR="00BE5C8E" w:rsidRDefault="00BE5C8E">
      <w:pPr>
        <w:pStyle w:val="Title"/>
        <w:jc w:val="both"/>
        <w:rPr>
          <w:rFonts w:cs="Arial"/>
          <w:sz w:val="20"/>
          <w:szCs w:val="20"/>
          <w:lang w:val="es-CO"/>
        </w:rPr>
      </w:pPr>
    </w:p>
    <w:p w:rsidR="00BE5C8E" w:rsidRPr="00445BBA" w:rsidRDefault="00BE5C8E" w:rsidP="00BE5C8E">
      <w:pPr>
        <w:pStyle w:val="Title"/>
        <w:numPr>
          <w:ilvl w:val="0"/>
          <w:numId w:val="23"/>
        </w:numPr>
        <w:jc w:val="both"/>
        <w:rPr>
          <w:rFonts w:cs="Arial"/>
          <w:b/>
          <w:sz w:val="20"/>
          <w:szCs w:val="20"/>
          <w:lang w:val="es-CO"/>
        </w:rPr>
      </w:pPr>
      <w:r w:rsidRPr="00445BBA">
        <w:rPr>
          <w:rFonts w:cs="Arial"/>
          <w:b/>
          <w:sz w:val="20"/>
          <w:szCs w:val="20"/>
          <w:lang w:val="es-CO"/>
        </w:rPr>
        <w:t>Método de Naïve</w:t>
      </w:r>
    </w:p>
    <w:p w:rsidR="00BE5C8E" w:rsidRDefault="00BE5C8E" w:rsidP="00BE5C8E">
      <w:pPr>
        <w:pStyle w:val="Title"/>
        <w:jc w:val="both"/>
        <w:rPr>
          <w:rFonts w:cs="Arial"/>
          <w:sz w:val="20"/>
          <w:szCs w:val="20"/>
          <w:lang w:val="es-CO"/>
        </w:rPr>
      </w:pPr>
    </w:p>
    <w:p w:rsidR="00BE5C8E" w:rsidRDefault="00BE5C8E" w:rsidP="00BE5C8E">
      <w:pPr>
        <w:pStyle w:val="Title"/>
        <w:jc w:val="both"/>
        <w:rPr>
          <w:rFonts w:cs="Arial"/>
          <w:sz w:val="20"/>
          <w:szCs w:val="20"/>
          <w:lang w:val="es-CO"/>
        </w:rPr>
      </w:pPr>
      <w:r>
        <w:rPr>
          <w:rFonts w:cs="Arial"/>
          <w:sz w:val="20"/>
          <w:szCs w:val="20"/>
          <w:lang w:val="es-CO"/>
        </w:rPr>
        <w:t xml:space="preserve">Para producir pronósticos se utiliza </w:t>
      </w:r>
      <w:r w:rsidR="004E5D2C">
        <w:rPr>
          <w:rFonts w:cs="Arial"/>
          <w:sz w:val="20"/>
          <w:szCs w:val="20"/>
          <w:lang w:val="es-CO"/>
        </w:rPr>
        <w:t xml:space="preserve">únicamente </w:t>
      </w:r>
      <w:r>
        <w:rPr>
          <w:rFonts w:cs="Arial"/>
          <w:sz w:val="20"/>
          <w:szCs w:val="20"/>
          <w:lang w:val="es-CO"/>
        </w:rPr>
        <w:t>el valor de la última observación, es decir:</w:t>
      </w:r>
    </w:p>
    <w:p w:rsidR="00BE5C8E" w:rsidRDefault="00BE5C8E" w:rsidP="00BE5C8E">
      <w:pPr>
        <w:pStyle w:val="Title"/>
        <w:jc w:val="both"/>
        <w:rPr>
          <w:rFonts w:cs="Arial"/>
          <w:sz w:val="20"/>
          <w:szCs w:val="20"/>
          <w:lang w:val="es-CO"/>
        </w:rPr>
      </w:pPr>
    </w:p>
    <w:p w:rsidR="00BE5C8E" w:rsidRPr="00BE5C8E" w:rsidRDefault="00BE5C8E" w:rsidP="00BE5C8E">
      <w:pPr>
        <w:pStyle w:val="Title"/>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227CC5" w:rsidP="009C02AC">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Title"/>
              <w:jc w:val="right"/>
              <w:rPr>
                <w:rFonts w:cs="Arial"/>
                <w:bCs/>
                <w:sz w:val="20"/>
                <w:szCs w:val="20"/>
              </w:rPr>
            </w:pPr>
            <w:r>
              <w:rPr>
                <w:rFonts w:cs="Arial"/>
                <w:bCs/>
                <w:sz w:val="20"/>
                <w:szCs w:val="20"/>
              </w:rPr>
              <w:t>(2</w:t>
            </w:r>
            <w:r w:rsidRPr="00933824">
              <w:rPr>
                <w:rFonts w:cs="Arial"/>
                <w:bCs/>
                <w:sz w:val="20"/>
                <w:szCs w:val="20"/>
              </w:rPr>
              <w:t>)</w:t>
            </w:r>
          </w:p>
        </w:tc>
      </w:tr>
    </w:tbl>
    <w:p w:rsidR="00BE5C8E" w:rsidRDefault="00BE5C8E" w:rsidP="00BE5C8E">
      <w:pPr>
        <w:pStyle w:val="Title"/>
        <w:jc w:val="both"/>
        <w:rPr>
          <w:rFonts w:cs="Arial"/>
          <w:sz w:val="20"/>
          <w:szCs w:val="20"/>
          <w:lang w:val="es-CO"/>
        </w:rPr>
      </w:pPr>
    </w:p>
    <w:p w:rsidR="00BE5C8E" w:rsidRDefault="00BE5C8E" w:rsidP="00BE5C8E">
      <w:pPr>
        <w:pStyle w:val="Title"/>
        <w:jc w:val="both"/>
        <w:rPr>
          <w:rFonts w:cs="Arial"/>
          <w:sz w:val="20"/>
          <w:szCs w:val="20"/>
          <w:lang w:val="es-CO"/>
        </w:rPr>
      </w:pPr>
      <w:r>
        <w:rPr>
          <w:rFonts w:cs="Arial"/>
          <w:sz w:val="20"/>
          <w:szCs w:val="20"/>
          <w:lang w:val="es-CO"/>
        </w:rPr>
        <w:t xml:space="preserve">Este es un método que funciona especialmente bien en </w:t>
      </w:r>
      <w:r w:rsidR="004E5D2C">
        <w:rPr>
          <w:rFonts w:cs="Arial"/>
          <w:sz w:val="20"/>
          <w:szCs w:val="20"/>
          <w:lang w:val="es-CO"/>
        </w:rPr>
        <w:t>estructuras económicas y financieras</w:t>
      </w:r>
      <w:r w:rsidR="00B30A62">
        <w:rPr>
          <w:rFonts w:cs="Arial"/>
          <w:sz w:val="20"/>
          <w:szCs w:val="20"/>
          <w:lang w:val="es-CO"/>
        </w:rPr>
        <w:t>, porque funciona</w:t>
      </w:r>
      <w:r>
        <w:rPr>
          <w:rFonts w:cs="Arial"/>
          <w:sz w:val="20"/>
          <w:szCs w:val="20"/>
          <w:lang w:val="es-CO"/>
        </w:rPr>
        <w:t xml:space="preserve"> de manera óptima cuando los datos se ajustan a un modelo de caminata aleatoria, es decir:</w:t>
      </w:r>
    </w:p>
    <w:p w:rsidR="00BE5C8E" w:rsidRDefault="00BE5C8E" w:rsidP="00BE5C8E">
      <w:pPr>
        <w:pStyle w:val="Title"/>
        <w:jc w:val="both"/>
        <w:rPr>
          <w:rFonts w:cs="Arial"/>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BE5C8E" w:rsidRPr="00933824" w:rsidTr="009C02AC">
        <w:tc>
          <w:tcPr>
            <w:tcW w:w="2499" w:type="pct"/>
            <w:vAlign w:val="center"/>
          </w:tcPr>
          <w:p w:rsidR="00BE5C8E" w:rsidRPr="00D35B9F" w:rsidRDefault="00227CC5" w:rsidP="00BE5C8E">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m:oMathPara>
          </w:p>
        </w:tc>
        <w:tc>
          <w:tcPr>
            <w:tcW w:w="2501" w:type="pct"/>
            <w:vAlign w:val="center"/>
          </w:tcPr>
          <w:p w:rsidR="00BE5C8E" w:rsidRPr="00933824" w:rsidRDefault="00BE5C8E" w:rsidP="009C02AC">
            <w:pPr>
              <w:pStyle w:val="Title"/>
              <w:jc w:val="right"/>
              <w:rPr>
                <w:rFonts w:cs="Arial"/>
                <w:bCs/>
                <w:sz w:val="20"/>
                <w:szCs w:val="20"/>
              </w:rPr>
            </w:pPr>
            <w:r>
              <w:rPr>
                <w:rFonts w:cs="Arial"/>
                <w:bCs/>
                <w:sz w:val="20"/>
                <w:szCs w:val="20"/>
              </w:rPr>
              <w:t>(</w:t>
            </w:r>
            <w:r w:rsidR="004E5D2C">
              <w:rPr>
                <w:rFonts w:cs="Arial"/>
                <w:bCs/>
                <w:sz w:val="20"/>
                <w:szCs w:val="20"/>
              </w:rPr>
              <w:t>3</w:t>
            </w:r>
            <w:r w:rsidRPr="00933824">
              <w:rPr>
                <w:rFonts w:cs="Arial"/>
                <w:bCs/>
                <w:sz w:val="20"/>
                <w:szCs w:val="20"/>
              </w:rPr>
              <w:t>)</w:t>
            </w:r>
          </w:p>
        </w:tc>
      </w:tr>
    </w:tbl>
    <w:p w:rsidR="00BE5C8E" w:rsidRDefault="00BE5C8E" w:rsidP="00BE5C8E">
      <w:pPr>
        <w:pStyle w:val="Title"/>
        <w:jc w:val="both"/>
        <w:rPr>
          <w:rFonts w:cs="Arial"/>
          <w:sz w:val="20"/>
          <w:szCs w:val="20"/>
          <w:lang w:val="es-CO"/>
        </w:rPr>
      </w:pPr>
    </w:p>
    <w:p w:rsidR="00BE5C8E" w:rsidRDefault="00BE5C8E" w:rsidP="00BE5C8E">
      <w:pPr>
        <w:pStyle w:val="Title"/>
        <w:jc w:val="both"/>
        <w:rPr>
          <w:rFonts w:cs="Arial"/>
          <w:spacing w:val="-3"/>
          <w:sz w:val="20"/>
          <w:szCs w:val="20"/>
          <w:lang w:val="es-CO"/>
        </w:rPr>
      </w:pPr>
      <w:r>
        <w:rPr>
          <w:rFonts w:cs="Arial"/>
          <w:sz w:val="20"/>
          <w:szCs w:val="20"/>
          <w:lang w:val="es-CO"/>
        </w:rPr>
        <w:lastRenderedPageBreak/>
        <w:t xml:space="preserve">Dónde </w:t>
      </w:r>
      <m:oMath>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ε</m:t>
            </m:r>
          </m:e>
          <m:sub>
            <m:r>
              <w:rPr>
                <w:rFonts w:ascii="Cambria Math" w:hAnsi="Cambria Math" w:cs="Arial"/>
                <w:spacing w:val="-3"/>
                <w:sz w:val="20"/>
                <w:szCs w:val="20"/>
                <w:lang w:val="es-CO"/>
              </w:rPr>
              <m:t>t</m:t>
            </m:r>
          </m:sub>
        </m:sSub>
      </m:oMath>
      <w:r>
        <w:rPr>
          <w:rFonts w:cs="Arial"/>
          <w:spacing w:val="-3"/>
          <w:sz w:val="20"/>
          <w:szCs w:val="20"/>
          <w:lang w:val="es-CO"/>
        </w:rPr>
        <w:t xml:space="preserve"> es un ruido blanco. Esto ocurre porque los movimientos futuros son impredecibles, y tienen una probabilidad igual de ser superiores o inferiores al valor actual, por lo que el mejor pronóstico</w:t>
      </w:r>
      <w:r w:rsidR="004E5D2C">
        <w:rPr>
          <w:rFonts w:cs="Arial"/>
          <w:spacing w:val="-3"/>
          <w:sz w:val="20"/>
          <w:szCs w:val="20"/>
          <w:lang w:val="es-CO"/>
        </w:rPr>
        <w:t xml:space="preserve"> se define con el método de Naïve.</w:t>
      </w:r>
    </w:p>
    <w:p w:rsidR="004E5D2C" w:rsidRDefault="004E5D2C" w:rsidP="00BE5C8E">
      <w:pPr>
        <w:pStyle w:val="Title"/>
        <w:jc w:val="both"/>
        <w:rPr>
          <w:rFonts w:cs="Arial"/>
          <w:spacing w:val="-3"/>
          <w:sz w:val="20"/>
          <w:szCs w:val="20"/>
          <w:lang w:val="es-CO"/>
        </w:rPr>
      </w:pPr>
    </w:p>
    <w:p w:rsidR="004E5D2C" w:rsidRDefault="004E5D2C" w:rsidP="00BE5C8E">
      <w:pPr>
        <w:pStyle w:val="Title"/>
        <w:jc w:val="both"/>
        <w:rPr>
          <w:rFonts w:cs="Arial"/>
          <w:spacing w:val="-3"/>
          <w:sz w:val="20"/>
          <w:szCs w:val="20"/>
          <w:lang w:val="es-CO"/>
        </w:rPr>
      </w:pPr>
      <w:r>
        <w:rPr>
          <w:rFonts w:cs="Arial"/>
          <w:spacing w:val="-3"/>
          <w:sz w:val="20"/>
          <w:szCs w:val="20"/>
          <w:lang w:val="es-CO"/>
        </w:rPr>
        <w:t xml:space="preserve">Similarmente, para series estacionales, también es posible utilizar el método </w:t>
      </w:r>
      <w:r w:rsidR="00445BBA">
        <w:rPr>
          <w:rFonts w:cs="Arial"/>
          <w:spacing w:val="-3"/>
          <w:sz w:val="20"/>
          <w:szCs w:val="20"/>
          <w:lang w:val="es-CO"/>
        </w:rPr>
        <w:t>Naïve</w:t>
      </w:r>
      <w:r>
        <w:rPr>
          <w:rFonts w:cs="Arial"/>
          <w:spacing w:val="-3"/>
          <w:sz w:val="20"/>
          <w:szCs w:val="20"/>
          <w:lang w:val="es-CO"/>
        </w:rPr>
        <w:t xml:space="preserve"> estacional, que toma el mismo valor del periodo estacional anterior</w:t>
      </w:r>
      <w:r w:rsidR="009C02AC">
        <w:rPr>
          <w:rFonts w:cs="Arial"/>
          <w:spacing w:val="-3"/>
          <w:sz w:val="20"/>
          <w:szCs w:val="20"/>
          <w:lang w:val="es-CO"/>
        </w:rPr>
        <w:t xml:space="preserve"> como pronóstico, es decir:</w:t>
      </w:r>
    </w:p>
    <w:p w:rsidR="00C653AC" w:rsidRDefault="00C653AC" w:rsidP="00BE5C8E">
      <w:pPr>
        <w:pStyle w:val="Title"/>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C653AC" w:rsidRPr="00933824" w:rsidTr="00C653AC">
        <w:tc>
          <w:tcPr>
            <w:tcW w:w="2499" w:type="pct"/>
            <w:vAlign w:val="center"/>
          </w:tcPr>
          <w:p w:rsidR="00C653AC" w:rsidRPr="00D35B9F" w:rsidRDefault="00227CC5" w:rsidP="00C653AC">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T+h-m(k+1)</m:t>
                    </m:r>
                  </m:sub>
                </m:sSub>
              </m:oMath>
            </m:oMathPara>
          </w:p>
        </w:tc>
        <w:tc>
          <w:tcPr>
            <w:tcW w:w="2501" w:type="pct"/>
            <w:vAlign w:val="center"/>
          </w:tcPr>
          <w:p w:rsidR="00C653AC" w:rsidRPr="00933824" w:rsidRDefault="00D35B9F" w:rsidP="00C653AC">
            <w:pPr>
              <w:pStyle w:val="Title"/>
              <w:jc w:val="right"/>
              <w:rPr>
                <w:rFonts w:cs="Arial"/>
                <w:bCs/>
                <w:sz w:val="20"/>
                <w:szCs w:val="20"/>
              </w:rPr>
            </w:pPr>
            <w:r>
              <w:rPr>
                <w:rFonts w:cs="Arial"/>
                <w:bCs/>
                <w:sz w:val="20"/>
                <w:szCs w:val="20"/>
              </w:rPr>
              <w:t>(4</w:t>
            </w:r>
            <w:r w:rsidR="00C653AC" w:rsidRPr="00933824">
              <w:rPr>
                <w:rFonts w:cs="Arial"/>
                <w:bCs/>
                <w:sz w:val="20"/>
                <w:szCs w:val="20"/>
              </w:rPr>
              <w:t>)</w:t>
            </w:r>
          </w:p>
        </w:tc>
      </w:tr>
    </w:tbl>
    <w:p w:rsidR="00D35B9F" w:rsidRDefault="00D35B9F" w:rsidP="00BE5C8E">
      <w:pPr>
        <w:pStyle w:val="Title"/>
        <w:jc w:val="both"/>
        <w:rPr>
          <w:rFonts w:cs="Arial"/>
          <w:spacing w:val="-3"/>
          <w:sz w:val="20"/>
          <w:szCs w:val="20"/>
          <w:lang w:val="es-CO"/>
        </w:rPr>
      </w:pPr>
    </w:p>
    <w:p w:rsidR="00C653AC" w:rsidRDefault="00C653AC" w:rsidP="00BE5C8E">
      <w:pPr>
        <w:pStyle w:val="Title"/>
        <w:jc w:val="both"/>
        <w:rPr>
          <w:rFonts w:cs="Arial"/>
          <w:spacing w:val="-3"/>
          <w:sz w:val="20"/>
          <w:szCs w:val="20"/>
          <w:lang w:val="es-CO"/>
        </w:rPr>
      </w:pPr>
      <w:r>
        <w:rPr>
          <w:rFonts w:cs="Arial"/>
          <w:spacing w:val="-3"/>
          <w:sz w:val="20"/>
          <w:szCs w:val="20"/>
          <w:lang w:val="es-CO"/>
        </w:rPr>
        <w:t xml:space="preserve">Dónde m es el periodo estacional y </w:t>
      </w:r>
      <w:r w:rsidR="00D35B9F">
        <w:rPr>
          <w:rFonts w:cs="Arial"/>
          <w:spacing w:val="-3"/>
          <w:sz w:val="20"/>
          <w:szCs w:val="20"/>
          <w:lang w:val="es-CO"/>
        </w:rPr>
        <w:t xml:space="preserve">k es la parte entera de (h-1) / m, esto significa, que si por ejemplo se está tratando con datos mensuales, los valores futuros para marzo serán iguales al valor de marzo del año </w:t>
      </w:r>
      <w:r w:rsidR="00B30A62">
        <w:rPr>
          <w:rFonts w:cs="Arial"/>
          <w:spacing w:val="-3"/>
          <w:sz w:val="20"/>
          <w:szCs w:val="20"/>
          <w:lang w:val="es-CO"/>
        </w:rPr>
        <w:t>anterior.</w:t>
      </w:r>
    </w:p>
    <w:p w:rsidR="00D35B9F" w:rsidRDefault="00D35B9F" w:rsidP="00BE5C8E">
      <w:pPr>
        <w:pStyle w:val="Title"/>
        <w:jc w:val="both"/>
        <w:rPr>
          <w:rFonts w:cs="Arial"/>
          <w:spacing w:val="-3"/>
          <w:sz w:val="20"/>
          <w:szCs w:val="20"/>
          <w:lang w:val="es-CO"/>
        </w:rPr>
      </w:pPr>
    </w:p>
    <w:p w:rsidR="00D35B9F" w:rsidRPr="00445BBA" w:rsidRDefault="00D35B9F" w:rsidP="00445BBA">
      <w:pPr>
        <w:pStyle w:val="Title"/>
        <w:numPr>
          <w:ilvl w:val="0"/>
          <w:numId w:val="23"/>
        </w:numPr>
        <w:jc w:val="both"/>
        <w:rPr>
          <w:rFonts w:cs="Arial"/>
          <w:b/>
          <w:spacing w:val="-3"/>
          <w:sz w:val="20"/>
          <w:szCs w:val="20"/>
          <w:lang w:val="es-CO"/>
        </w:rPr>
      </w:pPr>
      <w:r w:rsidRPr="00445BBA">
        <w:rPr>
          <w:rFonts w:cs="Arial"/>
          <w:b/>
          <w:spacing w:val="-3"/>
          <w:sz w:val="20"/>
          <w:szCs w:val="20"/>
          <w:lang w:val="es-CO"/>
        </w:rPr>
        <w:t>Método de la deriva</w:t>
      </w:r>
    </w:p>
    <w:p w:rsidR="00D35B9F" w:rsidRDefault="00D35B9F" w:rsidP="00BE5C8E">
      <w:pPr>
        <w:pStyle w:val="Title"/>
        <w:jc w:val="both"/>
        <w:rPr>
          <w:rFonts w:cs="Arial"/>
          <w:spacing w:val="-3"/>
          <w:sz w:val="20"/>
          <w:szCs w:val="20"/>
          <w:lang w:val="es-CO"/>
        </w:rPr>
      </w:pPr>
    </w:p>
    <w:p w:rsidR="00D35B9F" w:rsidRDefault="00B30A62" w:rsidP="00BE5C8E">
      <w:pPr>
        <w:pStyle w:val="Title"/>
        <w:jc w:val="both"/>
        <w:rPr>
          <w:rFonts w:cs="Arial"/>
          <w:spacing w:val="-3"/>
          <w:sz w:val="20"/>
          <w:szCs w:val="20"/>
          <w:lang w:val="es-CO"/>
        </w:rPr>
      </w:pPr>
      <w:r>
        <w:rPr>
          <w:rFonts w:cs="Arial"/>
          <w:spacing w:val="-3"/>
          <w:sz w:val="20"/>
          <w:szCs w:val="20"/>
          <w:lang w:val="es-CO"/>
        </w:rPr>
        <w:t>Es u</w:t>
      </w:r>
      <w:r w:rsidR="00D35B9F">
        <w:rPr>
          <w:rFonts w:cs="Arial"/>
          <w:spacing w:val="-3"/>
          <w:sz w:val="20"/>
          <w:szCs w:val="20"/>
          <w:lang w:val="es-CO"/>
        </w:rPr>
        <w:t>na variación del método de Naïve</w:t>
      </w:r>
      <w:r>
        <w:rPr>
          <w:rFonts w:cs="Arial"/>
          <w:spacing w:val="-3"/>
          <w:sz w:val="20"/>
          <w:szCs w:val="20"/>
          <w:lang w:val="es-CO"/>
        </w:rPr>
        <w:t xml:space="preserve"> que considera</w:t>
      </w:r>
      <w:r w:rsidR="00D35B9F">
        <w:rPr>
          <w:rFonts w:cs="Arial"/>
          <w:spacing w:val="-3"/>
          <w:sz w:val="20"/>
          <w:szCs w:val="20"/>
          <w:lang w:val="es-CO"/>
        </w:rPr>
        <w:t xml:space="preserve"> que los pronósticos crezcan o no a través del tiempo, donde la </w:t>
      </w:r>
      <w:r>
        <w:rPr>
          <w:rFonts w:cs="Arial"/>
          <w:spacing w:val="-3"/>
          <w:sz w:val="20"/>
          <w:szCs w:val="20"/>
          <w:lang w:val="es-CO"/>
        </w:rPr>
        <w:t>tasa</w:t>
      </w:r>
      <w:r w:rsidR="00D35B9F">
        <w:rPr>
          <w:rFonts w:cs="Arial"/>
          <w:spacing w:val="-3"/>
          <w:sz w:val="20"/>
          <w:szCs w:val="20"/>
          <w:lang w:val="es-CO"/>
        </w:rPr>
        <w:t xml:space="preserve"> de cambio se denomina deriva, que es equivalente al cambio promedio visto entre dos puntos que contienen los datos, por lo que el pronóstico es equivalente a:</w:t>
      </w:r>
    </w:p>
    <w:p w:rsidR="00D35B9F" w:rsidRDefault="00D35B9F" w:rsidP="00BE5C8E">
      <w:pPr>
        <w:pStyle w:val="Title"/>
        <w:jc w:val="both"/>
        <w:rPr>
          <w:rFonts w:cs="Arial"/>
          <w:spacing w:val="-3"/>
          <w:sz w:val="20"/>
          <w:szCs w:val="20"/>
          <w:lang w:val="es-CO"/>
        </w:rPr>
      </w:pPr>
    </w:p>
    <w:tbl>
      <w:tblPr>
        <w:tblW w:w="5000" w:type="pct"/>
        <w:tblCellMar>
          <w:left w:w="70" w:type="dxa"/>
          <w:right w:w="70" w:type="dxa"/>
        </w:tblCellMar>
        <w:tblLook w:val="0000" w:firstRow="0" w:lastRow="0" w:firstColumn="0" w:lastColumn="0" w:noHBand="0" w:noVBand="0"/>
      </w:tblPr>
      <w:tblGrid>
        <w:gridCol w:w="4818"/>
        <w:gridCol w:w="4821"/>
      </w:tblGrid>
      <w:tr w:rsidR="00D35B9F" w:rsidRPr="00933824" w:rsidTr="00E245FC">
        <w:tc>
          <w:tcPr>
            <w:tcW w:w="2499" w:type="pct"/>
            <w:vAlign w:val="center"/>
          </w:tcPr>
          <w:p w:rsidR="00D35B9F" w:rsidRPr="00D35B9F" w:rsidRDefault="00227CC5" w:rsidP="00445BBA">
            <w:pPr>
              <w:pStyle w:val="Title"/>
              <w:rPr>
                <w:rFonts w:cs="Arial"/>
                <w:bCs/>
                <w:sz w:val="20"/>
                <w:szCs w:val="20"/>
              </w:rPr>
            </w:pPr>
            <m:oMathPara>
              <m:oMathParaPr>
                <m:jc m:val="left"/>
              </m:oMathParaPr>
              <m:oMath>
                <m:sSub>
                  <m:sSubPr>
                    <m:ctrlPr>
                      <w:rPr>
                        <w:rFonts w:ascii="Cambria Math" w:hAnsi="Cambria Math" w:cs="Arial"/>
                        <w:i/>
                        <w:spacing w:val="-3"/>
                        <w:sz w:val="20"/>
                        <w:szCs w:val="20"/>
                        <w:lang w:val="es-CO"/>
                      </w:rPr>
                    </m:ctrlPr>
                  </m:sSubPr>
                  <m:e>
                    <m:acc>
                      <m:accPr>
                        <m:ctrlPr>
                          <w:rPr>
                            <w:rFonts w:ascii="Cambria Math" w:hAnsi="Cambria Math" w:cs="Arial"/>
                            <w:i/>
                            <w:spacing w:val="-3"/>
                            <w:sz w:val="20"/>
                            <w:szCs w:val="20"/>
                            <w:lang w:val="es-CO"/>
                          </w:rPr>
                        </m:ctrlPr>
                      </m:accPr>
                      <m:e>
                        <m:r>
                          <w:rPr>
                            <w:rFonts w:ascii="Cambria Math" w:hAnsi="Cambria Math" w:cs="Arial"/>
                            <w:spacing w:val="-3"/>
                            <w:sz w:val="20"/>
                            <w:szCs w:val="20"/>
                            <w:lang w:val="es-CO"/>
                          </w:rPr>
                          <m:t>y</m:t>
                        </m:r>
                      </m:e>
                    </m:acc>
                  </m:e>
                  <m:sub>
                    <m:r>
                      <w:rPr>
                        <w:rFonts w:ascii="Cambria Math" w:hAnsi="Cambria Math" w:cs="Arial"/>
                        <w:spacing w:val="-3"/>
                        <w:sz w:val="20"/>
                        <w:szCs w:val="20"/>
                        <w:lang w:val="es-CO"/>
                      </w:rPr>
                      <m:t>T+h|T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f>
                  <m:fPr>
                    <m:ctrlPr>
                      <w:rPr>
                        <w:rFonts w:ascii="Cambria Math" w:hAnsi="Cambria Math" w:cs="Arial"/>
                        <w:i/>
                        <w:spacing w:val="-3"/>
                        <w:sz w:val="20"/>
                        <w:szCs w:val="20"/>
                        <w:lang w:val="es-CO"/>
                      </w:rPr>
                    </m:ctrlPr>
                  </m:fPr>
                  <m:num>
                    <m:r>
                      <w:rPr>
                        <w:rFonts w:ascii="Cambria Math" w:hAnsi="Cambria Math" w:cs="Arial"/>
                        <w:spacing w:val="-3"/>
                        <w:sz w:val="20"/>
                        <w:szCs w:val="20"/>
                        <w:lang w:val="es-CO"/>
                      </w:rPr>
                      <m:t>h</m:t>
                    </m:r>
                  </m:num>
                  <m:den>
                    <m:r>
                      <w:rPr>
                        <w:rFonts w:ascii="Cambria Math" w:hAnsi="Cambria Math" w:cs="Arial"/>
                        <w:spacing w:val="-3"/>
                        <w:sz w:val="20"/>
                        <w:szCs w:val="20"/>
                        <w:lang w:val="es-CO"/>
                      </w:rPr>
                      <m:t>T-1</m:t>
                    </m:r>
                  </m:den>
                </m:f>
                <m:nary>
                  <m:naryPr>
                    <m:chr m:val="∑"/>
                    <m:limLoc m:val="undOvr"/>
                    <m:ctrlPr>
                      <w:rPr>
                        <w:rFonts w:ascii="Cambria Math" w:hAnsi="Cambria Math" w:cs="Arial"/>
                        <w:i/>
                        <w:spacing w:val="-3"/>
                        <w:sz w:val="20"/>
                        <w:szCs w:val="20"/>
                        <w:lang w:val="es-CO"/>
                      </w:rPr>
                    </m:ctrlPr>
                  </m:naryPr>
                  <m:sub>
                    <m:r>
                      <w:rPr>
                        <w:rFonts w:ascii="Cambria Math" w:hAnsi="Cambria Math" w:cs="Arial"/>
                        <w:spacing w:val="-3"/>
                        <w:sz w:val="20"/>
                        <w:szCs w:val="20"/>
                        <w:lang w:val="es-CO"/>
                      </w:rPr>
                      <m:t>t=2</m:t>
                    </m:r>
                  </m:sub>
                  <m:sup>
                    <m:r>
                      <w:rPr>
                        <w:rFonts w:ascii="Cambria Math" w:hAnsi="Cambria Math" w:cs="Arial"/>
                        <w:spacing w:val="-3"/>
                        <w:sz w:val="20"/>
                        <w:szCs w:val="20"/>
                        <w:lang w:val="es-CO"/>
                      </w:rPr>
                      <m:t>T</m:t>
                    </m:r>
                  </m:sup>
                  <m:e>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t-1</m:t>
                        </m:r>
                      </m:sub>
                    </m:sSub>
                    <m:r>
                      <w:rPr>
                        <w:rFonts w:ascii="Cambria Math" w:hAnsi="Cambria Math" w:cs="Arial"/>
                        <w:spacing w:val="-3"/>
                        <w:sz w:val="20"/>
                        <w:szCs w:val="20"/>
                        <w:lang w:val="es-CO"/>
                      </w:rPr>
                      <m:t>)</m:t>
                    </m:r>
                  </m:e>
                </m:nary>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+h</m:t>
                </m:r>
                <m:d>
                  <m:dPr>
                    <m:ctrlPr>
                      <w:rPr>
                        <w:rFonts w:ascii="Cambria Math" w:hAnsi="Cambria Math" w:cs="Arial"/>
                        <w:i/>
                        <w:spacing w:val="-3"/>
                        <w:sz w:val="20"/>
                        <w:szCs w:val="20"/>
                        <w:lang w:val="es-CO"/>
                      </w:rPr>
                    </m:ctrlPr>
                  </m:dPr>
                  <m:e>
                    <m:f>
                      <m:fPr>
                        <m:ctrlPr>
                          <w:rPr>
                            <w:rFonts w:ascii="Cambria Math" w:hAnsi="Cambria Math" w:cs="Arial"/>
                            <w:i/>
                            <w:spacing w:val="-3"/>
                            <w:sz w:val="20"/>
                            <w:szCs w:val="20"/>
                            <w:lang w:val="es-CO"/>
                          </w:rPr>
                        </m:ctrlPr>
                      </m:fPr>
                      <m:num>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T</m:t>
                            </m:r>
                          </m:sub>
                        </m:sSub>
                        <m:r>
                          <w:rPr>
                            <w:rFonts w:ascii="Cambria Math" w:hAnsi="Cambria Math" w:cs="Arial"/>
                            <w:spacing w:val="-3"/>
                            <w:sz w:val="20"/>
                            <w:szCs w:val="20"/>
                            <w:lang w:val="es-CO"/>
                          </w:rPr>
                          <m:t>-</m:t>
                        </m:r>
                        <m:sSub>
                          <m:sSubPr>
                            <m:ctrlPr>
                              <w:rPr>
                                <w:rFonts w:ascii="Cambria Math" w:hAnsi="Cambria Math" w:cs="Arial"/>
                                <w:i/>
                                <w:spacing w:val="-3"/>
                                <w:sz w:val="20"/>
                                <w:szCs w:val="20"/>
                                <w:lang w:val="es-CO"/>
                              </w:rPr>
                            </m:ctrlPr>
                          </m:sSubPr>
                          <m:e>
                            <m:r>
                              <w:rPr>
                                <w:rFonts w:ascii="Cambria Math" w:hAnsi="Cambria Math" w:cs="Arial"/>
                                <w:spacing w:val="-3"/>
                                <w:sz w:val="20"/>
                                <w:szCs w:val="20"/>
                                <w:lang w:val="es-CO"/>
                              </w:rPr>
                              <m:t>y</m:t>
                            </m:r>
                          </m:e>
                          <m:sub>
                            <m:r>
                              <w:rPr>
                                <w:rFonts w:ascii="Cambria Math" w:hAnsi="Cambria Math" w:cs="Arial"/>
                                <w:spacing w:val="-3"/>
                                <w:sz w:val="20"/>
                                <w:szCs w:val="20"/>
                                <w:lang w:val="es-CO"/>
                              </w:rPr>
                              <m:t>1</m:t>
                            </m:r>
                          </m:sub>
                        </m:sSub>
                      </m:num>
                      <m:den>
                        <m:r>
                          <w:rPr>
                            <w:rFonts w:ascii="Cambria Math" w:hAnsi="Cambria Math" w:cs="Arial"/>
                            <w:spacing w:val="-3"/>
                            <w:sz w:val="20"/>
                            <w:szCs w:val="20"/>
                            <w:lang w:val="es-CO"/>
                          </w:rPr>
                          <m:t>T-1</m:t>
                        </m:r>
                      </m:den>
                    </m:f>
                  </m:e>
                </m:d>
              </m:oMath>
            </m:oMathPara>
          </w:p>
        </w:tc>
        <w:tc>
          <w:tcPr>
            <w:tcW w:w="2501" w:type="pct"/>
            <w:vAlign w:val="center"/>
          </w:tcPr>
          <w:p w:rsidR="00D35B9F" w:rsidRPr="00933824" w:rsidRDefault="00445BBA" w:rsidP="00E245FC">
            <w:pPr>
              <w:pStyle w:val="Title"/>
              <w:jc w:val="right"/>
              <w:rPr>
                <w:rFonts w:cs="Arial"/>
                <w:bCs/>
                <w:sz w:val="20"/>
                <w:szCs w:val="20"/>
              </w:rPr>
            </w:pPr>
            <w:r>
              <w:rPr>
                <w:rFonts w:cs="Arial"/>
                <w:bCs/>
                <w:sz w:val="20"/>
                <w:szCs w:val="20"/>
              </w:rPr>
              <w:t>(5</w:t>
            </w:r>
            <w:r w:rsidR="00D35B9F" w:rsidRPr="00933824">
              <w:rPr>
                <w:rFonts w:cs="Arial"/>
                <w:bCs/>
                <w:sz w:val="20"/>
                <w:szCs w:val="20"/>
              </w:rPr>
              <w:t>)</w:t>
            </w:r>
          </w:p>
        </w:tc>
      </w:tr>
    </w:tbl>
    <w:p w:rsidR="009C02AC" w:rsidRDefault="00445BBA" w:rsidP="00BE5C8E">
      <w:pPr>
        <w:pStyle w:val="Title"/>
        <w:jc w:val="both"/>
        <w:rPr>
          <w:rFonts w:cs="Arial"/>
          <w:sz w:val="20"/>
          <w:szCs w:val="20"/>
          <w:lang w:val="es-CO"/>
        </w:rPr>
      </w:pPr>
      <w:r>
        <w:rPr>
          <w:rFonts w:cs="Arial"/>
          <w:sz w:val="20"/>
          <w:szCs w:val="20"/>
          <w:lang w:val="es-CO"/>
        </w:rPr>
        <w:t xml:space="preserve">Esto </w:t>
      </w:r>
      <w:r w:rsidR="00262CDA">
        <w:rPr>
          <w:rFonts w:cs="Arial"/>
          <w:sz w:val="20"/>
          <w:szCs w:val="20"/>
          <w:lang w:val="es-CO"/>
        </w:rPr>
        <w:t>corresponde</w:t>
      </w:r>
      <w:r>
        <w:rPr>
          <w:rFonts w:cs="Arial"/>
          <w:sz w:val="20"/>
          <w:szCs w:val="20"/>
          <w:lang w:val="es-CO"/>
        </w:rPr>
        <w:t xml:space="preserve"> a trazar una línea entre la primera y la</w:t>
      </w:r>
      <w:r w:rsidR="00B30A62">
        <w:rPr>
          <w:rFonts w:cs="Arial"/>
          <w:sz w:val="20"/>
          <w:szCs w:val="20"/>
          <w:lang w:val="es-CO"/>
        </w:rPr>
        <w:t xml:space="preserve"> última observación y realizar</w:t>
      </w:r>
      <w:r>
        <w:rPr>
          <w:rFonts w:cs="Arial"/>
          <w:sz w:val="20"/>
          <w:szCs w:val="20"/>
          <w:lang w:val="es-CO"/>
        </w:rPr>
        <w:t xml:space="preserve"> una extrapolación a futuro</w:t>
      </w:r>
      <w:r w:rsidR="00B30A62">
        <w:rPr>
          <w:rFonts w:cs="Arial"/>
          <w:sz w:val="20"/>
          <w:szCs w:val="20"/>
          <w:lang w:val="es-CO"/>
        </w:rPr>
        <w:t xml:space="preserve"> con la misma pendiente</w:t>
      </w:r>
      <w:r>
        <w:rPr>
          <w:rFonts w:cs="Arial"/>
          <w:sz w:val="20"/>
          <w:szCs w:val="20"/>
          <w:lang w:val="es-CO"/>
        </w:rPr>
        <w:t>.</w:t>
      </w:r>
    </w:p>
    <w:p w:rsidR="00BE5C8E" w:rsidRDefault="00BE5C8E">
      <w:pPr>
        <w:pStyle w:val="Title"/>
        <w:jc w:val="both"/>
        <w:rPr>
          <w:rFonts w:cs="Arial"/>
          <w:spacing w:val="-3"/>
          <w:sz w:val="20"/>
          <w:szCs w:val="20"/>
          <w:lang w:val="es-CO"/>
        </w:rPr>
      </w:pPr>
    </w:p>
    <w:p w:rsidR="00445BBA" w:rsidRDefault="00445BBA" w:rsidP="00445BBA">
      <w:pPr>
        <w:pStyle w:val="Heading3"/>
        <w:rPr>
          <w:lang w:val="es-CO"/>
        </w:rPr>
      </w:pPr>
      <w:r>
        <w:rPr>
          <w:lang w:val="es-CO"/>
        </w:rPr>
        <w:t>ESTRUCTURA DE DATOS</w:t>
      </w:r>
    </w:p>
    <w:p w:rsidR="00445BBA" w:rsidRDefault="00445BBA" w:rsidP="00445BBA">
      <w:pPr>
        <w:rPr>
          <w:lang w:val="es-CO"/>
        </w:rPr>
      </w:pPr>
    </w:p>
    <w:p w:rsidR="00262CDA" w:rsidRPr="00262CDA" w:rsidRDefault="005A35D2" w:rsidP="00262CDA">
      <w:pPr>
        <w:rPr>
          <w:color w:val="FF0000"/>
          <w:lang w:val="es-CO"/>
        </w:rPr>
      </w:pPr>
      <w:r>
        <w:rPr>
          <w:lang w:val="es-CO"/>
        </w:rPr>
        <w:t xml:space="preserve">Existen </w:t>
      </w:r>
      <w:r w:rsidR="00445BBA">
        <w:rPr>
          <w:lang w:val="es-CO"/>
        </w:rPr>
        <w:t>dos estructuras principales utilizadas para el almacenamiento de datos temporal</w:t>
      </w:r>
      <w:r w:rsidR="00262CDA">
        <w:rPr>
          <w:lang w:val="es-CO"/>
        </w:rPr>
        <w:t xml:space="preserve">es: </w:t>
      </w:r>
      <w:r w:rsidR="00A31F14">
        <w:rPr>
          <w:lang w:val="es-CO"/>
        </w:rPr>
        <w:t>longitudinales o de series temporales.</w:t>
      </w:r>
      <w:r>
        <w:rPr>
          <w:lang w:val="es-CO"/>
        </w:rPr>
        <w:t xml:space="preserve"> </w:t>
      </w:r>
      <w:r w:rsidR="00A31F14">
        <w:rPr>
          <w:lang w:val="es-CO"/>
        </w:rPr>
        <w:t>L</w:t>
      </w:r>
      <w:r w:rsidR="005C4A92">
        <w:rPr>
          <w:lang w:val="es-CO"/>
        </w:rPr>
        <w:t>a configuración</w:t>
      </w:r>
      <w:r w:rsidR="00A31F14">
        <w:rPr>
          <w:lang w:val="es-CO"/>
        </w:rPr>
        <w:t xml:space="preserve"> longitudinal</w:t>
      </w:r>
      <w:r w:rsidR="005C4A92">
        <w:rPr>
          <w:lang w:val="es-CO"/>
        </w:rPr>
        <w:t xml:space="preserve"> tiene</w:t>
      </w:r>
      <w:r w:rsidR="00A31F14">
        <w:rPr>
          <w:lang w:val="es-CO"/>
        </w:rPr>
        <w:t xml:space="preserve"> en sus columnas puntos temporales individuales y en sus filas </w:t>
      </w:r>
      <w:r w:rsidR="005C4A92">
        <w:rPr>
          <w:lang w:val="es-CO"/>
        </w:rPr>
        <w:t xml:space="preserve">variables a observar </w:t>
      </w:r>
      <w:r w:rsidR="00A31F14">
        <w:rPr>
          <w:lang w:val="es-CO"/>
        </w:rPr>
        <w:t>correspondientes por ejemplo a productos o índices. Esta estructura se presenta generalmente en el sector productivo, ya que suelen ser tableros que se actualizan constan</w:t>
      </w:r>
      <w:r>
        <w:rPr>
          <w:lang w:val="es-CO"/>
        </w:rPr>
        <w:t xml:space="preserve">temente, </w:t>
      </w:r>
      <w:r w:rsidRPr="00262CDA">
        <w:rPr>
          <w:color w:val="FF0000"/>
          <w:lang w:val="es-CO"/>
        </w:rPr>
        <w:t>por ejemplo</w:t>
      </w:r>
      <w:r w:rsidR="00262CDA">
        <w:rPr>
          <w:color w:val="FF0000"/>
          <w:lang w:val="es-CO"/>
        </w:rPr>
        <w:t xml:space="preserve"> (como se presenta en la tabla 1). </w:t>
      </w:r>
      <w:r w:rsidR="00262CDA">
        <w:rPr>
          <w:lang w:val="es-CO"/>
        </w:rPr>
        <w:t xml:space="preserve">De manera opuesta, los datos de series temporales tienen en sus columnas variables a observar y en sus filas puntos temporales iguales para cada una de las variables </w:t>
      </w:r>
      <w:r w:rsidR="00262CDA" w:rsidRPr="00262CDA">
        <w:rPr>
          <w:color w:val="FF0000"/>
          <w:lang w:val="es-CO"/>
        </w:rPr>
        <w:t>como se expone en la tabla 2</w:t>
      </w:r>
    </w:p>
    <w:p w:rsidR="00262CDA" w:rsidRDefault="00262CDA" w:rsidP="00445BBA">
      <w:pPr>
        <w:rPr>
          <w:lang w:val="es-CO"/>
        </w:rPr>
      </w:pPr>
    </w:p>
    <w:p w:rsidR="00EA36F4" w:rsidRDefault="00EA36F4" w:rsidP="00445BBA">
      <w:pPr>
        <w:rPr>
          <w:lang w:val="es-CO"/>
        </w:rPr>
      </w:pPr>
    </w:p>
    <w:p w:rsidR="005A35D2" w:rsidRDefault="005A35D2" w:rsidP="005A35D2">
      <w:pPr>
        <w:pStyle w:val="Caption"/>
        <w:keepNext/>
      </w:pPr>
      <w:r>
        <w:t xml:space="preserve">Tabla </w:t>
      </w:r>
      <w:r>
        <w:fldChar w:fldCharType="begin"/>
      </w:r>
      <w:r>
        <w:instrText xml:space="preserve"> SEQ Tabla \* ARABIC </w:instrText>
      </w:r>
      <w:r>
        <w:fldChar w:fldCharType="separate"/>
      </w:r>
      <w:r w:rsidR="00EE4FC5">
        <w:rPr>
          <w:noProof/>
        </w:rPr>
        <w:t>1</w:t>
      </w:r>
      <w:r>
        <w:fldChar w:fldCharType="end"/>
      </w:r>
      <w:r>
        <w:t xml:space="preserve">. </w:t>
      </w:r>
      <w:r w:rsidR="00262CDA">
        <w:t>Ejemplo de estructura</w:t>
      </w:r>
      <w:r>
        <w:t xml:space="preserve"> de datos longitudinal </w:t>
      </w:r>
    </w:p>
    <w:tbl>
      <w:tblPr>
        <w:tblStyle w:val="PlainTable3"/>
        <w:tblW w:w="5000" w:type="pct"/>
        <w:tblLook w:val="04A0" w:firstRow="1" w:lastRow="0" w:firstColumn="1" w:lastColumn="0" w:noHBand="0" w:noVBand="1"/>
      </w:tblPr>
      <w:tblGrid>
        <w:gridCol w:w="911"/>
        <w:gridCol w:w="1456"/>
        <w:gridCol w:w="1455"/>
        <w:gridCol w:w="1455"/>
        <w:gridCol w:w="1455"/>
        <w:gridCol w:w="1455"/>
        <w:gridCol w:w="1452"/>
      </w:tblGrid>
      <w:tr w:rsidR="00EA36F4" w:rsidRPr="00EA36F4" w:rsidTr="005A35D2">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472" w:type="pct"/>
            <w:hideMark/>
          </w:tcPr>
          <w:p w:rsidR="00EA36F4" w:rsidRPr="00EA36F4" w:rsidRDefault="00EA36F4" w:rsidP="00EA36F4">
            <w:pPr>
              <w:jc w:val="left"/>
              <w:rPr>
                <w:rFonts w:cs="Arial"/>
                <w:lang w:val="en-US" w:eastAsia="en-US"/>
              </w:rPr>
            </w:pPr>
            <w:r>
              <w:rPr>
                <w:rFonts w:cs="Arial"/>
                <w:lang w:val="en-US" w:eastAsia="en-US"/>
              </w:rPr>
              <w:t>Código</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01/01/2016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01/02/2016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01/03/2016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01/04/2016</w:t>
            </w:r>
          </w:p>
        </w:tc>
        <w:tc>
          <w:tcPr>
            <w:tcW w:w="755"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01/05/2016</w:t>
            </w:r>
          </w:p>
        </w:tc>
        <w:tc>
          <w:tcPr>
            <w:tcW w:w="754" w:type="pct"/>
            <w:hideMark/>
          </w:tcPr>
          <w:p w:rsidR="00EA36F4" w:rsidRPr="00EA36F4" w:rsidRDefault="00EA36F4" w:rsidP="00E245FC">
            <w:pPr>
              <w:jc w:val="right"/>
              <w:cnfStyle w:val="100000000000" w:firstRow="1"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01/06/2016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47622</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170</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626</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249</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179</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332</w:t>
            </w:r>
          </w:p>
        </w:tc>
        <w:tc>
          <w:tcPr>
            <w:tcW w:w="754"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242</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18425</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15</w:t>
            </w:r>
          </w:p>
        </w:tc>
        <w:tc>
          <w:tcPr>
            <w:tcW w:w="754"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13</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18404</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3.063</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2.798</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2.868</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2.866</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2.644</w:t>
            </w:r>
          </w:p>
        </w:tc>
        <w:tc>
          <w:tcPr>
            <w:tcW w:w="754"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2.951</w:t>
            </w:r>
          </w:p>
        </w:tc>
      </w:tr>
      <w:tr w:rsidR="00EA36F4" w:rsidRPr="00EA36F4" w:rsidTr="005A35D2">
        <w:tblPrEx>
          <w:jc w:val="left"/>
        </w:tblPrEx>
        <w:trPr>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48402</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265</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266</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260</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127</w:t>
            </w:r>
          </w:p>
        </w:tc>
        <w:tc>
          <w:tcPr>
            <w:tcW w:w="755"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351</w:t>
            </w:r>
          </w:p>
        </w:tc>
        <w:tc>
          <w:tcPr>
            <w:tcW w:w="754" w:type="pct"/>
            <w:hideMark/>
          </w:tcPr>
          <w:p w:rsidR="00EA36F4" w:rsidRPr="00EA36F4" w:rsidRDefault="00EA36F4" w:rsidP="00E245FC">
            <w:pPr>
              <w:jc w:val="right"/>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A36F4">
              <w:rPr>
                <w:rFonts w:cs="Arial"/>
                <w:lang w:val="en-US" w:eastAsia="en-US"/>
              </w:rPr>
              <w:t>426</w:t>
            </w:r>
          </w:p>
        </w:tc>
      </w:tr>
      <w:tr w:rsidR="00EA36F4" w:rsidRPr="00EA36F4" w:rsidTr="005A35D2">
        <w:tblPrEx>
          <w:jc w:val="left"/>
        </w:tblPrEx>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72" w:type="pct"/>
            <w:hideMark/>
          </w:tcPr>
          <w:p w:rsidR="00EA36F4" w:rsidRPr="00EA36F4" w:rsidRDefault="00EA36F4" w:rsidP="00E245FC">
            <w:pPr>
              <w:jc w:val="right"/>
              <w:rPr>
                <w:rFonts w:cs="Arial"/>
                <w:lang w:val="en-US" w:eastAsia="en-US"/>
              </w:rPr>
            </w:pPr>
            <w:r w:rsidRPr="00EA36F4">
              <w:rPr>
                <w:rFonts w:cs="Arial"/>
                <w:lang w:val="en-US" w:eastAsia="en-US"/>
              </w:rPr>
              <w:t>18211</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2.611</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2.535</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2.457</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2.763</w:t>
            </w:r>
          </w:p>
        </w:tc>
        <w:tc>
          <w:tcPr>
            <w:tcW w:w="755"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2.324</w:t>
            </w:r>
          </w:p>
        </w:tc>
        <w:tc>
          <w:tcPr>
            <w:tcW w:w="754" w:type="pct"/>
            <w:hideMark/>
          </w:tcPr>
          <w:p w:rsidR="00EA36F4" w:rsidRPr="00EA36F4" w:rsidRDefault="00EA36F4" w:rsidP="00E245FC">
            <w:pPr>
              <w:jc w:val="right"/>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A36F4">
              <w:rPr>
                <w:rFonts w:cs="Arial"/>
                <w:lang w:val="en-US" w:eastAsia="en-US"/>
              </w:rPr>
              <w:t>2.478</w:t>
            </w:r>
          </w:p>
        </w:tc>
      </w:tr>
    </w:tbl>
    <w:p w:rsidR="00262CDA" w:rsidRDefault="00262CDA" w:rsidP="005A35D2">
      <w:pPr>
        <w:pStyle w:val="Caption"/>
        <w:keepNext/>
      </w:pPr>
    </w:p>
    <w:p w:rsidR="005A35D2" w:rsidRDefault="005A35D2" w:rsidP="005A35D2">
      <w:pPr>
        <w:pStyle w:val="Caption"/>
        <w:keepNext/>
      </w:pPr>
      <w:r>
        <w:t xml:space="preserve">Tabla </w:t>
      </w:r>
      <w:r>
        <w:fldChar w:fldCharType="begin"/>
      </w:r>
      <w:r>
        <w:instrText xml:space="preserve"> SEQ Tabla \* ARABIC </w:instrText>
      </w:r>
      <w:r>
        <w:fldChar w:fldCharType="separate"/>
      </w:r>
      <w:r w:rsidR="00EE4FC5">
        <w:rPr>
          <w:noProof/>
        </w:rPr>
        <w:t>2</w:t>
      </w:r>
      <w:r>
        <w:fldChar w:fldCharType="end"/>
      </w:r>
      <w:r>
        <w:t xml:space="preserve">. </w:t>
      </w:r>
      <w:r w:rsidR="00262CDA">
        <w:t>Ejemplo de e</w:t>
      </w:r>
      <w:r>
        <w:t>structura de datos de series de tiempo</w:t>
      </w:r>
    </w:p>
    <w:tbl>
      <w:tblPr>
        <w:tblStyle w:val="PlainTable3"/>
        <w:tblW w:w="5000" w:type="pct"/>
        <w:tblLook w:val="04A0" w:firstRow="1" w:lastRow="0" w:firstColumn="1" w:lastColumn="0" w:noHBand="0" w:noVBand="1"/>
      </w:tblPr>
      <w:tblGrid>
        <w:gridCol w:w="995"/>
        <w:gridCol w:w="1933"/>
        <w:gridCol w:w="3102"/>
        <w:gridCol w:w="3609"/>
      </w:tblGrid>
      <w:tr w:rsidR="00EE7DB5" w:rsidRPr="008535FD" w:rsidTr="00EE4FC5">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516" w:type="pct"/>
            <w:hideMark/>
          </w:tcPr>
          <w:p w:rsidR="00EE7DB5" w:rsidRPr="00EE7DB5" w:rsidRDefault="00EE7DB5" w:rsidP="00EE7DB5">
            <w:pPr>
              <w:jc w:val="center"/>
              <w:rPr>
                <w:rFonts w:cs="Arial"/>
                <w:lang w:val="en-US" w:eastAsia="en-US"/>
              </w:rPr>
            </w:pPr>
            <w:r w:rsidRPr="00EE4FC5">
              <w:rPr>
                <w:rFonts w:cs="Arial"/>
                <w:bCs w:val="0"/>
                <w:lang w:val="en-US" w:eastAsia="en-US"/>
              </w:rPr>
              <w:t>Fecha</w:t>
            </w:r>
          </w:p>
        </w:tc>
        <w:tc>
          <w:tcPr>
            <w:tcW w:w="1003"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Comercio minorista</w:t>
            </w:r>
          </w:p>
        </w:tc>
        <w:tc>
          <w:tcPr>
            <w:tcW w:w="1609"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Alimentos y bebidas no alcohólicas</w:t>
            </w:r>
          </w:p>
        </w:tc>
        <w:tc>
          <w:tcPr>
            <w:tcW w:w="1872" w:type="pct"/>
            <w:hideMark/>
          </w:tcPr>
          <w:p w:rsidR="00EE7DB5" w:rsidRPr="00EE7DB5" w:rsidRDefault="00EE7DB5" w:rsidP="00EE7DB5">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 xml:space="preserve"> Bebidas alcohólicas </w:t>
            </w:r>
            <w:r w:rsidRPr="00EE7DB5">
              <w:rPr>
                <w:rFonts w:cs="Arial"/>
                <w:lang w:val="es-CO" w:eastAsia="en-US"/>
              </w:rPr>
              <w:t>y productos del tabaco</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E7DB5" w:rsidP="00EE7DB5">
            <w:pPr>
              <w:jc w:val="right"/>
              <w:rPr>
                <w:rFonts w:cs="Arial"/>
                <w:lang w:val="en-US" w:eastAsia="en-US"/>
              </w:rPr>
            </w:pPr>
            <w:r w:rsidRPr="00EE7DB5">
              <w:rPr>
                <w:rFonts w:cs="Arial"/>
                <w:lang w:val="en-US" w:eastAsia="en-US"/>
              </w:rPr>
              <w:t>1/1/2003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53.8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74.7</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51.7</w:t>
            </w:r>
          </w:p>
        </w:tc>
      </w:tr>
      <w:tr w:rsidR="00EE7DB5" w:rsidRPr="008535FD" w:rsidTr="00EE4FC5">
        <w:tblPrEx>
          <w:jc w:val="left"/>
        </w:tblPrEx>
        <w:trPr>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1/2</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51.1</w:t>
            </w:r>
          </w:p>
        </w:tc>
        <w:tc>
          <w:tcPr>
            <w:tcW w:w="1609"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75.2</w:t>
            </w:r>
          </w:p>
        </w:tc>
        <w:tc>
          <w:tcPr>
            <w:tcW w:w="1872" w:type="pct"/>
            <w:noWrap/>
            <w:hideMark/>
          </w:tcPr>
          <w:p w:rsidR="00EE7DB5" w:rsidRPr="00EE7DB5" w:rsidRDefault="00EE7DB5" w:rsidP="00EE7DB5">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EE7DB5">
              <w:rPr>
                <w:rFonts w:cs="Arial"/>
                <w:lang w:val="en-US" w:eastAsia="en-US"/>
              </w:rPr>
              <w:t>44.9</w:t>
            </w:r>
          </w:p>
        </w:tc>
      </w:tr>
      <w:tr w:rsidR="00EE7DB5" w:rsidRPr="008535FD" w:rsidTr="00EE4FC5">
        <w:tblPrEx>
          <w:jc w:val="left"/>
        </w:tblPrEx>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6" w:type="pct"/>
            <w:noWrap/>
            <w:hideMark/>
          </w:tcPr>
          <w:p w:rsidR="00EE7DB5" w:rsidRPr="00EE7DB5" w:rsidRDefault="00EA36F4" w:rsidP="00EE7DB5">
            <w:pPr>
              <w:jc w:val="right"/>
              <w:rPr>
                <w:rFonts w:cs="Arial"/>
                <w:lang w:val="en-US" w:eastAsia="en-US"/>
              </w:rPr>
            </w:pPr>
            <w:r w:rsidRPr="008535FD">
              <w:rPr>
                <w:rFonts w:cs="Arial"/>
                <w:lang w:val="en-US" w:eastAsia="en-US"/>
              </w:rPr>
              <w:t>1/3</w:t>
            </w:r>
            <w:r w:rsidR="00EE7DB5" w:rsidRPr="00EE7DB5">
              <w:rPr>
                <w:rFonts w:cs="Arial"/>
                <w:lang w:val="en-US" w:eastAsia="en-US"/>
              </w:rPr>
              <w:t>/2003</w:t>
            </w:r>
          </w:p>
        </w:tc>
        <w:tc>
          <w:tcPr>
            <w:tcW w:w="1003"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54.8</w:t>
            </w:r>
          </w:p>
        </w:tc>
        <w:tc>
          <w:tcPr>
            <w:tcW w:w="1609"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85.9</w:t>
            </w:r>
          </w:p>
        </w:tc>
        <w:tc>
          <w:tcPr>
            <w:tcW w:w="1872" w:type="pct"/>
            <w:noWrap/>
            <w:hideMark/>
          </w:tcPr>
          <w:p w:rsidR="00EE7DB5" w:rsidRPr="00EE7DB5" w:rsidRDefault="00EE7DB5" w:rsidP="00EE7DB5">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EE7DB5">
              <w:rPr>
                <w:rFonts w:cs="Arial"/>
                <w:lang w:val="en-US" w:eastAsia="en-US"/>
              </w:rPr>
              <w:t>55.1</w:t>
            </w:r>
          </w:p>
        </w:tc>
      </w:tr>
    </w:tbl>
    <w:p w:rsidR="005C4A92" w:rsidRDefault="005C4A92" w:rsidP="00445BBA">
      <w:pPr>
        <w:rPr>
          <w:lang w:val="es-CO"/>
        </w:rPr>
      </w:pPr>
    </w:p>
    <w:p w:rsidR="00262CDA" w:rsidRPr="00262CDA" w:rsidRDefault="00B44B54" w:rsidP="00B44B54">
      <w:pPr>
        <w:pStyle w:val="Heading3"/>
        <w:rPr>
          <w:lang w:val="es-CO"/>
        </w:rPr>
      </w:pPr>
      <w:r>
        <w:rPr>
          <w:lang w:val="es-CO"/>
        </w:rPr>
        <w:t>METODOLOGÍA</w:t>
      </w:r>
    </w:p>
    <w:p w:rsidR="00262CDA" w:rsidRDefault="00262CDA" w:rsidP="00445BBA">
      <w:pPr>
        <w:rPr>
          <w:color w:val="FF0000"/>
          <w:lang w:val="es-CO"/>
        </w:rPr>
      </w:pPr>
    </w:p>
    <w:p w:rsidR="00B63A4D" w:rsidRPr="00B63A4D" w:rsidRDefault="00B63A4D" w:rsidP="00445BBA">
      <w:pPr>
        <w:rPr>
          <w:lang w:val="es-CO"/>
        </w:rPr>
      </w:pPr>
      <w:r>
        <w:rPr>
          <w:lang w:val="es-CO"/>
        </w:rPr>
        <w:t>En el flujo de trabajo de esta metodología se propone una serie de pasos claves ilustrados en la Figura 1. Inicialmente se realiza la importación de los datos, se procede con su limpieza, y posteriormente se realiza un proceso iterativo de modelamiento, visualización y transformación, concluyendo con la comunicación a las partes interesadas.</w:t>
      </w:r>
    </w:p>
    <w:p w:rsidR="00CF6C27" w:rsidRDefault="00CF6C27" w:rsidP="00CF6C27">
      <w:pPr>
        <w:keepNext/>
        <w:jc w:val="center"/>
      </w:pPr>
      <w:r w:rsidRPr="00CF6C27">
        <w:rPr>
          <w:noProof/>
          <w:lang w:val="en-US" w:eastAsia="en-US"/>
        </w:rPr>
        <w:lastRenderedPageBreak/>
        <w:drawing>
          <wp:inline distT="0" distB="0" distL="0" distR="0" wp14:anchorId="17CB4859" wp14:editId="6CA32B10">
            <wp:extent cx="3885047" cy="1457400"/>
            <wp:effectExtent l="0" t="0" r="1270" b="9525"/>
            <wp:docPr id="1" name="Picture 1" descr="D:\Semestres Universidad\Multi-SKU Forecast\multisku-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res Universidad\Multi-SKU Forecast\multisku-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773" cy="1462924"/>
                    </a:xfrm>
                    <a:prstGeom prst="rect">
                      <a:avLst/>
                    </a:prstGeom>
                    <a:noFill/>
                    <a:ln>
                      <a:noFill/>
                    </a:ln>
                  </pic:spPr>
                </pic:pic>
              </a:graphicData>
            </a:graphic>
          </wp:inline>
        </w:drawing>
      </w:r>
    </w:p>
    <w:p w:rsidR="00B44B54" w:rsidRDefault="00CF6C27" w:rsidP="00CF6C27">
      <w:pPr>
        <w:pStyle w:val="Caption"/>
        <w:rPr>
          <w:lang w:val="es-CO"/>
        </w:rPr>
      </w:pPr>
      <w:r>
        <w:t xml:space="preserve">Figura </w:t>
      </w:r>
      <w:r>
        <w:fldChar w:fldCharType="begin"/>
      </w:r>
      <w:r>
        <w:instrText xml:space="preserve"> SEQ Figura \* ARABIC </w:instrText>
      </w:r>
      <w:r>
        <w:fldChar w:fldCharType="separate"/>
      </w:r>
      <w:r w:rsidR="00D23591">
        <w:rPr>
          <w:noProof/>
        </w:rPr>
        <w:t>1</w:t>
      </w:r>
      <w:r>
        <w:fldChar w:fldCharType="end"/>
      </w:r>
      <w:r>
        <w:t xml:space="preserve">. Flujo de trabajo de la metodología propuesta. Adaptado de: </w:t>
      </w:r>
      <w:r>
        <w:fldChar w:fldCharType="begin" w:fldLock="1"/>
      </w:r>
      <w:r w:rsidR="00F80A02">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fldChar w:fldCharType="separate"/>
      </w:r>
      <w:r w:rsidR="00F80A02" w:rsidRPr="00F80A02">
        <w:rPr>
          <w:noProof/>
        </w:rPr>
        <w:t>(Wang et al., 2019)</w:t>
      </w:r>
      <w:r>
        <w:fldChar w:fldCharType="end"/>
      </w:r>
    </w:p>
    <w:p w:rsidR="00CD280C" w:rsidRDefault="00C54A01" w:rsidP="00445BBA">
      <w:pPr>
        <w:rPr>
          <w:lang w:val="es-CO"/>
        </w:rPr>
      </w:pPr>
      <w:r>
        <w:rPr>
          <w:lang w:val="es-CO"/>
        </w:rPr>
        <w:t xml:space="preserve">La metodología pretende disminuir considerablemente las dificultades usuales de importación de los datos facilitando la integración con las </w:t>
      </w:r>
      <w:r w:rsidR="000818D5">
        <w:rPr>
          <w:lang w:val="es-CO"/>
        </w:rPr>
        <w:t xml:space="preserve">aplicaciones </w:t>
      </w:r>
      <w:r w:rsidR="00CD280C">
        <w:rPr>
          <w:lang w:val="es-CO"/>
        </w:rPr>
        <w:t xml:space="preserve">basadas en hojas de cálculo, </w:t>
      </w:r>
      <w:r>
        <w:rPr>
          <w:lang w:val="es-CO"/>
        </w:rPr>
        <w:t xml:space="preserve">que actualmente </w:t>
      </w:r>
      <w:r w:rsidR="00CD280C">
        <w:rPr>
          <w:lang w:val="es-CO"/>
        </w:rPr>
        <w:t>utilizan en gran proporción</w:t>
      </w:r>
      <w:r>
        <w:rPr>
          <w:lang w:val="es-CO"/>
        </w:rPr>
        <w:t xml:space="preserve"> las empresas</w:t>
      </w:r>
      <w:r w:rsidR="00CD280C">
        <w:rPr>
          <w:lang w:val="es-CO"/>
        </w:rPr>
        <w:t xml:space="preserve"> </w:t>
      </w:r>
      <w:r w:rsidR="00CD280C">
        <w:rPr>
          <w:lang w:val="es-CO"/>
        </w:rPr>
        <w:fldChar w:fldCharType="begin" w:fldLock="1"/>
      </w:r>
      <w:r w:rsidR="00CD280C">
        <w:rPr>
          <w:lang w:val="es-CO"/>
        </w:rPr>
        <w:instrText>ADDIN CSL_CITATION {"citationItems":[{"id":"ITEM-1","itemData":{"ISBN":"978-8-3608-1090-3","abstract":"Business Process models help to visualize processes of an organization. In enterprises, these processes are often specified in internal regulations, resolutions or other law acts of a company. Such descriptions, like task lists, have mostly form of enumerated lists or spreadsheets. We present a method how to generate a BPMN process model from a spreadsheet-based representation. In contrast to the existing approaches, our method does not require explicit specification of gateways in the spreadsheet, but it takes advantage of nested list form.","author":[{"dropping-particle":"","family":"FedCSIS","given":"","non-dropping-particle":"","parse-names":false,"suffix":""}],"container-title":"2016 Federated Conference on Computer Science and Information Systems (FedCSIS), Computer Science and Information Systems (FedCSIS), 2016 Federated Conference on","id":"ITEM-1","issued":{"date-parts":[["2016"]]},"note":"Item Citation: 2016 Federated Conference on Computer Science and Information Systems (FedCSIS) Computer Science and Information Systems (FedCSIS), 2016 Federated Conference on. :1355-1358 Sep, 2016\n\nRelated Material: 2016 Federated Conference on Computer Science and Information Systems (FedCSIS)\n\nContents: Conference Acronym: FedCSIS\n\nAMSID Created: 11/3/2016 12:00:00 AM\n\nConference Acronym: FedCSIS\n\nDocument Subtype: IEEE Conference\n\nConference Location: Gdansk, Poland, Poland\n\nDate of Current Version: 2016\n\nConference Start Date: 11 Sept. 2016\n\nConference End Date: 14 Sept. 2016\n\nAMSID: 7733422\n\nAccession Number: edseee.7733422; Contributors: Kluza, Krzysztof, Wisniewski, Piotr; Publication Type: Conference Paper; Source: 2016 Federated Conference on Computer Science and Information Systems (FedCSIS), Computer Science and Information Systems (FedCSIS), 2016 Federated Conference on; Language: English; Publication Date: 20160901; Rights: Copyright 2016, Polish Information Processing Society; Imprint: Polish Information Processing Society","page":"1355","publisher":"Polish Information Processing Society","title":"Spreadsheet-based Business Process modeling","type":"article"},"uris":["http://www.mendeley.com/documents/?uuid=05419ab1-a2b6-4e52-b20c-5e08d060788f"]}],"mendeley":{"formattedCitation":"(FedCSIS, 2016)","plainTextFormattedCitation":"(FedCSIS, 2016)","previouslyFormattedCitation":"(FedCSIS, 2016)"},"properties":{"noteIndex":0},"schema":"https://github.com/citation-style-language/schema/raw/master/csl-citation.json"}</w:instrText>
      </w:r>
      <w:r w:rsidR="00CD280C">
        <w:rPr>
          <w:lang w:val="es-CO"/>
        </w:rPr>
        <w:fldChar w:fldCharType="separate"/>
      </w:r>
      <w:r w:rsidR="00CD280C" w:rsidRPr="00CD280C">
        <w:rPr>
          <w:noProof/>
          <w:lang w:val="es-CO"/>
        </w:rPr>
        <w:t>(FedCSIS, 2016)</w:t>
      </w:r>
      <w:r w:rsidR="00CD280C">
        <w:rPr>
          <w:lang w:val="es-CO"/>
        </w:rPr>
        <w:fldChar w:fldCharType="end"/>
      </w:r>
      <w:r w:rsidR="00CD280C">
        <w:rPr>
          <w:lang w:val="es-CO"/>
        </w:rPr>
        <w:t xml:space="preserve"> y que más demanda el mercado </w:t>
      </w:r>
      <w:r w:rsidR="00CD280C">
        <w:rPr>
          <w:lang w:val="en-US"/>
        </w:rPr>
        <w:fldChar w:fldCharType="begin" w:fldLock="1"/>
      </w:r>
      <w:r w:rsidR="00CD280C" w:rsidRPr="00CD280C">
        <w:rPr>
          <w:lang w:val="es-CO"/>
        </w:rPr>
        <w:instrText>ADDIN CSL_CITATION {"citationItems":[{"id":"ITEM-1","itemData":{"ISSN":"2327-5324","abstract":"The Principles of Information S</w:instrText>
      </w:r>
      <w:r w:rsidR="00CD280C">
        <w:rPr>
          <w:lang w:val="en-US"/>
        </w:rPr>
        <w:instrText>ystems course taught at a medium-sized Midwest University consists of Information Systems conceptual material plus Microsoft Excel and Access skills that the Information Systems faculty feel are most important to business students from all business disciplines. These skills range from using basic mathematic functions and formulas to complex \"what-if\" statements for Microsoft Excel spreadsheets. Microsoft Access topics range from constructing simple tables, queries, forms, and reports to complex calculations using Expression Builder. However, aside from a few comments from faculty teaching in accounting, economics, management, finance, or marketing, it is not known specifically what specific skills that faculty from other major universities consider important for successful completion of their programs. A survey consisting of 18 spreadsheet and database case attributes was sent to graduating seniors, business faculty and to area businesses requesting that they rate each case as to its importance in their specific major, business curriculum or knowl</w:instrText>
      </w:r>
      <w:r w:rsidR="00CD280C" w:rsidRPr="00CD280C">
        <w:rPr>
          <w:lang w:val="es-CO"/>
        </w:rPr>
        <w:instrText>edge skill set respectively. Each participant was asked to select the appropriate block on a Likert scale ranging from \"not very important\" to \"very important\" for each of all 18 cases. The responses were returned by 18 students, 22 faculty, and 81 area businesses. While there was nothing that indicated that the Information Systems faculty were not teaching important skills there were some interesting facts noted. Considering this, the faculty has decided to broaden the scope within each case to ensure fluency in Excel and Access by employing a fewer number of cases and more emphasis on specific skills.","author":[{"dropping-particle":"","family":"Coleman","given":"Phillip","non-dropping-particle":"","parse-names":false,"suffix":""},{"dropping-particle":"","family":"Blankenship","given":"Ray","non-dropping-particle":"","parse-names":false,"suffix":""}],"container-title":"Journal of Instructional Pedagogies","id":"ITEM-1","issued":{"date-parts":[["2017"]]},"page":"1-8","title":"What Spreadsheet and Database Skills Do Business Students Need?.","type":"article-journal","volume":"19"},"uris":["http://www.mendeley.com/documents/?uuid=523065de-c30b-4ead-90d4-18208a3a8781"]}],"mendeley":{"formattedCitation":"(Coleman &amp; Blankenship, 2017)","plainTextFormattedCitation":"(Coleman &amp; Blankenship, 2017)","previouslyFormattedCitation":"(Coleman &amp; Blankenship, 2017)"},"properties":{"noteIndex":0},"schema":"https://github.com/citation-style-language/schema/raw/master/csl-citation.json"}</w:instrText>
      </w:r>
      <w:r w:rsidR="00CD280C">
        <w:rPr>
          <w:lang w:val="en-US"/>
        </w:rPr>
        <w:fldChar w:fldCharType="separate"/>
      </w:r>
      <w:r w:rsidR="00CD280C" w:rsidRPr="00CD280C">
        <w:rPr>
          <w:noProof/>
          <w:lang w:val="es-CO"/>
        </w:rPr>
        <w:t>(Coleman &amp; Blankenship, 2017)</w:t>
      </w:r>
      <w:r w:rsidR="00CD280C">
        <w:rPr>
          <w:lang w:val="en-US"/>
        </w:rPr>
        <w:fldChar w:fldCharType="end"/>
      </w:r>
      <w:r w:rsidR="00CD280C">
        <w:rPr>
          <w:lang w:val="es-CO"/>
        </w:rPr>
        <w:t>.</w:t>
      </w:r>
      <w:r w:rsidR="00B63A4D">
        <w:rPr>
          <w:lang w:val="es-CO"/>
        </w:rPr>
        <w:t xml:space="preserve"> </w:t>
      </w:r>
      <w:r w:rsidR="00CD280C">
        <w:rPr>
          <w:lang w:val="es-CO"/>
        </w:rPr>
        <w:t xml:space="preserve">En el software </w:t>
      </w:r>
      <w:r w:rsidR="00B63A4D">
        <w:rPr>
          <w:lang w:val="es-CO"/>
        </w:rPr>
        <w:t>desarrollado</w:t>
      </w:r>
      <w:r w:rsidR="00CD280C">
        <w:rPr>
          <w:lang w:val="es-CO"/>
        </w:rPr>
        <w:t xml:space="preserve"> </w:t>
      </w:r>
      <w:r w:rsidR="00B63A4D">
        <w:rPr>
          <w:lang w:val="es-CO"/>
        </w:rPr>
        <w:t xml:space="preserve">y acorde a la metodología propuesta, </w:t>
      </w:r>
      <w:r w:rsidR="00CD280C">
        <w:rPr>
          <w:lang w:val="es-CO"/>
        </w:rPr>
        <w:t xml:space="preserve">se permite al usuario importar sus datos directamente desde Google Drive, que es un servicio </w:t>
      </w:r>
      <w:r w:rsidR="00B63A4D">
        <w:rPr>
          <w:lang w:val="es-CO"/>
        </w:rPr>
        <w:t>web gratuito de almacenamiento popular</w:t>
      </w:r>
      <w:r w:rsidR="00CD280C">
        <w:rPr>
          <w:lang w:val="es-CO"/>
        </w:rPr>
        <w:t xml:space="preserve"> </w:t>
      </w:r>
      <w:r w:rsidR="00CD280C">
        <w:rPr>
          <w:lang w:val="es-CO"/>
        </w:rPr>
        <w:fldChar w:fldCharType="begin" w:fldLock="1"/>
      </w:r>
      <w:r w:rsidR="00EF3D30">
        <w:rPr>
          <w:lang w:val="es-CO"/>
        </w:rPr>
        <w:instrText>ADDIN CSL_CITATION {"citationItems":[{"id":"ITEM-1","itemData":{"DOI":"10.1007/s10639-016-9556-z","ISSN":"15737608","abstract":"Students' perceptions about both ease of use and usefulness are fundamental factors in determining their acceptance and successful use of technology in higher education. File sharing systems are one of these technologies and can be used to manage and deliver course materials and coordinate virtual teams. The aim of this study is to explore how Google Drive is accepted as a system for handling course materials and uncover the factors that influence and contribute to students' intentions to use it. The research approach is based on the technology acceptance model (TAM). The participants for this study comprised 119 students at Sultan Qaboos University. The Students' Acceptance of Google Drive Questionnaire was develop by the author based on the TAM. The results indicated that students perceived Google Drive as an easy-to-use and useful system for storing and sharing course materials, and they favored its use in university teaching. The results of a multiple regression analysis confirmed that students' prior experience with Google Drive is a good predictor of students' perceived ease of use and usefulness. In addition, perceived ease of use and usefulness significantly influenced attitudes toward the system and behavioral intentions to use Google Drive.","author":[{"dropping-particle":"","family":"Sadik","given":"Alaa","non-dropping-particle":"","parse-names":false,"suffix":""}],"container-title":"Education and Information Technologies","id":"ITEM-1","issued":{"date-parts":[["2017"]]},"title":"Students’ acceptance of file sharing systems as a tool for sharing course materials: The case of Google Drive","type":"article-journal"},"uris":["http://www.mendeley.com/documents/?uuid=0cac5c2e-91ee-4b86-9207-b21f08bc8c48"]}],"mendeley":{"formattedCitation":"(Sadik, 2017)","plainTextFormattedCitation":"(Sadik, 2017)","previouslyFormattedCitation":"(Sadik, 2017)"},"properties":{"noteIndex":0},"schema":"https://github.com/citation-style-language/schema/raw/master/csl-citation.json"}</w:instrText>
      </w:r>
      <w:r w:rsidR="00CD280C">
        <w:rPr>
          <w:lang w:val="es-CO"/>
        </w:rPr>
        <w:fldChar w:fldCharType="separate"/>
      </w:r>
      <w:r w:rsidR="00CD280C" w:rsidRPr="00CD280C">
        <w:rPr>
          <w:noProof/>
          <w:lang w:val="es-CO"/>
        </w:rPr>
        <w:t>(Sadik, 2017)</w:t>
      </w:r>
      <w:r w:rsidR="00CD280C">
        <w:rPr>
          <w:lang w:val="es-CO"/>
        </w:rPr>
        <w:fldChar w:fldCharType="end"/>
      </w:r>
      <w:r w:rsidR="00B63A4D">
        <w:rPr>
          <w:lang w:val="es-CO"/>
        </w:rPr>
        <w:t xml:space="preserve"> o subir directamente el archivo en formato </w:t>
      </w:r>
      <w:r w:rsidR="00B63A4D" w:rsidRPr="00B63A4D">
        <w:rPr>
          <w:i/>
          <w:lang w:val="es-CO"/>
        </w:rPr>
        <w:t>.</w:t>
      </w:r>
      <w:proofErr w:type="spellStart"/>
      <w:r w:rsidR="00B63A4D" w:rsidRPr="00B63A4D">
        <w:rPr>
          <w:i/>
          <w:lang w:val="es-CO"/>
        </w:rPr>
        <w:t>xlsx</w:t>
      </w:r>
      <w:proofErr w:type="spellEnd"/>
      <w:r w:rsidR="00B63A4D">
        <w:rPr>
          <w:i/>
          <w:lang w:val="es-CO"/>
        </w:rPr>
        <w:t>.</w:t>
      </w:r>
    </w:p>
    <w:p w:rsidR="00CD280C" w:rsidRDefault="00CD280C" w:rsidP="00445BBA">
      <w:pPr>
        <w:rPr>
          <w:lang w:val="es-CO"/>
        </w:rPr>
      </w:pPr>
    </w:p>
    <w:p w:rsidR="00B63A4D" w:rsidRDefault="00B63A4D" w:rsidP="00445BBA">
      <w:pPr>
        <w:rPr>
          <w:lang w:val="es-CO"/>
        </w:rPr>
      </w:pPr>
      <w:r>
        <w:rPr>
          <w:lang w:val="es-CO"/>
        </w:rPr>
        <w:fldChar w:fldCharType="begin" w:fldLock="1"/>
      </w:r>
      <w:r>
        <w:rPr>
          <w:lang w:val="es-CO"/>
        </w:rPr>
        <w:instrText>ADDIN CSL_CITATION {"citationItems":[{"id":"ITEM-1","itemData":{"abstract":"Mining temporal data for information is often inhibited by a multitude of formats: irregular or multiple time intervals, point events that need aggregating, multiple observational units or repeated measurements on multiple individuals, and heterogeneous data types. On the other hand, the software supporting time series modeling and forecasting, makes strict assumptions on the data to be provided, typically requiring a matrix of numeric data with implicit time indexes. Going from raw data to model-ready data is painful. This work presents a cohesive and conceptual framework for organizing and manipulating temporal data, which in turn flows into visualization, modeling and forecasting routines. Tidy data principles are extended to temporal data by: (1) mapping the semantics of a dataset into its physical layout; (2) including an explicitly declared index variable representing time; (3) incorporating a \"key\" comprising single or multiple variables to uniquely identify units over time. This tidy data representation most naturally supports thinking of operations on the data as building blocks, forming part of a \"data pipeline\" in time-based contexts. A sound data pipeline facilitates a fluent workflow for analyzing temporal data. The infrastructure of tidy temporal data has been implemented in the R package \"tsibble\".","author":[{"dropping-particle":"","family":"Wang","given":"Earo","non-dropping-particle":"","parse-names":false,"suffix":""},{"dropping-particle":"","family":"Cook","given":"Dianne","non-dropping-particle":"","parse-names":false,"suffix":""},{"dropping-particle":"","family":"Hyndman","given":"Rob J","non-dropping-particle":"","parse-names":false,"suffix":""}],"id":"ITEM-1","issue":"February","issued":{"date-parts":[["2019"]]},"title":"A new tidy data structure to support exploration and modeling of temporal data","type":"article-journal"},"uris":["http://www.mendeley.com/documents/?uuid=56034611-9226-42cb-8770-bccb7b324498"]}],"mendeley":{"formattedCitation":"(Wang et al., 2019)","plainTextFormattedCitation":"(Wang et al., 2019)","previouslyFormattedCitation":"(Wang et al., 2019)"},"properties":{"noteIndex":0},"schema":"https://github.com/citation-style-language/schema/raw/master/csl-citation.json"}</w:instrText>
      </w:r>
      <w:r>
        <w:rPr>
          <w:lang w:val="es-CO"/>
        </w:rPr>
        <w:fldChar w:fldCharType="separate"/>
      </w:r>
      <w:r w:rsidRPr="00F80A02">
        <w:rPr>
          <w:noProof/>
          <w:lang w:val="es-CO"/>
        </w:rPr>
        <w:t>(Wang et al., 2019)</w:t>
      </w:r>
      <w:r>
        <w:rPr>
          <w:lang w:val="es-CO"/>
        </w:rPr>
        <w:fldChar w:fldCharType="end"/>
      </w:r>
      <w:r>
        <w:rPr>
          <w:lang w:val="es-CO"/>
        </w:rPr>
        <w:t xml:space="preserve"> proponen una nueva estructura temporal para los datos denominada </w:t>
      </w:r>
      <w:r w:rsidRPr="008535FD">
        <w:rPr>
          <w:i/>
          <w:lang w:val="es-CO"/>
        </w:rPr>
        <w:t>“</w:t>
      </w:r>
      <w:proofErr w:type="spellStart"/>
      <w:r w:rsidRPr="008535FD">
        <w:rPr>
          <w:i/>
          <w:lang w:val="es-CO"/>
        </w:rPr>
        <w:t>tsibble</w:t>
      </w:r>
      <w:proofErr w:type="spellEnd"/>
      <w:r w:rsidRPr="008535FD">
        <w:rPr>
          <w:i/>
          <w:lang w:val="es-CO"/>
        </w:rPr>
        <w:t>”</w:t>
      </w:r>
      <w:r>
        <w:rPr>
          <w:lang w:val="es-CO"/>
        </w:rPr>
        <w:t xml:space="preserve"> fundamentada en los principios de “</w:t>
      </w:r>
      <w:proofErr w:type="spellStart"/>
      <w:r w:rsidRPr="005A35D2">
        <w:rPr>
          <w:i/>
          <w:lang w:val="es-CO"/>
        </w:rPr>
        <w:t>tidy</w:t>
      </w:r>
      <w:proofErr w:type="spellEnd"/>
      <w:r w:rsidRPr="005A35D2">
        <w:rPr>
          <w:i/>
          <w:lang w:val="es-CO"/>
        </w:rPr>
        <w:t xml:space="preserve"> data</w:t>
      </w:r>
      <w:r>
        <w:rPr>
          <w:lang w:val="es-CO"/>
        </w:rPr>
        <w:t xml:space="preserve">” propuestos por </w:t>
      </w:r>
      <w:r>
        <w:rPr>
          <w:lang w:val="es-CO"/>
        </w:rPr>
        <w:fldChar w:fldCharType="begin" w:fldLock="1"/>
      </w:r>
      <w:r>
        <w:rPr>
          <w:lang w:val="es-CO"/>
        </w:rPr>
        <w:instrText>ADDIN CSL_CITATION {"citationItems":[{"id":"ITEM-1","itemData":{"DOI":"10.18637/jss.v059.i10","abstract":"A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chores.","author":[{"dropping-particle":"","family":"Wickham","given":"Hadley","non-dropping-particle":"","parse-names":false,"suffix":""}],"container-title":"Journal of Statistical Software","id":"ITEM-1","issued":{"date-parts":[["2015"]]},"title":"Tidy Data","type":"article-journal"},"uris":["http://www.mendeley.com/documents/?uuid=06645c01-9fc7-47cb-b0a6-618b08b19e63"]}],"mendeley":{"formattedCitation":"(Wickham, 2015)","plainTextFormattedCitation":"(Wickham, 2015)","previouslyFormattedCitation":"(Wickham, 2015)"},"properties":{"noteIndex":0},"schema":"https://github.com/citation-style-language/schema/raw/master/csl-citation.json"}</w:instrText>
      </w:r>
      <w:r>
        <w:rPr>
          <w:lang w:val="es-CO"/>
        </w:rPr>
        <w:fldChar w:fldCharType="separate"/>
      </w:r>
      <w:r w:rsidRPr="00F80A02">
        <w:rPr>
          <w:noProof/>
          <w:lang w:val="es-CO"/>
        </w:rPr>
        <w:t>(Wickham, 2015)</w:t>
      </w:r>
      <w:r>
        <w:rPr>
          <w:lang w:val="es-CO"/>
        </w:rPr>
        <w:fldChar w:fldCharType="end"/>
      </w:r>
      <w:r>
        <w:rPr>
          <w:lang w:val="es-CO"/>
        </w:rPr>
        <w:t>, con el propósito de facilitar el modelamiento utilizando programas computacionales.</w:t>
      </w:r>
    </w:p>
    <w:p w:rsidR="00B63A4D" w:rsidRPr="00CD280C" w:rsidRDefault="00B63A4D" w:rsidP="00445BBA">
      <w:pPr>
        <w:rPr>
          <w:lang w:val="es-CO"/>
        </w:rPr>
      </w:pPr>
    </w:p>
    <w:p w:rsidR="008535FD" w:rsidRDefault="00B44B54" w:rsidP="00445BBA">
      <w:pPr>
        <w:rPr>
          <w:lang w:val="es-CO"/>
        </w:rPr>
      </w:pPr>
      <w:r w:rsidRPr="00CD280C">
        <w:rPr>
          <w:lang w:val="es-CO"/>
        </w:rPr>
        <w:t xml:space="preserve">El </w:t>
      </w:r>
      <w:r w:rsidR="00011A45" w:rsidRPr="00CD280C">
        <w:rPr>
          <w:lang w:val="es-CO"/>
        </w:rPr>
        <w:t>segundo</w:t>
      </w:r>
      <w:r w:rsidRPr="00CD280C">
        <w:rPr>
          <w:lang w:val="es-CO"/>
        </w:rPr>
        <w:t xml:space="preserve"> paso de la</w:t>
      </w:r>
      <w:r w:rsidR="005A35D2" w:rsidRPr="00CD280C">
        <w:rPr>
          <w:lang w:val="es-CO"/>
        </w:rPr>
        <w:t xml:space="preserve"> metodología </w:t>
      </w:r>
      <w:r w:rsidRPr="00CD280C">
        <w:rPr>
          <w:lang w:val="es-CO"/>
        </w:rPr>
        <w:t xml:space="preserve">desarrollada </w:t>
      </w:r>
      <w:r w:rsidR="005A35D2" w:rsidRPr="00CD280C">
        <w:rPr>
          <w:lang w:val="es-CO"/>
        </w:rPr>
        <w:t xml:space="preserve">es </w:t>
      </w:r>
      <w:r w:rsidR="00B63A4D">
        <w:rPr>
          <w:lang w:val="es-CO"/>
        </w:rPr>
        <w:t xml:space="preserve">ordenar y </w:t>
      </w:r>
      <w:r w:rsidRPr="00CD280C">
        <w:rPr>
          <w:lang w:val="es-CO"/>
        </w:rPr>
        <w:t>transformar</w:t>
      </w:r>
      <w:r w:rsidR="005A35D2" w:rsidRPr="00CD280C">
        <w:rPr>
          <w:lang w:val="es-CO"/>
        </w:rPr>
        <w:t xml:space="preserve"> las estructuras longitudinales y de series de tiempo a</w:t>
      </w:r>
      <w:r w:rsidR="008535FD" w:rsidRPr="00CD280C">
        <w:rPr>
          <w:lang w:val="es-CO"/>
        </w:rPr>
        <w:t>l formato de</w:t>
      </w:r>
      <w:r w:rsidR="005A35D2" w:rsidRPr="00CD280C">
        <w:rPr>
          <w:lang w:val="es-CO"/>
        </w:rPr>
        <w:t xml:space="preserve"> </w:t>
      </w:r>
      <w:proofErr w:type="spellStart"/>
      <w:r w:rsidR="008535FD" w:rsidRPr="00CD280C">
        <w:rPr>
          <w:i/>
          <w:lang w:val="es-CO"/>
        </w:rPr>
        <w:t>tidy</w:t>
      </w:r>
      <w:proofErr w:type="spellEnd"/>
      <w:r w:rsidR="008535FD" w:rsidRPr="00CD280C">
        <w:rPr>
          <w:i/>
          <w:lang w:val="es-CO"/>
        </w:rPr>
        <w:t xml:space="preserve"> data. </w:t>
      </w:r>
      <w:r w:rsidR="008535FD" w:rsidRPr="00CD280C">
        <w:rPr>
          <w:lang w:val="es-CO"/>
        </w:rPr>
        <w:t xml:space="preserve">El programa computacional desarrollado utiliza las herramientas de las librerías </w:t>
      </w:r>
      <w:r w:rsidR="00D32A35" w:rsidRPr="00CD280C">
        <w:rPr>
          <w:lang w:val="es-CO"/>
        </w:rPr>
        <w:t>“</w:t>
      </w:r>
      <w:proofErr w:type="spellStart"/>
      <w:r w:rsidR="00D32A35" w:rsidRPr="00CD280C">
        <w:rPr>
          <w:i/>
          <w:lang w:val="es-CO"/>
        </w:rPr>
        <w:t>dplyr</w:t>
      </w:r>
      <w:proofErr w:type="spellEnd"/>
      <w:r w:rsidR="00D32A35" w:rsidRPr="00CD280C">
        <w:rPr>
          <w:lang w:val="es-CO"/>
        </w:rPr>
        <w:t xml:space="preserve">” </w:t>
      </w:r>
      <w:r w:rsidR="00D32A35">
        <w:rPr>
          <w:lang w:val="es-CO"/>
        </w:rPr>
        <w:fldChar w:fldCharType="begin" w:fldLock="1"/>
      </w:r>
      <w:r w:rsidR="00F80A02" w:rsidRPr="00CD280C">
        <w:rPr>
          <w:lang w:val="es-CO"/>
        </w:rPr>
        <w:instrText>ADDIN CSL_CITATION {"citationItems":[{"id":"ITEM-1","itemData":{"ISBN":"0000000224444","abstract":"Description A fast, consistent tool for working with data frame like objects, both in memory and out of memory. License MIT + file LICENSE","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irill","non-dropping-particle":"","parse-names":false,"suffix":""}],"container-title":"R package version 0.8.0.1","id":"ITEM-1","issued":{"date-parts":[["2019"]]},"title":"Package ‘dplyr’. A Grammar of Data Manipulation.","type":"article-journal"},"uris":["http://www.mendeley.com/documents/?uuid=feace5cb-d224-4908-85e9-7514c414c940"]}],"mendeley":{"formattedCitation":"(Wickham, Francois, Henry, &amp; Müller, 2019)","plainTextFormattedCitation":"(Wickham, Francois, Henry, &amp; Müller, 2019)","previouslyFormattedCitation":"(Wickham, Fra</w:instrText>
      </w:r>
      <w:r w:rsidR="00F80A02" w:rsidRPr="00F80A02">
        <w:rPr>
          <w:lang w:val="en-US"/>
        </w:rPr>
        <w:instrText>ncois, Henry, &amp; Mülle</w:instrText>
      </w:r>
      <w:r w:rsidR="00F80A02" w:rsidRPr="00CD280C">
        <w:rPr>
          <w:lang w:val="en-US"/>
        </w:rPr>
        <w:instrText>r, 2019)"},"properties":</w:instrText>
      </w:r>
      <w:r w:rsidR="00F80A02">
        <w:rPr>
          <w:lang w:val="es-CO"/>
        </w:rPr>
        <w:instrText>{"noteIndex":0},"schema":"https://github.com/citation-style-language/schema/raw/master/csl-citation.json"}</w:instrText>
      </w:r>
      <w:r w:rsidR="00D32A35">
        <w:rPr>
          <w:lang w:val="es-CO"/>
        </w:rPr>
        <w:fldChar w:fldCharType="separate"/>
      </w:r>
      <w:r w:rsidR="00F80A02" w:rsidRPr="00F80A02">
        <w:rPr>
          <w:noProof/>
          <w:lang w:val="es-CO"/>
        </w:rPr>
        <w:t>(Wickham, Francois, Henry, &amp; Müller, 2019)</w:t>
      </w:r>
      <w:r w:rsidR="00D32A35">
        <w:rPr>
          <w:lang w:val="es-CO"/>
        </w:rPr>
        <w:fldChar w:fldCharType="end"/>
      </w:r>
      <w:r w:rsidR="00D32A35">
        <w:rPr>
          <w:lang w:val="es-CO"/>
        </w:rPr>
        <w:t xml:space="preserve"> y </w:t>
      </w:r>
      <w:r w:rsidR="00EF589F" w:rsidRPr="00EF589F">
        <w:rPr>
          <w:i/>
          <w:lang w:val="es-CO"/>
        </w:rPr>
        <w:t>“</w:t>
      </w:r>
      <w:proofErr w:type="spellStart"/>
      <w:r w:rsidR="00D32A35" w:rsidRPr="00EF589F">
        <w:rPr>
          <w:i/>
          <w:lang w:val="es-CO"/>
        </w:rPr>
        <w:t>tidyr</w:t>
      </w:r>
      <w:proofErr w:type="spellEnd"/>
      <w:r w:rsidR="00EF589F" w:rsidRPr="00EF589F">
        <w:rPr>
          <w:i/>
          <w:lang w:val="es-CO"/>
        </w:rPr>
        <w:t>”</w:t>
      </w:r>
      <w:r w:rsidR="00D32A35">
        <w:rPr>
          <w:lang w:val="es-CO"/>
        </w:rPr>
        <w:t xml:space="preserve"> </w:t>
      </w:r>
      <w:r w:rsidR="00D32A35">
        <w:rPr>
          <w:lang w:val="es-CO"/>
        </w:rPr>
        <w:fldChar w:fldCharType="begin" w:fldLock="1"/>
      </w:r>
      <w:r w:rsidR="00F80A02">
        <w:rPr>
          <w:lang w:val="es-CO"/>
        </w:rPr>
        <w:instrText>ADDIN CSL_CITATION {"citationItems":[{"id":"ITEM-1","itemData":{"abstract":"n An evolution of 'reshape2'. It's designed specifically for data tidying (not general reshaping or aggregating) and works well with 'dplyr' data pipelines.","author":[{"dropping-particle":"","family":"Wickham","given":"Hadley","non-dropping-particle":"","parse-names":false,"suffix":""},{"dropping-particle":"","family":"Henry","given":"Lionel","non-dropping-particle":"","parse-names":false,"suffix":""},{"dropping-particle":"","family":"RStudio","given":"","non-dropping-particle":"","parse-names":false,"suffix":""}],"container-title":"Cran","id":"ITEM-1","issued":{"date-parts":[["2017"]]},"title":"R: Package ‘tidyr’","type":"article-journal"},"uris":["http://www.mendeley.com/documents/?uuid=9fa2f865-a406-4c46-b6f7-ab7a8e197e4f"]}],"mendeley":{"formattedCitation":"(Wickham, Henry, &amp; RStudio, 2017)","plainTextFormattedCitation":"(Wickham, Henry, &amp; RStudio, 2017)","previouslyFormattedCitation":"(Wickham, Henry, &amp; RStudio, 2017)"},"properties":{"noteIndex":0},"schema":"https://github.com/citation-style-language/schema/raw/master/csl-citation.json"}</w:instrText>
      </w:r>
      <w:r w:rsidR="00D32A35">
        <w:rPr>
          <w:lang w:val="es-CO"/>
        </w:rPr>
        <w:fldChar w:fldCharType="separate"/>
      </w:r>
      <w:r w:rsidR="00F80A02" w:rsidRPr="00F80A02">
        <w:rPr>
          <w:noProof/>
          <w:lang w:val="es-CO"/>
        </w:rPr>
        <w:t>(Wickham, Henry, &amp; RStudio, 2017)</w:t>
      </w:r>
      <w:r w:rsidR="00D32A35">
        <w:rPr>
          <w:lang w:val="es-CO"/>
        </w:rPr>
        <w:fldChar w:fldCharType="end"/>
      </w:r>
      <w:r w:rsidR="00D32A35">
        <w:rPr>
          <w:lang w:val="es-CO"/>
        </w:rPr>
        <w:t xml:space="preserve"> </w:t>
      </w:r>
      <w:r w:rsidR="008535FD">
        <w:rPr>
          <w:lang w:val="es-CO"/>
        </w:rPr>
        <w:t xml:space="preserve">de </w:t>
      </w:r>
      <w:r w:rsidR="00D32A35" w:rsidRPr="00D32A35">
        <w:rPr>
          <w:lang w:val="es-CO"/>
        </w:rPr>
        <w:t xml:space="preserve">R </w:t>
      </w:r>
      <w:r w:rsidR="00D32A35">
        <w:rPr>
          <w:lang w:val="es-CO"/>
        </w:rPr>
        <w:fldChar w:fldCharType="begin" w:fldLock="1"/>
      </w:r>
      <w:r w:rsidR="00F80A02">
        <w:rPr>
          <w:lang w:val="es-CO"/>
        </w:rPr>
        <w:instrText>ADDIN CSL_CITATION {"citationItems":[{"id":"ITEM-1","itemData":{"DOI":"10.1007/978-3-540-74686-7","ISBN":"978-3-540-74685-0","ISSN":"16000706","PMID":"15039422","abstract":"R is a free software environment for statistical computing and graphics. It compiles and runs on a wide variety of UNIX platforms, Windows and MacOS. To download R, please choose your preferred CRAN mirror.","author":[{"dropping-particle":"","family":"Chambers","given":"John","non-dropping-particle":"","parse-names":false,"suffix":""},{"dropping-particle":"","family":"Al","given":"Et","non-dropping-particle":"","parse-names":false,"suffix":""}],"container-title":"What is R","id":"ITEM-1","issued":{"date-parts":[["2012"]]},"title":"R-project","type":"webpage"},"uris":["http://www.mendeley.com/documents/?uuid=e0fe1f44-584f-4593-8a91-cc2b113c41fc"]}],"mendeley":{"formattedCitation":"(Chambers &amp; Al, 2012)","plainTextFormattedCitation":"(Chambers &amp; Al, 2012)","previouslyFormattedCitation":"(Chambers &amp; Al, 2012)"},"properties":{"noteIndex":0},"schema":"https://github.com/citation-style-language/schema/raw/master/csl-citation.json"}</w:instrText>
      </w:r>
      <w:r w:rsidR="00D32A35">
        <w:rPr>
          <w:lang w:val="es-CO"/>
        </w:rPr>
        <w:fldChar w:fldCharType="separate"/>
      </w:r>
      <w:r w:rsidR="00F80A02" w:rsidRPr="00F80A02">
        <w:rPr>
          <w:noProof/>
          <w:lang w:val="es-CO"/>
        </w:rPr>
        <w:t>(Chambers &amp; Al, 2012)</w:t>
      </w:r>
      <w:r w:rsidR="00D32A35">
        <w:rPr>
          <w:lang w:val="es-CO"/>
        </w:rPr>
        <w:fldChar w:fldCharType="end"/>
      </w:r>
      <w:r w:rsidR="00D32A35">
        <w:rPr>
          <w:lang w:val="es-CO"/>
        </w:rPr>
        <w:t xml:space="preserve"> </w:t>
      </w:r>
      <w:r w:rsidR="008535FD">
        <w:rPr>
          <w:lang w:val="es-CO"/>
        </w:rPr>
        <w:t>para realizar este cambio de formato sin perder información en el proceso.</w:t>
      </w:r>
      <w:r w:rsidR="00EF589F">
        <w:rPr>
          <w:lang w:val="es-CO"/>
        </w:rPr>
        <w:t xml:space="preserve"> L</w:t>
      </w:r>
      <w:r w:rsidR="008535FD">
        <w:rPr>
          <w:lang w:val="es-CO"/>
        </w:rPr>
        <w:t xml:space="preserve">a nueva estructura de datos </w:t>
      </w:r>
      <w:r w:rsidR="00EF589F">
        <w:rPr>
          <w:lang w:val="es-CO"/>
        </w:rPr>
        <w:t xml:space="preserve">correspondiente a la tabla 2 </w:t>
      </w:r>
      <w:r w:rsidR="008535FD">
        <w:rPr>
          <w:lang w:val="es-CO"/>
        </w:rPr>
        <w:t>sería la siguiente</w:t>
      </w:r>
      <w:r w:rsidR="00FD4C83">
        <w:rPr>
          <w:lang w:val="es-CO"/>
        </w:rPr>
        <w:t>:</w:t>
      </w:r>
    </w:p>
    <w:p w:rsidR="008535FD" w:rsidRDefault="008535FD" w:rsidP="00445BBA">
      <w:pPr>
        <w:rPr>
          <w:lang w:val="es-CO"/>
        </w:rPr>
      </w:pPr>
    </w:p>
    <w:p w:rsidR="00EE4FC5" w:rsidRDefault="00EE4FC5" w:rsidP="00EE4FC5">
      <w:pPr>
        <w:pStyle w:val="Caption"/>
        <w:keepNext/>
      </w:pPr>
      <w:r>
        <w:t xml:space="preserve">Tabla </w:t>
      </w:r>
      <w:r>
        <w:fldChar w:fldCharType="begin"/>
      </w:r>
      <w:r>
        <w:instrText xml:space="preserve"> SEQ Tabla \* ARABIC </w:instrText>
      </w:r>
      <w:r>
        <w:fldChar w:fldCharType="separate"/>
      </w:r>
      <w:r>
        <w:rPr>
          <w:noProof/>
        </w:rPr>
        <w:t>3</w:t>
      </w:r>
      <w:r>
        <w:fldChar w:fldCharType="end"/>
      </w:r>
      <w:r>
        <w:t xml:space="preserve">. Estructura de datos en </w:t>
      </w:r>
      <w:proofErr w:type="spellStart"/>
      <w:r w:rsidRPr="00EE4FC5">
        <w:rPr>
          <w:i/>
        </w:rPr>
        <w:t>tidy</w:t>
      </w:r>
      <w:proofErr w:type="spellEnd"/>
      <w:r w:rsidRPr="00EE4FC5">
        <w:rPr>
          <w:i/>
        </w:rPr>
        <w:t xml:space="preserve"> data.</w:t>
      </w:r>
    </w:p>
    <w:tbl>
      <w:tblPr>
        <w:tblStyle w:val="PlainTable3"/>
        <w:tblW w:w="0" w:type="auto"/>
        <w:tblLook w:val="04A0" w:firstRow="1" w:lastRow="0" w:firstColumn="1" w:lastColumn="0" w:noHBand="0" w:noVBand="1"/>
      </w:tblPr>
      <w:tblGrid>
        <w:gridCol w:w="995"/>
        <w:gridCol w:w="4052"/>
        <w:gridCol w:w="717"/>
      </w:tblGrid>
      <w:tr w:rsidR="008535FD" w:rsidRPr="008535FD" w:rsidTr="0097132C">
        <w:trPr>
          <w:cnfStyle w:val="100000000000" w:firstRow="1" w:lastRow="0" w:firstColumn="0" w:lastColumn="0" w:oddVBand="0" w:evenVBand="0" w:oddHBand="0" w:evenHBand="0" w:firstRowFirstColumn="0" w:firstRowLastColumn="0" w:lastRowFirstColumn="0" w:lastRowLastColumn="0"/>
          <w:trHeight w:val="161"/>
        </w:trPr>
        <w:tc>
          <w:tcPr>
            <w:cnfStyle w:val="001000000100" w:firstRow="0" w:lastRow="0" w:firstColumn="1" w:lastColumn="0" w:oddVBand="0" w:evenVBand="0" w:oddHBand="0" w:evenHBand="0" w:firstRowFirstColumn="1" w:firstRowLastColumn="0" w:lastRowFirstColumn="0" w:lastRowLastColumn="0"/>
            <w:tcW w:w="0" w:type="auto"/>
            <w:hideMark/>
          </w:tcPr>
          <w:p w:rsidR="008535FD" w:rsidRPr="00EE7DB5" w:rsidRDefault="008535FD" w:rsidP="00E245FC">
            <w:pPr>
              <w:jc w:val="center"/>
              <w:rPr>
                <w:rFonts w:cs="Arial"/>
                <w:lang w:val="en-US" w:eastAsia="en-US"/>
              </w:rPr>
            </w:pPr>
            <w:r w:rsidRPr="00EE4FC5">
              <w:rPr>
                <w:rFonts w:cs="Arial"/>
                <w:bCs w:val="0"/>
                <w:lang w:val="en-US" w:eastAsia="en-US"/>
              </w:rPr>
              <w:t>Fecha</w:t>
            </w:r>
          </w:p>
        </w:tc>
        <w:tc>
          <w:tcPr>
            <w:tcW w:w="0" w:type="auto"/>
            <w:hideMark/>
          </w:tcPr>
          <w:p w:rsidR="008535FD" w:rsidRPr="00EE7DB5" w:rsidRDefault="008535FD" w:rsidP="00E245FC">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bCs w:val="0"/>
                <w:lang w:val="es-CO" w:eastAsia="en-US"/>
              </w:rPr>
              <w:t>Serie</w:t>
            </w:r>
          </w:p>
        </w:tc>
        <w:tc>
          <w:tcPr>
            <w:tcW w:w="0" w:type="auto"/>
            <w:hideMark/>
          </w:tcPr>
          <w:p w:rsidR="008535FD" w:rsidRPr="00EE7DB5" w:rsidRDefault="008535FD" w:rsidP="00E245FC">
            <w:pPr>
              <w:jc w:val="center"/>
              <w:cnfStyle w:val="100000000000" w:firstRow="1" w:lastRow="0" w:firstColumn="0" w:lastColumn="0" w:oddVBand="0" w:evenVBand="0" w:oddHBand="0" w:evenHBand="0" w:firstRowFirstColumn="0" w:firstRowLastColumn="0" w:lastRowFirstColumn="0" w:lastRowLastColumn="0"/>
              <w:rPr>
                <w:rFonts w:cs="Arial"/>
                <w:lang w:val="es-CO" w:eastAsia="en-US"/>
              </w:rPr>
            </w:pPr>
            <w:r w:rsidRPr="00EE4FC5">
              <w:rPr>
                <w:rFonts w:cs="Arial"/>
                <w:lang w:val="es-CO" w:eastAsia="en-US"/>
              </w:rPr>
              <w:t>Valor</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100000" w:firstRow="0" w:lastRow="0" w:firstColumn="0" w:lastColumn="0" w:oddVBand="0" w:evenVBand="0" w:oddHBand="1" w:evenHBand="0" w:firstRowFirstColumn="0" w:firstRowLastColumn="0" w:lastRowFirstColumn="0" w:lastRowLastColumn="0"/>
            </w:pPr>
            <w:r w:rsidRPr="00595F84">
              <w:t>53.8</w:t>
            </w:r>
          </w:p>
        </w:tc>
      </w:tr>
      <w:tr w:rsidR="008535FD" w:rsidRPr="008535FD" w:rsidTr="0097132C">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hideMark/>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Pr="00595F84" w:rsidRDefault="008535FD" w:rsidP="008535FD">
            <w:pPr>
              <w:cnfStyle w:val="000000000000" w:firstRow="0" w:lastRow="0" w:firstColumn="0" w:lastColumn="0" w:oddVBand="0" w:evenVBand="0" w:oddHBand="0" w:evenHBand="0" w:firstRowFirstColumn="0" w:firstRowLastColumn="0" w:lastRowFirstColumn="0" w:lastRowLastColumn="0"/>
            </w:pPr>
            <w:r w:rsidRPr="00595F84">
              <w:t>51.1</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hideMark/>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n-US" w:eastAsia="en-US"/>
              </w:rPr>
            </w:pPr>
            <w:r w:rsidRPr="008535FD">
              <w:rPr>
                <w:rFonts w:cs="Arial"/>
                <w:lang w:val="en-US" w:eastAsia="en-US"/>
              </w:rPr>
              <w:t>Comercio minorista</w:t>
            </w:r>
          </w:p>
        </w:tc>
        <w:tc>
          <w:tcPr>
            <w:tcW w:w="0" w:type="auto"/>
            <w:noWrap/>
            <w:hideMark/>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595F84">
              <w:t>54.8</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000000" w:firstRow="0" w:lastRow="0" w:firstColumn="0" w:lastColumn="0" w:oddVBand="0" w:evenVBand="0" w:oddHBand="0" w:evenHBand="0" w:firstRowFirstColumn="0" w:firstRowLastColumn="0" w:lastRowFirstColumn="0" w:lastRowLastColumn="0"/>
            </w:pPr>
            <w:r w:rsidRPr="00AD1224">
              <w:t>74.7</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Pr="00AD1224" w:rsidRDefault="008535FD" w:rsidP="008535FD">
            <w:pPr>
              <w:cnfStyle w:val="000000100000" w:firstRow="0" w:lastRow="0" w:firstColumn="0" w:lastColumn="0" w:oddVBand="0" w:evenVBand="0" w:oddHBand="1" w:evenHBand="0" w:firstRowFirstColumn="0" w:firstRowLastColumn="0" w:lastRowFirstColumn="0" w:lastRowLastColumn="0"/>
            </w:pPr>
            <w:r w:rsidRPr="00AD1224">
              <w:t>75.2</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Alimentos y bebidas no alcoh</w:t>
            </w:r>
            <w:r>
              <w:rPr>
                <w:rFonts w:cs="Arial"/>
                <w:lang w:val="es-CO" w:eastAsia="en-US"/>
              </w:rPr>
              <w:t>ólicas</w:t>
            </w:r>
          </w:p>
        </w:tc>
        <w:tc>
          <w:tcPr>
            <w:tcW w:w="0" w:type="auto"/>
            <w:noWrap/>
          </w:tcPr>
          <w:p w:rsidR="008535FD" w:rsidRDefault="008535FD" w:rsidP="008535FD">
            <w:pPr>
              <w:cnfStyle w:val="000000000000" w:firstRow="0" w:lastRow="0" w:firstColumn="0" w:lastColumn="0" w:oddVBand="0" w:evenVBand="0" w:oddHBand="0" w:evenHBand="0" w:firstRowFirstColumn="0" w:firstRowLastColumn="0" w:lastRowFirstColumn="0" w:lastRowLastColumn="0"/>
            </w:pPr>
            <w:r w:rsidRPr="00AD1224">
              <w:t>85.9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EE7DB5">
              <w:rPr>
                <w:rFonts w:cs="Arial"/>
                <w:lang w:val="en-US" w:eastAsia="en-US"/>
              </w:rPr>
              <w:t>1/1/2003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100000" w:firstRow="0" w:lastRow="0" w:firstColumn="0" w:lastColumn="0" w:oddVBand="0" w:evenVBand="0" w:oddHBand="1" w:evenHBand="0" w:firstRowFirstColumn="0" w:firstRowLastColumn="0" w:lastRowFirstColumn="0" w:lastRowLastColumn="0"/>
            </w:pPr>
            <w:r w:rsidRPr="00977EFE">
              <w:t>51.7</w:t>
            </w:r>
          </w:p>
        </w:tc>
      </w:tr>
      <w:tr w:rsidR="008535FD" w:rsidRPr="008535FD" w:rsidTr="0097132C">
        <w:trPr>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1/2</w:t>
            </w:r>
            <w:r w:rsidRPr="00EE7DB5">
              <w:rPr>
                <w:rFonts w:cs="Arial"/>
                <w:lang w:val="en-US" w:eastAsia="en-US"/>
              </w:rPr>
              <w:t>/2003</w:t>
            </w:r>
          </w:p>
        </w:tc>
        <w:tc>
          <w:tcPr>
            <w:tcW w:w="0" w:type="auto"/>
            <w:noWrap/>
          </w:tcPr>
          <w:p w:rsidR="008535FD" w:rsidRPr="00EE7DB5" w:rsidRDefault="008535FD" w:rsidP="008535FD">
            <w:pPr>
              <w:jc w:val="center"/>
              <w:cnfStyle w:val="000000000000" w:firstRow="0" w:lastRow="0" w:firstColumn="0" w:lastColumn="0" w:oddVBand="0" w:evenVBand="0" w:oddHBand="0"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Pr="00977EFE" w:rsidRDefault="008535FD" w:rsidP="008535FD">
            <w:pPr>
              <w:cnfStyle w:val="000000000000" w:firstRow="0" w:lastRow="0" w:firstColumn="0" w:lastColumn="0" w:oddVBand="0" w:evenVBand="0" w:oddHBand="0" w:evenHBand="0" w:firstRowFirstColumn="0" w:firstRowLastColumn="0" w:lastRowFirstColumn="0" w:lastRowLastColumn="0"/>
            </w:pPr>
            <w:r w:rsidRPr="00977EFE">
              <w:t>44.9</w:t>
            </w:r>
          </w:p>
        </w:tc>
      </w:tr>
      <w:tr w:rsidR="008535FD" w:rsidRPr="008535FD" w:rsidTr="009713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0" w:type="auto"/>
            <w:noWrap/>
          </w:tcPr>
          <w:p w:rsidR="008535FD" w:rsidRPr="00EE7DB5" w:rsidRDefault="008535FD" w:rsidP="008535FD">
            <w:pPr>
              <w:jc w:val="right"/>
              <w:rPr>
                <w:rFonts w:cs="Arial"/>
                <w:lang w:val="en-US" w:eastAsia="en-US"/>
              </w:rPr>
            </w:pPr>
            <w:r w:rsidRPr="008535FD">
              <w:rPr>
                <w:rFonts w:cs="Arial"/>
                <w:lang w:val="en-US" w:eastAsia="en-US"/>
              </w:rPr>
              <w:t>1/3</w:t>
            </w:r>
            <w:r w:rsidRPr="00EE7DB5">
              <w:rPr>
                <w:rFonts w:cs="Arial"/>
                <w:lang w:val="en-US" w:eastAsia="en-US"/>
              </w:rPr>
              <w:t>/2003</w:t>
            </w:r>
          </w:p>
        </w:tc>
        <w:tc>
          <w:tcPr>
            <w:tcW w:w="0" w:type="auto"/>
            <w:noWrap/>
          </w:tcPr>
          <w:p w:rsidR="008535FD" w:rsidRPr="00EE7DB5" w:rsidRDefault="008535FD" w:rsidP="008535FD">
            <w:pPr>
              <w:jc w:val="center"/>
              <w:cnfStyle w:val="000000100000" w:firstRow="0" w:lastRow="0" w:firstColumn="0" w:lastColumn="0" w:oddVBand="0" w:evenVBand="0" w:oddHBand="1" w:evenHBand="0" w:firstRowFirstColumn="0" w:firstRowLastColumn="0" w:lastRowFirstColumn="0" w:lastRowLastColumn="0"/>
              <w:rPr>
                <w:rFonts w:cs="Arial"/>
                <w:lang w:val="es-CO" w:eastAsia="en-US"/>
              </w:rPr>
            </w:pPr>
            <w:r w:rsidRPr="008535FD">
              <w:rPr>
                <w:rFonts w:cs="Arial"/>
                <w:lang w:val="es-CO" w:eastAsia="en-US"/>
              </w:rPr>
              <w:t>Bebidas alcohólicas y productos del tabaco</w:t>
            </w:r>
          </w:p>
        </w:tc>
        <w:tc>
          <w:tcPr>
            <w:tcW w:w="0" w:type="auto"/>
            <w:noWrap/>
          </w:tcPr>
          <w:p w:rsidR="008535FD" w:rsidRDefault="008535FD" w:rsidP="008535FD">
            <w:pPr>
              <w:cnfStyle w:val="000000100000" w:firstRow="0" w:lastRow="0" w:firstColumn="0" w:lastColumn="0" w:oddVBand="0" w:evenVBand="0" w:oddHBand="1" w:evenHBand="0" w:firstRowFirstColumn="0" w:firstRowLastColumn="0" w:lastRowFirstColumn="0" w:lastRowLastColumn="0"/>
            </w:pPr>
            <w:r w:rsidRPr="00977EFE">
              <w:t>55.1</w:t>
            </w:r>
          </w:p>
        </w:tc>
      </w:tr>
    </w:tbl>
    <w:p w:rsidR="00EE4FC5" w:rsidRDefault="00EE4FC5" w:rsidP="00445BBA">
      <w:pPr>
        <w:rPr>
          <w:lang w:val="es-CO"/>
        </w:rPr>
      </w:pPr>
    </w:p>
    <w:p w:rsidR="00FD4C83" w:rsidRDefault="00FD4C83" w:rsidP="00445BBA">
      <w:pPr>
        <w:rPr>
          <w:lang w:val="es-CO"/>
        </w:rPr>
      </w:pPr>
      <w:r>
        <w:rPr>
          <w:lang w:val="es-CO"/>
        </w:rPr>
        <w:t xml:space="preserve">En términos generales, se identifica que esta estructura </w:t>
      </w:r>
      <w:r w:rsidR="00B44B54">
        <w:rPr>
          <w:lang w:val="es-CO"/>
        </w:rPr>
        <w:t xml:space="preserve">no facilita </w:t>
      </w:r>
      <w:r>
        <w:rPr>
          <w:lang w:val="es-CO"/>
        </w:rPr>
        <w:t xml:space="preserve">el ingreso </w:t>
      </w:r>
      <w:r w:rsidR="00B44B54">
        <w:rPr>
          <w:lang w:val="es-CO"/>
        </w:rPr>
        <w:t>manual</w:t>
      </w:r>
      <w:r>
        <w:rPr>
          <w:lang w:val="es-CO"/>
        </w:rPr>
        <w:t xml:space="preserve"> de los datos, </w:t>
      </w:r>
      <w:r w:rsidR="00B44B54">
        <w:rPr>
          <w:lang w:val="es-CO"/>
        </w:rPr>
        <w:t xml:space="preserve">ya que implica agregar filas y digitar fechas, </w:t>
      </w:r>
      <w:r>
        <w:rPr>
          <w:lang w:val="es-CO"/>
        </w:rPr>
        <w:t>por lo que generalmente se evita</w:t>
      </w:r>
      <w:r w:rsidR="00B44B54">
        <w:rPr>
          <w:lang w:val="es-CO"/>
        </w:rPr>
        <w:t>;</w:t>
      </w:r>
      <w:r>
        <w:rPr>
          <w:lang w:val="es-CO"/>
        </w:rPr>
        <w:t xml:space="preserve"> pero es altamente conveniente para los programas ya que cada fila representa una observación única y cada columna representa una variable diferente.</w:t>
      </w:r>
    </w:p>
    <w:p w:rsidR="0017259C" w:rsidRDefault="0017259C" w:rsidP="00445BBA">
      <w:pPr>
        <w:rPr>
          <w:lang w:val="es-CO"/>
        </w:rPr>
      </w:pPr>
    </w:p>
    <w:p w:rsidR="00222119" w:rsidRDefault="00B63A4D" w:rsidP="00445BBA">
      <w:pPr>
        <w:rPr>
          <w:lang w:val="es-CO"/>
        </w:rPr>
      </w:pPr>
      <w:r>
        <w:rPr>
          <w:lang w:val="es-CO"/>
        </w:rPr>
        <w:t xml:space="preserve">Una vez los datos están en el formato deseado, el tercer paso de la metodología propuesta corresponde a visualizar las series de tiempo con el propósito de identificar si razonable asumir que el comportamiento pasado </w:t>
      </w:r>
      <w:r w:rsidR="00222119">
        <w:rPr>
          <w:lang w:val="es-CO"/>
        </w:rPr>
        <w:t xml:space="preserve">defina las características del futuro esperado. </w:t>
      </w:r>
    </w:p>
    <w:p w:rsidR="00222119" w:rsidRDefault="00222119" w:rsidP="00445BBA">
      <w:pPr>
        <w:rPr>
          <w:lang w:val="es-CO"/>
        </w:rPr>
      </w:pPr>
    </w:p>
    <w:p w:rsidR="00EF3D30" w:rsidRDefault="00222119" w:rsidP="00445BBA">
      <w:pPr>
        <w:rPr>
          <w:lang w:val="es-CO"/>
        </w:rPr>
      </w:pPr>
      <w:r>
        <w:rPr>
          <w:lang w:val="es-CO"/>
        </w:rPr>
        <w:t>Para ilustrar la metodología y validar los resultados, los siguientes pasos se explicarán con un caso aplicado a los í</w:t>
      </w:r>
      <w:r w:rsidRPr="00222119">
        <w:rPr>
          <w:lang w:val="es-CO"/>
        </w:rPr>
        <w:t>ndices empalmados de las ven</w:t>
      </w:r>
      <w:r>
        <w:rPr>
          <w:lang w:val="es-CO"/>
        </w:rPr>
        <w:t>tas en valores reales de la Encuesta Mensual de Comercio Minorista (EMCM) del Departamento Administrativo Nacional de Estadística (DANE) de Colombia</w:t>
      </w:r>
      <w:r w:rsidRPr="00222119">
        <w:rPr>
          <w:lang w:val="es-CO"/>
        </w:rPr>
        <w:t xml:space="preserve">, </w:t>
      </w:r>
      <w:r>
        <w:rPr>
          <w:lang w:val="es-CO"/>
        </w:rPr>
        <w:t>que cuenta con 17 series diferentes</w:t>
      </w:r>
      <w:r w:rsidR="00EF3D30">
        <w:rPr>
          <w:lang w:val="es-CO"/>
        </w:rPr>
        <w:t xml:space="preserve"> con datos temporales capturados desde el año 2003 hasta la actualidad </w:t>
      </w:r>
      <w:r w:rsidR="00EF3D30">
        <w:rPr>
          <w:lang w:val="es-CO"/>
        </w:rPr>
        <w:fldChar w:fldCharType="begin" w:fldLock="1"/>
      </w:r>
      <w:r w:rsidR="00D23591">
        <w:rPr>
          <w:lang w:val="es-CO"/>
        </w:rPr>
        <w:instrText>ADDIN CSL_CITATION {"citationItems":[{"id":"ITEM-1","itemData":{"author":[{"dropping-particle":"","family":"DANE","given":"","non-dropping-particle":"","parse-names":false,"suffix":""}],"id":"ITEM-1","issued":{"date-parts":[["2015"]]},"title":"Ficha Metodológica Encuesta Mensual de Comercio al por Menor y Comercio de Vehículos - EMCM","type":"article-journal"},"uris":["http://www.mendeley.com/documents/?uuid=3f92ad92-1d36-4359-8844-2d9d8aa1785f"]}],"mendeley":{"formattedCitation":"(DANE, 2015)","plainTextFormattedCitation":"(DANE, 2015)","previouslyFormattedCitation":"(DANE, 2015)"},"properties":{"noteIndex":0},"schema":"https://github.com/citation-style-language/schema/raw/master/csl-citation.json"}</w:instrText>
      </w:r>
      <w:r w:rsidR="00EF3D30">
        <w:rPr>
          <w:lang w:val="es-CO"/>
        </w:rPr>
        <w:fldChar w:fldCharType="separate"/>
      </w:r>
      <w:r w:rsidR="00EF3D30" w:rsidRPr="00EF3D30">
        <w:rPr>
          <w:noProof/>
          <w:lang w:val="es-CO"/>
        </w:rPr>
        <w:t>(DANE, 2015)</w:t>
      </w:r>
      <w:r w:rsidR="00EF3D30">
        <w:rPr>
          <w:lang w:val="es-CO"/>
        </w:rPr>
        <w:fldChar w:fldCharType="end"/>
      </w:r>
      <w:r w:rsidR="00EF3D30">
        <w:rPr>
          <w:lang w:val="es-CO"/>
        </w:rPr>
        <w:t>.</w:t>
      </w:r>
    </w:p>
    <w:p w:rsidR="00EF3D30" w:rsidRDefault="00EF3D30" w:rsidP="00445BBA">
      <w:pPr>
        <w:rPr>
          <w:lang w:val="es-CO"/>
        </w:rPr>
      </w:pPr>
    </w:p>
    <w:p w:rsidR="00EE4FC5" w:rsidRDefault="00222119" w:rsidP="00445BBA">
      <w:pPr>
        <w:rPr>
          <w:lang w:val="es-CO"/>
        </w:rPr>
      </w:pPr>
      <w:r>
        <w:rPr>
          <w:lang w:val="es-CO"/>
        </w:rPr>
        <w:t>Gracias al trabajo de transformación que se realizó en los pasos anterior</w:t>
      </w:r>
      <w:r w:rsidR="00EF3D30">
        <w:rPr>
          <w:lang w:val="es-CO"/>
        </w:rPr>
        <w:t xml:space="preserve">es, </w:t>
      </w:r>
      <w:r w:rsidR="00D23591">
        <w:rPr>
          <w:lang w:val="es-CO"/>
        </w:rPr>
        <w:t xml:space="preserve">utilizando la capacidad computacional de la librería </w:t>
      </w:r>
      <w:r w:rsidR="00D23591" w:rsidRPr="00D23591">
        <w:rPr>
          <w:i/>
          <w:lang w:val="es-CO"/>
        </w:rPr>
        <w:t>ggplot2</w:t>
      </w:r>
      <w:r w:rsidR="00D23591">
        <w:rPr>
          <w:i/>
          <w:lang w:val="es-CO"/>
        </w:rPr>
        <w:t xml:space="preserve"> </w:t>
      </w:r>
      <w:r w:rsidR="00D23591">
        <w:rPr>
          <w:i/>
          <w:lang w:val="es-CO"/>
        </w:rPr>
        <w:fldChar w:fldCharType="begin" w:fldLock="1"/>
      </w:r>
      <w:r w:rsidR="00D23591">
        <w:rPr>
          <w:i/>
          <w:lang w:val="es-CO"/>
        </w:rPr>
        <w:instrText>ADDIN CSL_CITATION {"citationItems":[{"id":"ITEM-1","itemData":{"DOI":"10.1002/wics.147","ISSN":"19395108","abstract":"Describes ggplot2, a data visualization package for R and a powerful and flexible system for creating data graphics.","author":[{"dropping-particle":"","family":"Wickham","given":"Hadley","non-dropping-particle":"","parse-names":false,"suffix":""}],"container-title":"Wiley Interdisciplinary Reviews: Computational Statistics","id":"ITEM-1","issued":{"date-parts":[["2011"]]},"title":"ggplot2","type":"article-journal"},"uris":["http://www.mendeley.com/documents/?uuid=f166c1b8-702b-4e20-ba4c-6dee1972fddd"]}],"mendeley":{"formattedCitation":"(Wickham, 2011)","plainTextFormattedCitation":"(Wickham, 2011)"},"properties":{"noteIndex":0},"schema":"https://github.com/citation-style-language/schema/raw/master/csl-citation.json"}</w:instrText>
      </w:r>
      <w:r w:rsidR="00D23591">
        <w:rPr>
          <w:i/>
          <w:lang w:val="es-CO"/>
        </w:rPr>
        <w:fldChar w:fldCharType="separate"/>
      </w:r>
      <w:r w:rsidR="00D23591" w:rsidRPr="00D23591">
        <w:rPr>
          <w:noProof/>
          <w:lang w:val="es-CO"/>
        </w:rPr>
        <w:t>(Wickham, 2011)</w:t>
      </w:r>
      <w:r w:rsidR="00D23591">
        <w:rPr>
          <w:i/>
          <w:lang w:val="es-CO"/>
        </w:rPr>
        <w:fldChar w:fldCharType="end"/>
      </w:r>
      <w:r w:rsidR="00D23591">
        <w:rPr>
          <w:lang w:val="es-CO"/>
        </w:rPr>
        <w:t xml:space="preserve"> </w:t>
      </w:r>
      <w:r w:rsidR="00EF3D30">
        <w:rPr>
          <w:lang w:val="es-CO"/>
        </w:rPr>
        <w:t>el programa es capaz de generar automá</w:t>
      </w:r>
      <w:r w:rsidR="00BF71E7">
        <w:rPr>
          <w:lang w:val="es-CO"/>
        </w:rPr>
        <w:t xml:space="preserve">ticamente gráficas individuales para todas las series a </w:t>
      </w:r>
      <w:r w:rsidR="00D23591">
        <w:rPr>
          <w:lang w:val="es-CO"/>
        </w:rPr>
        <w:t>analizar;</w:t>
      </w:r>
      <w:r w:rsidR="00EF3D30">
        <w:rPr>
          <w:lang w:val="es-CO"/>
        </w:rPr>
        <w:t xml:space="preserve"> </w:t>
      </w:r>
      <w:r w:rsidR="00BF71E7">
        <w:rPr>
          <w:lang w:val="es-CO"/>
        </w:rPr>
        <w:t>para propósitos de simplificación se presenta</w:t>
      </w:r>
      <w:r w:rsidR="00D23591">
        <w:rPr>
          <w:lang w:val="es-CO"/>
        </w:rPr>
        <w:t>n</w:t>
      </w:r>
      <w:r w:rsidR="00BF71E7">
        <w:rPr>
          <w:lang w:val="es-CO"/>
        </w:rPr>
        <w:t xml:space="preserve"> </w:t>
      </w:r>
      <w:r w:rsidR="00D23591">
        <w:rPr>
          <w:lang w:val="es-CO"/>
        </w:rPr>
        <w:t xml:space="preserve">únicamente </w:t>
      </w:r>
      <w:r w:rsidR="00BF71E7">
        <w:rPr>
          <w:lang w:val="es-CO"/>
        </w:rPr>
        <w:t xml:space="preserve">10 </w:t>
      </w:r>
      <w:r w:rsidR="00EF3D30">
        <w:rPr>
          <w:lang w:val="es-CO"/>
        </w:rPr>
        <w:t xml:space="preserve">en la </w:t>
      </w:r>
      <w:r w:rsidR="00D23591">
        <w:rPr>
          <w:lang w:val="es-CO"/>
        </w:rPr>
        <w:t>F</w:t>
      </w:r>
      <w:r w:rsidR="00EF3D30">
        <w:rPr>
          <w:lang w:val="es-CO"/>
        </w:rPr>
        <w:t>igura 2.</w:t>
      </w:r>
    </w:p>
    <w:p w:rsidR="00D23591" w:rsidRDefault="00BF71E7" w:rsidP="00D23591">
      <w:pPr>
        <w:keepNext/>
      </w:pPr>
      <w:r w:rsidRPr="00BF71E7">
        <w:rPr>
          <w:noProof/>
          <w:lang w:val="en-US" w:eastAsia="en-US"/>
        </w:rPr>
        <w:lastRenderedPageBreak/>
        <w:drawing>
          <wp:inline distT="0" distB="0" distL="0" distR="0" wp14:anchorId="0C490178" wp14:editId="67CA1F66">
            <wp:extent cx="5759450" cy="8277225"/>
            <wp:effectExtent l="0" t="0" r="0" b="9525"/>
            <wp:docPr id="6" name="Picture 6" descr="C:\Users\Daniel\Documents\GitHub\Multi-SKU-Forecast\series_dane_grafi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iel\Documents\GitHub\Multi-SKU-Forecast\series_dane_grafica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8277225"/>
                    </a:xfrm>
                    <a:prstGeom prst="rect">
                      <a:avLst/>
                    </a:prstGeom>
                    <a:noFill/>
                    <a:ln>
                      <a:noFill/>
                    </a:ln>
                  </pic:spPr>
                </pic:pic>
              </a:graphicData>
            </a:graphic>
          </wp:inline>
        </w:drawing>
      </w:r>
    </w:p>
    <w:p w:rsidR="00545320" w:rsidRDefault="00D23591" w:rsidP="00D23591">
      <w:pPr>
        <w:pStyle w:val="Caption"/>
        <w:rPr>
          <w:lang w:val="es-CO"/>
        </w:rPr>
      </w:pPr>
      <w:r>
        <w:t xml:space="preserve">Figura </w:t>
      </w:r>
      <w:r>
        <w:fldChar w:fldCharType="begin"/>
      </w:r>
      <w:r>
        <w:instrText xml:space="preserve"> SEQ Figura \* ARABIC </w:instrText>
      </w:r>
      <w:r>
        <w:fldChar w:fldCharType="separate"/>
      </w:r>
      <w:r>
        <w:rPr>
          <w:noProof/>
        </w:rPr>
        <w:t>2</w:t>
      </w:r>
      <w:r>
        <w:fldChar w:fldCharType="end"/>
      </w:r>
      <w:r>
        <w:t>. Series del ín</w:t>
      </w:r>
      <w:bookmarkStart w:id="0" w:name="_GoBack"/>
      <w:bookmarkEnd w:id="0"/>
      <w:r>
        <w:t>dice empalmado de ventas reales del comercio minorista colombiano.</w:t>
      </w:r>
    </w:p>
    <w:p w:rsidR="00EF3D30" w:rsidRDefault="00EF3D30" w:rsidP="00445BBA">
      <w:pPr>
        <w:rPr>
          <w:lang w:val="es-CO"/>
        </w:rPr>
      </w:pPr>
    </w:p>
    <w:p w:rsidR="00EF3D30" w:rsidRPr="00445BBA" w:rsidRDefault="00EF3D30" w:rsidP="00445BBA">
      <w:pPr>
        <w:rPr>
          <w:lang w:val="es-CO"/>
        </w:rPr>
      </w:pPr>
    </w:p>
    <w:p w:rsidR="000860CB" w:rsidRPr="00301019" w:rsidRDefault="00301019" w:rsidP="000860CB">
      <w:pPr>
        <w:rPr>
          <w:color w:val="FF0000"/>
        </w:rPr>
      </w:pPr>
      <w:r w:rsidRPr="00301019">
        <w:rPr>
          <w:color w:val="FF0000"/>
        </w:rPr>
        <w:t>Hablar de qué se utilizó. Explicar la estructura de datos entregada por la empresa.</w:t>
      </w:r>
      <w:r w:rsidR="00FD4C83">
        <w:rPr>
          <w:color w:val="FF0000"/>
        </w:rPr>
        <w:t xml:space="preserve"> ok</w:t>
      </w:r>
    </w:p>
    <w:p w:rsidR="00301019" w:rsidRDefault="00301019" w:rsidP="000860CB">
      <w:pPr>
        <w:rPr>
          <w:color w:val="FF0000"/>
        </w:rPr>
      </w:pPr>
      <w:r w:rsidRPr="00301019">
        <w:rPr>
          <w:color w:val="FF0000"/>
        </w:rPr>
        <w:t>Hablar del pr</w:t>
      </w:r>
      <w:r>
        <w:rPr>
          <w:color w:val="FF0000"/>
        </w:rPr>
        <w:t xml:space="preserve">oblema, de la cantidad de </w:t>
      </w:r>
      <w:proofErr w:type="spellStart"/>
      <w:r>
        <w:rPr>
          <w:color w:val="FF0000"/>
        </w:rPr>
        <w:t>Skus</w:t>
      </w:r>
      <w:proofErr w:type="spellEnd"/>
      <w:r>
        <w:rPr>
          <w:color w:val="FF0000"/>
        </w:rPr>
        <w:t>.</w:t>
      </w:r>
    </w:p>
    <w:p w:rsidR="00301019" w:rsidRDefault="00301019" w:rsidP="000860CB">
      <w:pPr>
        <w:rPr>
          <w:color w:val="FF0000"/>
        </w:rPr>
      </w:pPr>
    </w:p>
    <w:p w:rsidR="000860CB" w:rsidRDefault="000860CB">
      <w:pPr>
        <w:pStyle w:val="Title"/>
        <w:jc w:val="both"/>
        <w:rPr>
          <w:rFonts w:cs="Arial"/>
          <w:bCs/>
          <w:spacing w:val="-3"/>
          <w:sz w:val="20"/>
          <w:szCs w:val="20"/>
        </w:rPr>
      </w:pPr>
    </w:p>
    <w:p w:rsidR="009A2515" w:rsidRPr="00933824" w:rsidRDefault="00F430CC" w:rsidP="00F430CC">
      <w:pPr>
        <w:pStyle w:val="Heading3"/>
      </w:pPr>
      <w:r>
        <w:t>Resultados y discusión</w:t>
      </w:r>
    </w:p>
    <w:p w:rsidR="009A2515" w:rsidRPr="00933824" w:rsidRDefault="009A2515">
      <w:pPr>
        <w:pStyle w:val="Title"/>
        <w:jc w:val="both"/>
        <w:rPr>
          <w:rFonts w:cs="Arial"/>
          <w:bCs/>
          <w:spacing w:val="-3"/>
          <w:sz w:val="20"/>
          <w:szCs w:val="20"/>
        </w:rPr>
      </w:pPr>
    </w:p>
    <w:p w:rsidR="009A2515" w:rsidRDefault="00763166" w:rsidP="00F430CC">
      <w:pPr>
        <w:rPr>
          <w:lang w:val="es-MX"/>
        </w:rPr>
      </w:pPr>
      <w:r>
        <w:rPr>
          <w:lang w:val="es-MX"/>
        </w:rPr>
        <w:t xml:space="preserve">Para dar cumplimiento al formato propuesto por CAIP explicar el paso de la metodología al resultado, explicar qué se obtuvo en cada paso de la metodología. Presentar las gráficas de pronóstico, Presentar las tablas de </w:t>
      </w:r>
      <w:proofErr w:type="spellStart"/>
      <w:r>
        <w:rPr>
          <w:lang w:val="es-MX"/>
        </w:rPr>
        <w:t>comparación</w:t>
      </w:r>
      <w:r w:rsidR="009703C1">
        <w:rPr>
          <w:lang w:val="es-MX"/>
        </w:rPr>
        <w:t>Presentar</w:t>
      </w:r>
      <w:proofErr w:type="spellEnd"/>
      <w:r w:rsidR="009703C1">
        <w:rPr>
          <w:lang w:val="es-MX"/>
        </w:rPr>
        <w:t xml:space="preserve"> resultado</w:t>
      </w:r>
      <w:r>
        <w:rPr>
          <w:lang w:val="es-MX"/>
        </w:rPr>
        <w:t xml:space="preserve">s con base en el caso aplicado. </w:t>
      </w:r>
    </w:p>
    <w:p w:rsidR="00E04386" w:rsidRDefault="00E04386" w:rsidP="00F430CC">
      <w:pPr>
        <w:rPr>
          <w:lang w:val="es-MX"/>
        </w:rPr>
      </w:pPr>
    </w:p>
    <w:tbl>
      <w:tblPr>
        <w:tblW w:w="5000" w:type="pct"/>
        <w:jc w:val="center"/>
        <w:tblCellMar>
          <w:left w:w="70" w:type="dxa"/>
          <w:right w:w="70" w:type="dxa"/>
        </w:tblCellMar>
        <w:tblLook w:val="04A0" w:firstRow="1" w:lastRow="0" w:firstColumn="1" w:lastColumn="0" w:noHBand="0" w:noVBand="1"/>
      </w:tblPr>
      <w:tblGrid>
        <w:gridCol w:w="2233"/>
        <w:gridCol w:w="725"/>
        <w:gridCol w:w="725"/>
        <w:gridCol w:w="725"/>
        <w:gridCol w:w="725"/>
        <w:gridCol w:w="725"/>
        <w:gridCol w:w="725"/>
        <w:gridCol w:w="725"/>
        <w:gridCol w:w="725"/>
        <w:gridCol w:w="725"/>
        <w:gridCol w:w="881"/>
      </w:tblGrid>
      <w:tr w:rsidR="00E04386" w:rsidRPr="00E04386" w:rsidTr="00E04386">
        <w:trPr>
          <w:trHeight w:val="290"/>
          <w:jc w:val="center"/>
        </w:trPr>
        <w:tc>
          <w:tcPr>
            <w:tcW w:w="5000" w:type="pct"/>
            <w:gridSpan w:val="11"/>
            <w:tcBorders>
              <w:top w:val="nil"/>
              <w:left w:val="nil"/>
              <w:bottom w:val="nil"/>
              <w:right w:val="nil"/>
            </w:tcBorders>
            <w:shd w:val="clear" w:color="auto" w:fill="auto"/>
            <w:noWrap/>
            <w:vAlign w:val="bottom"/>
            <w:hideMark/>
          </w:tcPr>
          <w:p w:rsidR="00E04386" w:rsidRPr="00E04386" w:rsidRDefault="00532285" w:rsidP="00E04386">
            <w:pPr>
              <w:jc w:val="center"/>
              <w:rPr>
                <w:rFonts w:cs="Arial"/>
                <w:color w:val="000000"/>
                <w:sz w:val="18"/>
                <w:szCs w:val="18"/>
                <w:lang w:val="es-CO" w:eastAsia="es-CO"/>
              </w:rPr>
            </w:pPr>
            <w:r>
              <w:rPr>
                <w:rFonts w:cs="Arial"/>
                <w:color w:val="000000"/>
                <w:sz w:val="18"/>
                <w:szCs w:val="18"/>
                <w:lang w:val="es-CO" w:eastAsia="es-CO"/>
              </w:rPr>
              <w:t>MAPE</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Modelo / SKU</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SKU2</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SKU3</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SKU4</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SKU5</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SKU6</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SKU7</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SKU8</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SKU9</w:t>
            </w: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SKU10</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ARIMA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Global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5000" w:type="pct"/>
            <w:gridSpan w:val="11"/>
            <w:tcBorders>
              <w:top w:val="nil"/>
              <w:left w:val="nil"/>
              <w:bottom w:val="nil"/>
              <w:right w:val="nil"/>
            </w:tcBorders>
            <w:shd w:val="clear" w:color="auto" w:fill="auto"/>
            <w:noWrap/>
            <w:vAlign w:val="bottom"/>
            <w:hideMark/>
          </w:tcPr>
          <w:p w:rsidR="00E04386" w:rsidRPr="00E04386" w:rsidRDefault="00532285" w:rsidP="00E04386">
            <w:pPr>
              <w:jc w:val="center"/>
              <w:rPr>
                <w:rFonts w:cs="Arial"/>
                <w:color w:val="000000"/>
                <w:sz w:val="18"/>
                <w:szCs w:val="18"/>
                <w:lang w:val="es-CO" w:eastAsia="es-CO"/>
              </w:rPr>
            </w:pPr>
            <w:r>
              <w:rPr>
                <w:rFonts w:cs="Arial"/>
                <w:color w:val="000000"/>
                <w:sz w:val="18"/>
                <w:szCs w:val="18"/>
                <w:lang w:val="es-CO" w:eastAsia="es-CO"/>
              </w:rPr>
              <w:t>RMSE</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Modelo / SKU</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SKU2</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SKU3</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SKU4</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SKU5</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SKU6</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SKU7</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SKU8</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SKU9</w:t>
            </w: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SKU10</w:t>
            </w: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ARIMA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ARIMA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 xml:space="preserve">Global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r w:rsidRPr="00E04386">
              <w:rPr>
                <w:rFonts w:cs="Arial"/>
                <w:color w:val="000000"/>
                <w:sz w:val="18"/>
                <w:szCs w:val="18"/>
                <w:lang w:val="es-CO" w:eastAsia="es-CO"/>
              </w:rPr>
              <w:t>Global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Multi</w:t>
            </w:r>
            <w:proofErr w:type="spellEnd"/>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r w:rsidR="00E04386" w:rsidRPr="00E04386" w:rsidTr="00E04386">
        <w:trPr>
          <w:trHeight w:val="290"/>
          <w:jc w:val="center"/>
        </w:trPr>
        <w:tc>
          <w:tcPr>
            <w:tcW w:w="11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roofErr w:type="spellStart"/>
            <w:r w:rsidRPr="00E04386">
              <w:rPr>
                <w:rFonts w:cs="Arial"/>
                <w:color w:val="000000"/>
                <w:sz w:val="18"/>
                <w:szCs w:val="18"/>
                <w:lang w:val="es-CO" w:eastAsia="es-CO"/>
              </w:rPr>
              <w:t>Suav</w:t>
            </w:r>
            <w:proofErr w:type="spellEnd"/>
            <w:r w:rsidRPr="00E04386">
              <w:rPr>
                <w:rFonts w:cs="Arial"/>
                <w:color w:val="000000"/>
                <w:sz w:val="18"/>
                <w:szCs w:val="18"/>
                <w:lang w:val="es-CO" w:eastAsia="es-CO"/>
              </w:rPr>
              <w:t xml:space="preserve"> </w:t>
            </w:r>
            <w:proofErr w:type="spellStart"/>
            <w:r w:rsidRPr="00E04386">
              <w:rPr>
                <w:rFonts w:cs="Arial"/>
                <w:color w:val="000000"/>
                <w:sz w:val="18"/>
                <w:szCs w:val="18"/>
                <w:lang w:val="es-CO" w:eastAsia="es-CO"/>
              </w:rPr>
              <w:t>Exp</w:t>
            </w:r>
            <w:proofErr w:type="spellEnd"/>
            <w:r w:rsidRPr="00E04386">
              <w:rPr>
                <w:rFonts w:cs="Arial"/>
                <w:color w:val="000000"/>
                <w:sz w:val="18"/>
                <w:szCs w:val="18"/>
                <w:lang w:val="es-CO" w:eastAsia="es-CO"/>
              </w:rPr>
              <w:t xml:space="preserve"> manual</w:t>
            </w: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color w:val="000000"/>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376"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c>
          <w:tcPr>
            <w:tcW w:w="459" w:type="pct"/>
            <w:tcBorders>
              <w:top w:val="nil"/>
              <w:left w:val="nil"/>
              <w:bottom w:val="nil"/>
              <w:right w:val="nil"/>
            </w:tcBorders>
            <w:shd w:val="clear" w:color="auto" w:fill="auto"/>
            <w:noWrap/>
            <w:vAlign w:val="bottom"/>
            <w:hideMark/>
          </w:tcPr>
          <w:p w:rsidR="00E04386" w:rsidRPr="00E04386" w:rsidRDefault="00E04386" w:rsidP="00E04386">
            <w:pPr>
              <w:jc w:val="left"/>
              <w:rPr>
                <w:rFonts w:cs="Arial"/>
                <w:sz w:val="18"/>
                <w:szCs w:val="18"/>
                <w:lang w:val="es-CO" w:eastAsia="es-CO"/>
              </w:rPr>
            </w:pPr>
          </w:p>
        </w:tc>
      </w:tr>
    </w:tbl>
    <w:p w:rsidR="00E04386" w:rsidRDefault="00E04386" w:rsidP="00F430CC">
      <w:pPr>
        <w:rPr>
          <w:lang w:val="es-MX"/>
        </w:rPr>
      </w:pPr>
    </w:p>
    <w:p w:rsidR="000860CB" w:rsidRPr="00933824" w:rsidRDefault="000860CB">
      <w:pPr>
        <w:pStyle w:val="Subtitle"/>
        <w:jc w:val="left"/>
        <w:rPr>
          <w:rFonts w:cs="Arial"/>
          <w:sz w:val="20"/>
          <w:lang w:val="es-MX"/>
        </w:rPr>
      </w:pPr>
    </w:p>
    <w:p w:rsidR="009A2515" w:rsidRPr="009703C1" w:rsidRDefault="00F430CC" w:rsidP="00F430CC">
      <w:pPr>
        <w:pStyle w:val="Heading3"/>
        <w:rPr>
          <w:lang w:val="es-CO"/>
        </w:rPr>
      </w:pPr>
      <w:r w:rsidRPr="009703C1">
        <w:rPr>
          <w:lang w:val="es-CO"/>
        </w:rPr>
        <w:t>Conclusiones</w:t>
      </w:r>
    </w:p>
    <w:p w:rsidR="009A2515" w:rsidRPr="009703C1" w:rsidRDefault="009A2515">
      <w:pPr>
        <w:pStyle w:val="Title"/>
        <w:jc w:val="both"/>
        <w:rPr>
          <w:rFonts w:cs="Arial"/>
          <w:bCs/>
          <w:spacing w:val="-3"/>
          <w:sz w:val="20"/>
          <w:szCs w:val="20"/>
          <w:lang w:val="es-CO"/>
        </w:rPr>
      </w:pPr>
    </w:p>
    <w:p w:rsidR="009A2515" w:rsidRPr="00301019" w:rsidRDefault="000860CB" w:rsidP="00F430CC">
      <w:pPr>
        <w:rPr>
          <w:lang w:val="en-US"/>
        </w:rPr>
      </w:pPr>
      <w:r w:rsidRPr="00301019">
        <w:rPr>
          <w:lang w:val="en-US"/>
        </w:rPr>
        <w:t>A</w:t>
      </w:r>
    </w:p>
    <w:p w:rsidR="009A2515" w:rsidRPr="00301019" w:rsidRDefault="009A2515">
      <w:pPr>
        <w:pStyle w:val="Title"/>
        <w:jc w:val="both"/>
        <w:rPr>
          <w:rFonts w:cs="Arial"/>
          <w:bCs/>
          <w:spacing w:val="-3"/>
          <w:sz w:val="20"/>
          <w:szCs w:val="20"/>
          <w:lang w:val="en-US"/>
        </w:rPr>
      </w:pPr>
    </w:p>
    <w:p w:rsidR="009A2515" w:rsidRPr="00301019" w:rsidRDefault="00F430CC" w:rsidP="00F430CC">
      <w:pPr>
        <w:pStyle w:val="Heading3"/>
        <w:rPr>
          <w:lang w:val="en-US"/>
        </w:rPr>
      </w:pPr>
      <w:r>
        <w:rPr>
          <w:lang w:val="en-US"/>
        </w:rPr>
        <w:t>Referencias</w:t>
      </w:r>
    </w:p>
    <w:p w:rsidR="009A2515" w:rsidRPr="00301019" w:rsidRDefault="009A2515">
      <w:pPr>
        <w:pStyle w:val="Subtitle"/>
        <w:rPr>
          <w:rFonts w:cs="Arial"/>
          <w:sz w:val="20"/>
          <w:lang w:val="en-US"/>
        </w:rPr>
      </w:pPr>
    </w:p>
    <w:p w:rsidR="00D23591" w:rsidRPr="00D23591" w:rsidRDefault="000860CB" w:rsidP="00D23591">
      <w:pPr>
        <w:widowControl w:val="0"/>
        <w:autoSpaceDE w:val="0"/>
        <w:autoSpaceDN w:val="0"/>
        <w:adjustRightInd w:val="0"/>
        <w:ind w:left="480" w:hanging="480"/>
        <w:rPr>
          <w:rFonts w:cs="Arial"/>
          <w:noProof/>
          <w:szCs w:val="24"/>
        </w:rPr>
      </w:pPr>
      <w:r>
        <w:rPr>
          <w:rFonts w:cs="Arial"/>
          <w:lang w:val="es-PE"/>
        </w:rPr>
        <w:fldChar w:fldCharType="begin" w:fldLock="1"/>
      </w:r>
      <w:r w:rsidRPr="000860CB">
        <w:rPr>
          <w:rFonts w:cs="Arial"/>
          <w:lang w:val="en-US"/>
        </w:rPr>
        <w:instrText xml:space="preserve">ADDIN Mendeley Bibliography CSL_BIBLIOGRAPHY </w:instrText>
      </w:r>
      <w:r>
        <w:rPr>
          <w:rFonts w:cs="Arial"/>
          <w:lang w:val="es-PE"/>
        </w:rPr>
        <w:fldChar w:fldCharType="separate"/>
      </w:r>
      <w:r w:rsidR="00D23591" w:rsidRPr="00D23591">
        <w:rPr>
          <w:rFonts w:cs="Arial"/>
          <w:noProof/>
          <w:szCs w:val="24"/>
        </w:rPr>
        <w:t>Chambers, J., &amp; Al, E. (2012). R-project. https://doi.org/10.1007/978-3-540-74686-7</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Coleman, P., &amp; Blankenship, R. (2017). What Spreadsheet and Database Skills Do Business Students Need?. </w:t>
      </w:r>
      <w:r w:rsidRPr="00D23591">
        <w:rPr>
          <w:rFonts w:cs="Arial"/>
          <w:i/>
          <w:iCs/>
          <w:noProof/>
          <w:szCs w:val="24"/>
        </w:rPr>
        <w:t>Journal of Instructional Pedagogies</w:t>
      </w:r>
      <w:r w:rsidRPr="00D23591">
        <w:rPr>
          <w:rFonts w:cs="Arial"/>
          <w:noProof/>
          <w:szCs w:val="24"/>
        </w:rPr>
        <w:t xml:space="preserve">, </w:t>
      </w:r>
      <w:r w:rsidRPr="00D23591">
        <w:rPr>
          <w:rFonts w:cs="Arial"/>
          <w:i/>
          <w:iCs/>
          <w:noProof/>
          <w:szCs w:val="24"/>
        </w:rPr>
        <w:t>19</w:t>
      </w:r>
      <w:r w:rsidRPr="00D23591">
        <w:rPr>
          <w:rFonts w:cs="Arial"/>
          <w:noProof/>
          <w:szCs w:val="24"/>
        </w:rPr>
        <w:t>, 1–8.</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DANE. (2015). </w:t>
      </w:r>
      <w:r w:rsidRPr="00D23591">
        <w:rPr>
          <w:rFonts w:cs="Arial"/>
          <w:i/>
          <w:iCs/>
          <w:noProof/>
          <w:szCs w:val="24"/>
        </w:rPr>
        <w:t>Ficha Metodológica Encuesta Mensual de Comercio al por Menor y Comercio de Vehículos - EMCM</w:t>
      </w:r>
      <w:r w:rsidRPr="00D23591">
        <w:rPr>
          <w:rFonts w:cs="Arial"/>
          <w:noProof/>
          <w:szCs w:val="24"/>
        </w:rPr>
        <w:t>. Retrieved from https://www.dane.gov.co/index.php/estadisticas-por-tema/comercio-interno/encuesta-emcm#informacion-emcm-junio-2019</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FedCSIS. (2016). Spreadsheet-based Business Process modeling. </w:t>
      </w:r>
      <w:r w:rsidRPr="00D23591">
        <w:rPr>
          <w:rFonts w:cs="Arial"/>
          <w:i/>
          <w:iCs/>
          <w:noProof/>
          <w:szCs w:val="24"/>
        </w:rPr>
        <w:t>2016 Federated Conference on Computer Science and Information Systems (FedCSIS), Computer Science and Information Systems (FedCSIS), 2016 Federated Conference On</w:t>
      </w:r>
      <w:r w:rsidRPr="00D23591">
        <w:rPr>
          <w:rFonts w:cs="Arial"/>
          <w:noProof/>
          <w:szCs w:val="24"/>
        </w:rPr>
        <w:t>, p. 1355. Polish Information Processing Society.</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Hyndman, R. J., &amp; Athanasopoulos, G. (2014). Forecasting : principles and practice. </w:t>
      </w:r>
      <w:r w:rsidRPr="00D23591">
        <w:rPr>
          <w:rFonts w:cs="Arial"/>
          <w:i/>
          <w:iCs/>
          <w:noProof/>
          <w:szCs w:val="24"/>
        </w:rPr>
        <w:t>Monash University</w:t>
      </w:r>
      <w:r w:rsidRPr="00D23591">
        <w:rPr>
          <w:rFonts w:cs="Arial"/>
          <w:noProof/>
          <w:szCs w:val="24"/>
        </w:rPr>
        <w:t>.</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Sadik, A. (2017). Students’ acceptance of file sharing systems as a tool for sharing course materials: The case of Google Drive. </w:t>
      </w:r>
      <w:r w:rsidRPr="00D23591">
        <w:rPr>
          <w:rFonts w:cs="Arial"/>
          <w:i/>
          <w:iCs/>
          <w:noProof/>
          <w:szCs w:val="24"/>
        </w:rPr>
        <w:t>Education and Information Technologies</w:t>
      </w:r>
      <w:r w:rsidRPr="00D23591">
        <w:rPr>
          <w:rFonts w:cs="Arial"/>
          <w:noProof/>
          <w:szCs w:val="24"/>
        </w:rPr>
        <w:t>. https://doi.org/10.1007/s10639-016-9556-z</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Wang, E., Cook, D., &amp; Hyndman, R. J. (2019). </w:t>
      </w:r>
      <w:r w:rsidRPr="00D23591">
        <w:rPr>
          <w:rFonts w:cs="Arial"/>
          <w:i/>
          <w:iCs/>
          <w:noProof/>
          <w:szCs w:val="24"/>
        </w:rPr>
        <w:t>A new tidy data structure to support exploration and modeling of temporal data</w:t>
      </w:r>
      <w:r w:rsidRPr="00D23591">
        <w:rPr>
          <w:rFonts w:cs="Arial"/>
          <w:noProof/>
          <w:szCs w:val="24"/>
        </w:rPr>
        <w:t>. (February). Retrieved from http://arxiv.org/abs/1901.10257</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Wickham, H. (2011). ggplot2. </w:t>
      </w:r>
      <w:r w:rsidRPr="00D23591">
        <w:rPr>
          <w:rFonts w:cs="Arial"/>
          <w:i/>
          <w:iCs/>
          <w:noProof/>
          <w:szCs w:val="24"/>
        </w:rPr>
        <w:t>Wiley Interdisciplinary Reviews: Computational Statistics</w:t>
      </w:r>
      <w:r w:rsidRPr="00D23591">
        <w:rPr>
          <w:rFonts w:cs="Arial"/>
          <w:noProof/>
          <w:szCs w:val="24"/>
        </w:rPr>
        <w:t>. https://doi.org/10.1002/wics.147</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Wickham, H. (2015). Tidy Data. </w:t>
      </w:r>
      <w:r w:rsidRPr="00D23591">
        <w:rPr>
          <w:rFonts w:cs="Arial"/>
          <w:i/>
          <w:iCs/>
          <w:noProof/>
          <w:szCs w:val="24"/>
        </w:rPr>
        <w:t>Journal of Statistical Software</w:t>
      </w:r>
      <w:r w:rsidRPr="00D23591">
        <w:rPr>
          <w:rFonts w:cs="Arial"/>
          <w:noProof/>
          <w:szCs w:val="24"/>
        </w:rPr>
        <w:t>. https://doi.org/10.18637/jss.v059.i10</w:t>
      </w:r>
    </w:p>
    <w:p w:rsidR="00D23591" w:rsidRPr="00D23591" w:rsidRDefault="00D23591" w:rsidP="00D23591">
      <w:pPr>
        <w:widowControl w:val="0"/>
        <w:autoSpaceDE w:val="0"/>
        <w:autoSpaceDN w:val="0"/>
        <w:adjustRightInd w:val="0"/>
        <w:ind w:left="480" w:hanging="480"/>
        <w:rPr>
          <w:rFonts w:cs="Arial"/>
          <w:noProof/>
          <w:szCs w:val="24"/>
        </w:rPr>
      </w:pPr>
      <w:r w:rsidRPr="00D23591">
        <w:rPr>
          <w:rFonts w:cs="Arial"/>
          <w:noProof/>
          <w:szCs w:val="24"/>
        </w:rPr>
        <w:t xml:space="preserve">Wickham, H., Francois, R., Henry, L., &amp; Müller, K. (2019). Package ‘dplyr’. A Grammar of Data Manipulation. </w:t>
      </w:r>
      <w:r w:rsidRPr="00D23591">
        <w:rPr>
          <w:rFonts w:cs="Arial"/>
          <w:i/>
          <w:iCs/>
          <w:noProof/>
          <w:szCs w:val="24"/>
        </w:rPr>
        <w:t>R Package Version 0.8.0.1</w:t>
      </w:r>
      <w:r w:rsidRPr="00D23591">
        <w:rPr>
          <w:rFonts w:cs="Arial"/>
          <w:noProof/>
          <w:szCs w:val="24"/>
        </w:rPr>
        <w:t>.</w:t>
      </w:r>
    </w:p>
    <w:p w:rsidR="00D23591" w:rsidRPr="00D23591" w:rsidRDefault="00D23591" w:rsidP="00D23591">
      <w:pPr>
        <w:widowControl w:val="0"/>
        <w:autoSpaceDE w:val="0"/>
        <w:autoSpaceDN w:val="0"/>
        <w:adjustRightInd w:val="0"/>
        <w:ind w:left="480" w:hanging="480"/>
        <w:rPr>
          <w:rFonts w:cs="Arial"/>
          <w:noProof/>
        </w:rPr>
      </w:pPr>
      <w:r w:rsidRPr="00D23591">
        <w:rPr>
          <w:rFonts w:cs="Arial"/>
          <w:noProof/>
          <w:szCs w:val="24"/>
        </w:rPr>
        <w:t xml:space="preserve">Wickham, H., Henry, L., &amp; RStudio. (2017). R: Package ‘tidyr.’ </w:t>
      </w:r>
      <w:r w:rsidRPr="00D23591">
        <w:rPr>
          <w:rFonts w:cs="Arial"/>
          <w:i/>
          <w:iCs/>
          <w:noProof/>
          <w:szCs w:val="24"/>
        </w:rPr>
        <w:t>Cran</w:t>
      </w:r>
      <w:r w:rsidRPr="00D23591">
        <w:rPr>
          <w:rFonts w:cs="Arial"/>
          <w:noProof/>
          <w:szCs w:val="24"/>
        </w:rPr>
        <w:t>.</w:t>
      </w:r>
    </w:p>
    <w:p w:rsidR="000860CB" w:rsidRPr="002B0F84" w:rsidRDefault="000860CB">
      <w:pPr>
        <w:pStyle w:val="Subtitle"/>
        <w:rPr>
          <w:rFonts w:cs="Arial"/>
          <w:sz w:val="20"/>
          <w:lang w:val="es-PE"/>
        </w:rPr>
      </w:pPr>
      <w:r>
        <w:rPr>
          <w:rFonts w:cs="Arial"/>
          <w:sz w:val="20"/>
          <w:lang w:val="es-PE"/>
        </w:rPr>
        <w:fldChar w:fldCharType="end"/>
      </w:r>
    </w:p>
    <w:sectPr w:rsidR="000860CB" w:rsidRPr="002B0F84" w:rsidSect="00933824">
      <w:footerReference w:type="even" r:id="rId11"/>
      <w:footerReference w:type="default" r:id="rId12"/>
      <w:type w:val="continuous"/>
      <w:pgSz w:w="11907" w:h="16840" w:code="9"/>
      <w:pgMar w:top="1134" w:right="1134" w:bottom="1134" w:left="1134" w:header="567" w:footer="567" w:gutter="0"/>
      <w:cols w:space="85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CC5" w:rsidRDefault="00227CC5">
      <w:r>
        <w:separator/>
      </w:r>
    </w:p>
  </w:endnote>
  <w:endnote w:type="continuationSeparator" w:id="0">
    <w:p w:rsidR="00227CC5" w:rsidRDefault="0022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3AC" w:rsidRDefault="00C653A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53AC" w:rsidRDefault="00C653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3AC" w:rsidRDefault="00C653AC">
    <w:pPr>
      <w:pStyle w:val="Footer"/>
      <w:framePr w:wrap="around" w:vAnchor="text" w:hAnchor="margin" w:xAlign="right" w:y="1"/>
      <w:rPr>
        <w:rStyle w:val="PageNumber"/>
        <w:rFonts w:cs="Arial"/>
        <w:b/>
        <w:bCs/>
        <w:sz w:val="24"/>
      </w:rPr>
    </w:pPr>
  </w:p>
  <w:p w:rsidR="00C653AC" w:rsidRDefault="00C653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CC5" w:rsidRDefault="00227CC5">
      <w:r>
        <w:separator/>
      </w:r>
    </w:p>
  </w:footnote>
  <w:footnote w:type="continuationSeparator" w:id="0">
    <w:p w:rsidR="00227CC5" w:rsidRDefault="00227C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84E12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4B4A89"/>
    <w:multiLevelType w:val="singleLevel"/>
    <w:tmpl w:val="5284F668"/>
    <w:lvl w:ilvl="0">
      <w:start w:val="1"/>
      <w:numFmt w:val="decimal"/>
      <w:lvlText w:val="%1."/>
      <w:legacy w:legacy="1" w:legacySpace="0" w:legacyIndent="283"/>
      <w:lvlJc w:val="left"/>
      <w:pPr>
        <w:ind w:left="283" w:hanging="283"/>
      </w:pPr>
    </w:lvl>
  </w:abstractNum>
  <w:abstractNum w:abstractNumId="2" w15:restartNumberingAfterBreak="0">
    <w:nsid w:val="055E0B8F"/>
    <w:multiLevelType w:val="singleLevel"/>
    <w:tmpl w:val="35BA9274"/>
    <w:lvl w:ilvl="0">
      <w:start w:val="1"/>
      <w:numFmt w:val="decimal"/>
      <w:lvlText w:val="%1."/>
      <w:legacy w:legacy="1" w:legacySpace="0" w:legacyIndent="360"/>
      <w:lvlJc w:val="left"/>
      <w:pPr>
        <w:ind w:left="360" w:hanging="360"/>
      </w:pPr>
    </w:lvl>
  </w:abstractNum>
  <w:abstractNum w:abstractNumId="3" w15:restartNumberingAfterBreak="0">
    <w:nsid w:val="15103FC2"/>
    <w:multiLevelType w:val="singleLevel"/>
    <w:tmpl w:val="0C7AEAE8"/>
    <w:lvl w:ilvl="0">
      <w:start w:val="1"/>
      <w:numFmt w:val="lowerRoman"/>
      <w:lvlText w:val="%1)"/>
      <w:legacy w:legacy="1" w:legacySpace="0" w:legacyIndent="283"/>
      <w:lvlJc w:val="left"/>
      <w:pPr>
        <w:ind w:left="283" w:hanging="283"/>
      </w:pPr>
    </w:lvl>
  </w:abstractNum>
  <w:abstractNum w:abstractNumId="4" w15:restartNumberingAfterBreak="0">
    <w:nsid w:val="182A36D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5" w15:restartNumberingAfterBreak="0">
    <w:nsid w:val="228F6E5E"/>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6" w15:restartNumberingAfterBreak="0">
    <w:nsid w:val="2C57450A"/>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7" w15:restartNumberingAfterBreak="0">
    <w:nsid w:val="3025347B"/>
    <w:multiLevelType w:val="singleLevel"/>
    <w:tmpl w:val="0C7AEAE8"/>
    <w:lvl w:ilvl="0">
      <w:start w:val="1"/>
      <w:numFmt w:val="lowerRoman"/>
      <w:lvlText w:val="%1)"/>
      <w:legacy w:legacy="1" w:legacySpace="0" w:legacyIndent="283"/>
      <w:lvlJc w:val="left"/>
      <w:pPr>
        <w:ind w:left="283" w:hanging="283"/>
      </w:pPr>
    </w:lvl>
  </w:abstractNum>
  <w:abstractNum w:abstractNumId="8" w15:restartNumberingAfterBreak="0">
    <w:nsid w:val="30AD068C"/>
    <w:multiLevelType w:val="singleLevel"/>
    <w:tmpl w:val="AB58F4C8"/>
    <w:lvl w:ilvl="0">
      <w:start w:val="1"/>
      <w:numFmt w:val="decimal"/>
      <w:lvlText w:val="%1."/>
      <w:legacy w:legacy="1" w:legacySpace="0" w:legacyIndent="360"/>
      <w:lvlJc w:val="left"/>
      <w:pPr>
        <w:ind w:left="360" w:hanging="360"/>
      </w:pPr>
    </w:lvl>
  </w:abstractNum>
  <w:abstractNum w:abstractNumId="9" w15:restartNumberingAfterBreak="0">
    <w:nsid w:val="319B409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0" w15:restartNumberingAfterBreak="0">
    <w:nsid w:val="34C35EDC"/>
    <w:multiLevelType w:val="hybridMultilevel"/>
    <w:tmpl w:val="FE1A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65009F"/>
    <w:multiLevelType w:val="singleLevel"/>
    <w:tmpl w:val="0C7AEAE8"/>
    <w:lvl w:ilvl="0">
      <w:start w:val="1"/>
      <w:numFmt w:val="lowerRoman"/>
      <w:lvlText w:val="%1)"/>
      <w:legacy w:legacy="1" w:legacySpace="0" w:legacyIndent="283"/>
      <w:lvlJc w:val="left"/>
      <w:pPr>
        <w:ind w:left="283" w:hanging="283"/>
      </w:pPr>
    </w:lvl>
  </w:abstractNum>
  <w:abstractNum w:abstractNumId="12" w15:restartNumberingAfterBreak="0">
    <w:nsid w:val="3DAE7B24"/>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44245860"/>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49C56002"/>
    <w:multiLevelType w:val="singleLevel"/>
    <w:tmpl w:val="0C7AEAE8"/>
    <w:lvl w:ilvl="0">
      <w:start w:val="1"/>
      <w:numFmt w:val="lowerRoman"/>
      <w:lvlText w:val="%1)"/>
      <w:legacy w:legacy="1" w:legacySpace="0" w:legacyIndent="283"/>
      <w:lvlJc w:val="left"/>
      <w:pPr>
        <w:ind w:left="283" w:hanging="283"/>
      </w:pPr>
    </w:lvl>
  </w:abstractNum>
  <w:abstractNum w:abstractNumId="15" w15:restartNumberingAfterBreak="0">
    <w:nsid w:val="4FD72FF5"/>
    <w:multiLevelType w:val="singleLevel"/>
    <w:tmpl w:val="03A64F5C"/>
    <w:lvl w:ilvl="0">
      <w:start w:val="3"/>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578550F2"/>
    <w:multiLevelType w:val="singleLevel"/>
    <w:tmpl w:val="16F4FFEC"/>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60F31E11"/>
    <w:multiLevelType w:val="hybridMultilevel"/>
    <w:tmpl w:val="6874A56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6720111"/>
    <w:multiLevelType w:val="singleLevel"/>
    <w:tmpl w:val="0C7AEAE8"/>
    <w:lvl w:ilvl="0">
      <w:start w:val="1"/>
      <w:numFmt w:val="lowerRoman"/>
      <w:lvlText w:val="%1)"/>
      <w:legacy w:legacy="1" w:legacySpace="0" w:legacyIndent="283"/>
      <w:lvlJc w:val="left"/>
      <w:pPr>
        <w:ind w:left="283" w:hanging="283"/>
      </w:pPr>
    </w:lvl>
  </w:abstractNum>
  <w:abstractNum w:abstractNumId="19" w15:restartNumberingAfterBreak="0">
    <w:nsid w:val="6D26176E"/>
    <w:multiLevelType w:val="singleLevel"/>
    <w:tmpl w:val="21CAB16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0" w15:restartNumberingAfterBreak="0">
    <w:nsid w:val="7AC10FD4"/>
    <w:multiLevelType w:val="singleLevel"/>
    <w:tmpl w:val="EED2B61A"/>
    <w:lvl w:ilvl="0">
      <w:start w:val="1"/>
      <w:numFmt w:val="decimal"/>
      <w:lvlText w:val="%1."/>
      <w:legacy w:legacy="1" w:legacySpace="0" w:legacyIndent="360"/>
      <w:lvlJc w:val="left"/>
      <w:pPr>
        <w:ind w:left="360" w:hanging="360"/>
      </w:pPr>
    </w:lvl>
  </w:abstractNum>
  <w:num w:numId="1">
    <w:abstractNumId w:val="20"/>
  </w:num>
  <w:num w:numId="2">
    <w:abstractNumId w:val="8"/>
  </w:num>
  <w:num w:numId="3">
    <w:abstractNumId w:val="2"/>
  </w:num>
  <w:num w:numId="4">
    <w:abstractNumId w:val="1"/>
  </w:num>
  <w:num w:numId="5">
    <w:abstractNumId w:val="16"/>
  </w:num>
  <w:num w:numId="6">
    <w:abstractNumId w:val="15"/>
  </w:num>
  <w:num w:numId="7">
    <w:abstractNumId w:val="15"/>
    <w:lvlOverride w:ilvl="0">
      <w:lvl w:ilvl="0">
        <w:start w:val="1"/>
        <w:numFmt w:val="lowerRoman"/>
        <w:lvlText w:val="%1) "/>
        <w:legacy w:legacy="1" w:legacySpace="0" w:legacyIndent="283"/>
        <w:lvlJc w:val="left"/>
        <w:pPr>
          <w:ind w:left="283" w:hanging="283"/>
        </w:pPr>
        <w:rPr>
          <w:rFonts w:ascii="Times New Roman" w:hAnsi="Times New Roman" w:hint="default"/>
          <w:b w:val="0"/>
          <w:i w:val="0"/>
          <w:sz w:val="24"/>
          <w:u w:val="none"/>
        </w:rPr>
      </w:lvl>
    </w:lvlOverride>
  </w:num>
  <w:num w:numId="8">
    <w:abstractNumId w:val="19"/>
  </w:num>
  <w:num w:numId="9">
    <w:abstractNumId w:val="11"/>
  </w:num>
  <w:num w:numId="10">
    <w:abstractNumId w:val="5"/>
  </w:num>
  <w:num w:numId="11">
    <w:abstractNumId w:val="6"/>
  </w:num>
  <w:num w:numId="12">
    <w:abstractNumId w:val="7"/>
  </w:num>
  <w:num w:numId="13">
    <w:abstractNumId w:val="7"/>
    <w:lvlOverride w:ilvl="0">
      <w:lvl w:ilvl="0">
        <w:start w:val="4"/>
        <w:numFmt w:val="lowerRoman"/>
        <w:lvlText w:val="%1)"/>
        <w:legacy w:legacy="1" w:legacySpace="0" w:legacyIndent="283"/>
        <w:lvlJc w:val="left"/>
        <w:pPr>
          <w:ind w:left="283" w:hanging="283"/>
        </w:pPr>
      </w:lvl>
    </w:lvlOverride>
  </w:num>
  <w:num w:numId="14">
    <w:abstractNumId w:val="4"/>
  </w:num>
  <w:num w:numId="15">
    <w:abstractNumId w:val="13"/>
  </w:num>
  <w:num w:numId="16">
    <w:abstractNumId w:val="18"/>
  </w:num>
  <w:num w:numId="17">
    <w:abstractNumId w:val="9"/>
  </w:num>
  <w:num w:numId="18">
    <w:abstractNumId w:val="3"/>
  </w:num>
  <w:num w:numId="19">
    <w:abstractNumId w:val="12"/>
  </w:num>
  <w:num w:numId="20">
    <w:abstractNumId w:val="14"/>
  </w:num>
  <w:num w:numId="21">
    <w:abstractNumId w:val="0"/>
  </w:num>
  <w:num w:numId="22">
    <w:abstractNumId w:val="17"/>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0"/>
  <w:activeWritingStyle w:appName="MSWord" w:lang="en-US" w:vendorID="64" w:dllVersion="131078" w:nlCheck="1" w:checkStyle="0"/>
  <w:activeWritingStyle w:appName="MSWord" w:lang="es-CO" w:vendorID="64" w:dllVersion="131078" w:nlCheck="1" w:checkStyle="0"/>
  <w:activeWritingStyle w:appName="MSWord" w:lang="es-MX" w:vendorID="64" w:dllVersion="131078" w:nlCheck="1" w:checkStyle="1"/>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D7"/>
    <w:rsid w:val="00011A45"/>
    <w:rsid w:val="000177E8"/>
    <w:rsid w:val="000460CF"/>
    <w:rsid w:val="0007081F"/>
    <w:rsid w:val="000818D5"/>
    <w:rsid w:val="000860CB"/>
    <w:rsid w:val="000B1B93"/>
    <w:rsid w:val="000B5C0B"/>
    <w:rsid w:val="000D03E4"/>
    <w:rsid w:val="000E35B3"/>
    <w:rsid w:val="001120CA"/>
    <w:rsid w:val="0014195E"/>
    <w:rsid w:val="0017259C"/>
    <w:rsid w:val="001769B8"/>
    <w:rsid w:val="00186EBC"/>
    <w:rsid w:val="002006D7"/>
    <w:rsid w:val="00222119"/>
    <w:rsid w:val="00227CC5"/>
    <w:rsid w:val="00240E0C"/>
    <w:rsid w:val="00260A4E"/>
    <w:rsid w:val="00262CDA"/>
    <w:rsid w:val="002958B0"/>
    <w:rsid w:val="002B0F84"/>
    <w:rsid w:val="002C244E"/>
    <w:rsid w:val="002C764A"/>
    <w:rsid w:val="00301019"/>
    <w:rsid w:val="003878DE"/>
    <w:rsid w:val="003A6261"/>
    <w:rsid w:val="003B2EF8"/>
    <w:rsid w:val="003D5EED"/>
    <w:rsid w:val="00445BBA"/>
    <w:rsid w:val="00483908"/>
    <w:rsid w:val="004866AA"/>
    <w:rsid w:val="004D5C3C"/>
    <w:rsid w:val="004E5D2C"/>
    <w:rsid w:val="00510058"/>
    <w:rsid w:val="00510060"/>
    <w:rsid w:val="00513B78"/>
    <w:rsid w:val="00517F1A"/>
    <w:rsid w:val="00531C49"/>
    <w:rsid w:val="00532285"/>
    <w:rsid w:val="00545320"/>
    <w:rsid w:val="00572863"/>
    <w:rsid w:val="00586F58"/>
    <w:rsid w:val="005A35D2"/>
    <w:rsid w:val="005C4A92"/>
    <w:rsid w:val="005E76D3"/>
    <w:rsid w:val="00733671"/>
    <w:rsid w:val="00763166"/>
    <w:rsid w:val="00780789"/>
    <w:rsid w:val="007B5589"/>
    <w:rsid w:val="007E590E"/>
    <w:rsid w:val="007F7844"/>
    <w:rsid w:val="008535FD"/>
    <w:rsid w:val="00891D84"/>
    <w:rsid w:val="00933824"/>
    <w:rsid w:val="00946645"/>
    <w:rsid w:val="009703C1"/>
    <w:rsid w:val="0097132C"/>
    <w:rsid w:val="009A2515"/>
    <w:rsid w:val="009B1789"/>
    <w:rsid w:val="009B7ABD"/>
    <w:rsid w:val="009C02AC"/>
    <w:rsid w:val="009D6060"/>
    <w:rsid w:val="009E2E37"/>
    <w:rsid w:val="00A022AE"/>
    <w:rsid w:val="00A31F14"/>
    <w:rsid w:val="00A53D06"/>
    <w:rsid w:val="00AB61A1"/>
    <w:rsid w:val="00B16947"/>
    <w:rsid w:val="00B30A62"/>
    <w:rsid w:val="00B44B54"/>
    <w:rsid w:val="00B63A4D"/>
    <w:rsid w:val="00BE5C8E"/>
    <w:rsid w:val="00BF71E7"/>
    <w:rsid w:val="00C266B5"/>
    <w:rsid w:val="00C54A01"/>
    <w:rsid w:val="00C653AC"/>
    <w:rsid w:val="00CC32EE"/>
    <w:rsid w:val="00CD280C"/>
    <w:rsid w:val="00CF6C27"/>
    <w:rsid w:val="00D23591"/>
    <w:rsid w:val="00D32A35"/>
    <w:rsid w:val="00D35B9F"/>
    <w:rsid w:val="00D75CEF"/>
    <w:rsid w:val="00DC220F"/>
    <w:rsid w:val="00DD32A4"/>
    <w:rsid w:val="00DD518C"/>
    <w:rsid w:val="00E04386"/>
    <w:rsid w:val="00E22999"/>
    <w:rsid w:val="00E267FF"/>
    <w:rsid w:val="00E650D7"/>
    <w:rsid w:val="00E77044"/>
    <w:rsid w:val="00EA36F4"/>
    <w:rsid w:val="00EE216E"/>
    <w:rsid w:val="00EE4FC5"/>
    <w:rsid w:val="00EE7DB5"/>
    <w:rsid w:val="00EF3D30"/>
    <w:rsid w:val="00EF589F"/>
    <w:rsid w:val="00F430CC"/>
    <w:rsid w:val="00F80A02"/>
    <w:rsid w:val="00F85502"/>
    <w:rsid w:val="00FD4C83"/>
    <w:rsid w:val="00FE0C10"/>
    <w:rsid w:val="00FF509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F1D64BA"/>
  <w15:docId w15:val="{E61E4D9E-98F8-4768-A684-155150D56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CEF"/>
    <w:pPr>
      <w:jc w:val="both"/>
    </w:pPr>
    <w:rPr>
      <w:rFonts w:ascii="Arial" w:hAnsi="Arial"/>
      <w:lang w:val="es-ES" w:eastAsia="es-ES"/>
    </w:rPr>
  </w:style>
  <w:style w:type="paragraph" w:styleId="Heading1">
    <w:name w:val="heading 1"/>
    <w:basedOn w:val="Normal"/>
    <w:next w:val="Normal"/>
    <w:qFormat/>
    <w:pPr>
      <w:keepNext/>
      <w:outlineLvl w:val="0"/>
    </w:pPr>
    <w:rPr>
      <w:sz w:val="28"/>
      <w:szCs w:val="28"/>
    </w:rPr>
  </w:style>
  <w:style w:type="paragraph" w:styleId="Heading2">
    <w:name w:val="heading 2"/>
    <w:basedOn w:val="Normal"/>
    <w:next w:val="Normal"/>
    <w:qFormat/>
    <w:pPr>
      <w:keepNext/>
      <w:outlineLvl w:val="1"/>
    </w:pPr>
    <w:rPr>
      <w:rFonts w:cs="Arial"/>
      <w:b/>
      <w:bCs/>
    </w:rPr>
  </w:style>
  <w:style w:type="paragraph" w:styleId="Heading3">
    <w:name w:val="heading 3"/>
    <w:basedOn w:val="Normal"/>
    <w:next w:val="Normal"/>
    <w:qFormat/>
    <w:rsid w:val="00F430CC"/>
    <w:pPr>
      <w:keepNext/>
      <w:outlineLvl w:val="2"/>
    </w:pPr>
    <w:rPr>
      <w:rFonts w:cs="Arial"/>
      <w:b/>
      <w:bCs/>
      <w:caps/>
    </w:rPr>
  </w:style>
  <w:style w:type="paragraph" w:styleId="Heading4">
    <w:name w:val="heading 4"/>
    <w:basedOn w:val="Normal"/>
    <w:next w:val="Normal"/>
    <w:qFormat/>
    <w:pPr>
      <w:keepNext/>
      <w:overflowPunct w:val="0"/>
      <w:autoSpaceDE w:val="0"/>
      <w:autoSpaceDN w:val="0"/>
      <w:adjustRightInd w:val="0"/>
      <w:textAlignment w:val="baseline"/>
      <w:outlineLvl w:val="3"/>
    </w:pPr>
    <w:rPr>
      <w:b/>
      <w:sz w:val="28"/>
      <w:lang w:val="es-ES_tradnl"/>
    </w:rPr>
  </w:style>
  <w:style w:type="paragraph" w:styleId="Heading5">
    <w:name w:val="heading 5"/>
    <w:basedOn w:val="Normal"/>
    <w:next w:val="Normal"/>
    <w:qFormat/>
    <w:pPr>
      <w:keepNext/>
      <w:widowControl w:val="0"/>
      <w:overflowPunct w:val="0"/>
      <w:autoSpaceDE w:val="0"/>
      <w:autoSpaceDN w:val="0"/>
      <w:adjustRightInd w:val="0"/>
      <w:jc w:val="right"/>
      <w:textAlignment w:val="baseline"/>
      <w:outlineLvl w:val="4"/>
    </w:pPr>
    <w:rPr>
      <w:sz w:val="24"/>
      <w:lang w:val="es-ES_tradnl"/>
    </w:rPr>
  </w:style>
  <w:style w:type="paragraph" w:styleId="Heading6">
    <w:name w:val="heading 6"/>
    <w:basedOn w:val="Normal"/>
    <w:next w:val="Normal"/>
    <w:qFormat/>
    <w:pPr>
      <w:keepNext/>
      <w:jc w:val="right"/>
      <w:outlineLvl w:val="5"/>
    </w:pPr>
    <w:rPr>
      <w:rFonts w:cs="Arial"/>
      <w:i/>
      <w:sz w:val="22"/>
    </w:rPr>
  </w:style>
  <w:style w:type="paragraph" w:styleId="Heading7">
    <w:name w:val="heading 7"/>
    <w:basedOn w:val="Normal"/>
    <w:next w:val="Normal"/>
    <w:qFormat/>
    <w:pPr>
      <w:keepNext/>
      <w:spacing w:before="40" w:after="40"/>
      <w:jc w:val="center"/>
      <w:outlineLvl w:val="6"/>
    </w:pPr>
    <w:rPr>
      <w:rFonts w:cs="Arial"/>
      <w:i/>
      <w:sz w:val="22"/>
    </w:rPr>
  </w:style>
  <w:style w:type="paragraph" w:styleId="Heading8">
    <w:name w:val="heading 8"/>
    <w:basedOn w:val="Normal"/>
    <w:next w:val="Normal"/>
    <w:qFormat/>
    <w:pPr>
      <w:keepNext/>
      <w:spacing w:before="60" w:after="240"/>
      <w:jc w:val="center"/>
      <w:outlineLvl w:val="7"/>
    </w:pPr>
    <w:rPr>
      <w:rFonts w:cs="Arial"/>
      <w:i/>
    </w:rPr>
  </w:style>
  <w:style w:type="paragraph" w:styleId="Heading9">
    <w:name w:val="heading 9"/>
    <w:basedOn w:val="Normal"/>
    <w:next w:val="Normal"/>
    <w:qFormat/>
    <w:pPr>
      <w:keepNext/>
      <w:outlineLvl w:val="8"/>
    </w:pPr>
    <w:rPr>
      <w:rFonts w:cs="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36"/>
    </w:rPr>
  </w:style>
  <w:style w:type="paragraph" w:styleId="BodyText">
    <w:name w:val="Body Text"/>
    <w:basedOn w:val="Normal"/>
    <w:rPr>
      <w:sz w:val="24"/>
      <w:szCs w:val="24"/>
    </w:rPr>
  </w:style>
  <w:style w:type="paragraph" w:styleId="BodyTextIndent">
    <w:name w:val="Body Text Indent"/>
    <w:basedOn w:val="Normal"/>
    <w:pPr>
      <w:spacing w:after="120"/>
    </w:pPr>
    <w:rPr>
      <w:rFonts w:cs="Arial"/>
    </w:rPr>
  </w:style>
  <w:style w:type="paragraph" w:styleId="BodyText3">
    <w:name w:val="Body Text 3"/>
    <w:basedOn w:val="Normal"/>
    <w:pPr>
      <w:spacing w:after="80"/>
    </w:pPr>
    <w:rPr>
      <w:rFonts w:cs="Arial"/>
    </w:rPr>
  </w:style>
  <w:style w:type="paragraph" w:styleId="BlockText">
    <w:name w:val="Block Text"/>
    <w:basedOn w:val="Normal"/>
    <w:pPr>
      <w:spacing w:before="120"/>
      <w:ind w:left="284" w:right="284"/>
      <w:jc w:val="center"/>
    </w:pPr>
    <w:rPr>
      <w:rFonts w:cs="Arial"/>
      <w:b/>
      <w:bCs/>
      <w:sz w:val="44"/>
      <w:lang w:val="es-ES_tradnl"/>
    </w:rPr>
  </w:style>
  <w:style w:type="paragraph" w:styleId="BodyText2">
    <w:name w:val="Body Text 2"/>
    <w:basedOn w:val="Normal"/>
    <w:rPr>
      <w:rFonts w:cs="Arial"/>
      <w:sz w:val="22"/>
    </w:rPr>
  </w:style>
  <w:style w:type="paragraph" w:styleId="Subtitle">
    <w:name w:val="Subtitle"/>
    <w:basedOn w:val="Normal"/>
    <w:qFormat/>
    <w:pPr>
      <w:widowControl w:val="0"/>
      <w:suppressAutoHyphens/>
      <w:overflowPunct w:val="0"/>
      <w:autoSpaceDE w:val="0"/>
      <w:autoSpaceDN w:val="0"/>
      <w:adjustRightInd w:val="0"/>
      <w:textAlignment w:val="baseline"/>
    </w:pPr>
    <w:rPr>
      <w:b/>
      <w:spacing w:val="-3"/>
      <w:sz w:val="24"/>
      <w:lang w:val="es-ES_tradnl" w:bidi="he-IL"/>
    </w:rPr>
  </w:style>
  <w:style w:type="paragraph" w:styleId="BodyTextIndent2">
    <w:name w:val="Body Text Indent 2"/>
    <w:basedOn w:val="Normal"/>
    <w:pPr>
      <w:spacing w:before="120" w:after="120" w:line="360" w:lineRule="auto"/>
      <w:ind w:firstLine="851"/>
    </w:pPr>
    <w:rPr>
      <w:sz w:val="24"/>
      <w:lang w:val="es-ES_tradnl"/>
    </w:r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Header">
    <w:name w:val="header"/>
    <w:basedOn w:val="Normal"/>
    <w:pPr>
      <w:tabs>
        <w:tab w:val="center" w:pos="4419"/>
        <w:tab w:val="right" w:pos="8838"/>
      </w:tabs>
    </w:pPr>
  </w:style>
  <w:style w:type="paragraph" w:customStyle="1" w:styleId="Textoindependiente21">
    <w:name w:val="Texto independiente 21"/>
    <w:basedOn w:val="Normal"/>
    <w:pPr>
      <w:widowControl w:val="0"/>
      <w:overflowPunct w:val="0"/>
      <w:autoSpaceDE w:val="0"/>
      <w:autoSpaceDN w:val="0"/>
      <w:adjustRightInd w:val="0"/>
      <w:jc w:val="center"/>
      <w:textAlignment w:val="baseline"/>
    </w:pPr>
    <w:rPr>
      <w:sz w:val="24"/>
      <w:lang w:val="es-ES_tradnl"/>
    </w:rPr>
  </w:style>
  <w:style w:type="paragraph" w:customStyle="1" w:styleId="BodyText21">
    <w:name w:val="Body Text 21"/>
    <w:basedOn w:val="Normal"/>
    <w:pPr>
      <w:widowControl w:val="0"/>
    </w:pPr>
    <w:rPr>
      <w:b/>
      <w:sz w:val="18"/>
      <w:lang w:val="en-US"/>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rPr>
      <w:color w:val="0000FF"/>
      <w:u w:val="single"/>
    </w:rPr>
  </w:style>
  <w:style w:type="character" w:styleId="Strong">
    <w:name w:val="Strong"/>
    <w:qFormat/>
    <w:rPr>
      <w:b/>
      <w:bCs/>
    </w:rPr>
  </w:style>
  <w:style w:type="table" w:styleId="TableGrid">
    <w:name w:val="Table Grid"/>
    <w:basedOn w:val="TableNormal"/>
    <w:rsid w:val="0093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301019"/>
    <w:rPr>
      <w:color w:val="800080" w:themeColor="followedHyperlink"/>
      <w:u w:val="single"/>
    </w:rPr>
  </w:style>
  <w:style w:type="paragraph" w:styleId="ListParagraph">
    <w:name w:val="List Paragraph"/>
    <w:basedOn w:val="Normal"/>
    <w:uiPriority w:val="34"/>
    <w:qFormat/>
    <w:rsid w:val="00AB61A1"/>
    <w:pPr>
      <w:ind w:left="720"/>
      <w:contextualSpacing/>
    </w:pPr>
  </w:style>
  <w:style w:type="character" w:styleId="PlaceholderText">
    <w:name w:val="Placeholder Text"/>
    <w:basedOn w:val="DefaultParagraphFont"/>
    <w:uiPriority w:val="99"/>
    <w:semiHidden/>
    <w:rsid w:val="00AB61A1"/>
    <w:rPr>
      <w:color w:val="808080"/>
    </w:rPr>
  </w:style>
  <w:style w:type="table" w:styleId="PlainTable5">
    <w:name w:val="Plain Table 5"/>
    <w:basedOn w:val="TableNormal"/>
    <w:uiPriority w:val="45"/>
    <w:rsid w:val="00EA36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E4FC5"/>
    <w:pPr>
      <w:jc w:val="center"/>
    </w:pPr>
    <w:rPr>
      <w:rFonts w:ascii="Arial" w:hAnsi="Arial"/>
    </w:rPr>
    <w:tblPr>
      <w:tblStyleRowBandSize w:val="1"/>
      <w:tblStyleColBandSize w:val="1"/>
    </w:tblPr>
    <w:tcPr>
      <w:vAlign w:val="center"/>
    </w:tcPr>
    <w:tblStylePr w:type="firstRow">
      <w:rPr>
        <w:rFonts w:ascii="Arial" w:hAnsi="Arial"/>
        <w:b/>
        <w:bCs/>
        <w:i w:val="0"/>
        <w:caps w:val="0"/>
        <w:smallCaps w:val="0"/>
        <w:strike w:val="0"/>
        <w:dstrike w:val="0"/>
        <w:vanish w:val="0"/>
        <w:vertAlign w:val="baseline"/>
      </w:rPr>
      <w:tblPr>
        <w:jc w:val="center"/>
      </w:tblPr>
      <w:trPr>
        <w:jc w:val="center"/>
      </w:trPr>
      <w:tcPr>
        <w:tcBorders>
          <w:top w:val="single" w:sz="6" w:space="0" w:color="auto"/>
          <w:left w:val="nil"/>
          <w:bottom w:val="single" w:sz="6" w:space="0" w:color="auto"/>
          <w:right w:val="nil"/>
          <w:insideH w:val="nil"/>
          <w:insideV w:val="nil"/>
        </w:tcBorders>
      </w:tcPr>
    </w:tblStylePr>
    <w:tblStylePr w:type="lastRow">
      <w:rPr>
        <w:b/>
        <w:bCs/>
        <w:caps/>
      </w:rPr>
      <w:tblPr/>
      <w:tcPr>
        <w:tcBorders>
          <w:top w:val="nil"/>
        </w:tcBorders>
      </w:tcPr>
    </w:tblStylePr>
    <w:tblStylePr w:type="firstCol">
      <w:rPr>
        <w:rFonts w:ascii="Arial" w:hAnsi="Arial"/>
        <w:b w:val="0"/>
        <w:bCs/>
        <w:caps/>
      </w:rPr>
      <w:tblPr/>
      <w:tcPr>
        <w:tcBorders>
          <w:top w:val="nil"/>
          <w:left w:val="nil"/>
          <w:bottom w:val="nil"/>
          <w:right w:val="nil"/>
          <w:insideH w:val="nil"/>
          <w:insideV w:val="nil"/>
          <w:tl2br w:val="nil"/>
          <w:tr2bl w:val="nil"/>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nhideWhenUsed/>
    <w:qFormat/>
    <w:rsid w:val="005A35D2"/>
    <w:pPr>
      <w:spacing w:after="200"/>
      <w:jc w:val="center"/>
    </w:pPr>
    <w:rPr>
      <w:iCs/>
      <w:szCs w:val="18"/>
    </w:rPr>
  </w:style>
  <w:style w:type="table" w:styleId="PlainTable2">
    <w:name w:val="Plain Table 2"/>
    <w:basedOn w:val="TableNormal"/>
    <w:uiPriority w:val="42"/>
    <w:rsid w:val="008535F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11793">
      <w:bodyDiv w:val="1"/>
      <w:marLeft w:val="0"/>
      <w:marRight w:val="0"/>
      <w:marTop w:val="0"/>
      <w:marBottom w:val="0"/>
      <w:divBdr>
        <w:top w:val="none" w:sz="0" w:space="0" w:color="auto"/>
        <w:left w:val="none" w:sz="0" w:space="0" w:color="auto"/>
        <w:bottom w:val="none" w:sz="0" w:space="0" w:color="auto"/>
        <w:right w:val="none" w:sz="0" w:space="0" w:color="auto"/>
      </w:divBdr>
    </w:div>
    <w:div w:id="1278023797">
      <w:bodyDiv w:val="1"/>
      <w:marLeft w:val="0"/>
      <w:marRight w:val="0"/>
      <w:marTop w:val="0"/>
      <w:marBottom w:val="0"/>
      <w:divBdr>
        <w:top w:val="none" w:sz="0" w:space="0" w:color="auto"/>
        <w:left w:val="none" w:sz="0" w:space="0" w:color="auto"/>
        <w:bottom w:val="none" w:sz="0" w:space="0" w:color="auto"/>
        <w:right w:val="none" w:sz="0" w:space="0" w:color="auto"/>
      </w:divBdr>
    </w:div>
    <w:div w:id="2015185177">
      <w:bodyDiv w:val="1"/>
      <w:marLeft w:val="0"/>
      <w:marRight w:val="0"/>
      <w:marTop w:val="0"/>
      <w:marBottom w:val="0"/>
      <w:divBdr>
        <w:top w:val="none" w:sz="0" w:space="0" w:color="auto"/>
        <w:left w:val="none" w:sz="0" w:space="0" w:color="auto"/>
        <w:bottom w:val="none" w:sz="0" w:space="0" w:color="auto"/>
        <w:right w:val="none" w:sz="0" w:space="0" w:color="auto"/>
      </w:divBdr>
    </w:div>
    <w:div w:id="20902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greso.pucp.edu.pe/caip2019/envio-trabajos/trabajos-complet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2C94A-2AE2-466C-A577-BB5D646A7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1656</TotalTime>
  <Pages>6</Pages>
  <Words>5278</Words>
  <Characters>30090</Characters>
  <Application>Microsoft Office Word</Application>
  <DocSecurity>0</DocSecurity>
  <Lines>250</Lines>
  <Paragraphs>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Method of Test Thermodynamic Consistency</vt:lpstr>
      <vt:lpstr>Method of Test Thermodynamic Consistency</vt:lpstr>
    </vt:vector>
  </TitlesOfParts>
  <Company>CIT</Company>
  <LinksUpToDate>false</LinksUpToDate>
  <CharactersWithSpaces>35298</CharactersWithSpaces>
  <SharedDoc>false</SharedDoc>
  <HLinks>
    <vt:vector size="12" baseType="variant">
      <vt:variant>
        <vt:i4>7798860</vt:i4>
      </vt:variant>
      <vt:variant>
        <vt:i4>3</vt:i4>
      </vt:variant>
      <vt:variant>
        <vt:i4>0</vt:i4>
      </vt:variant>
      <vt:variant>
        <vt:i4>5</vt:i4>
      </vt:variant>
      <vt:variant>
        <vt:lpwstr>mailto:cristi@cin.cl</vt:lpwstr>
      </vt:variant>
      <vt:variant>
        <vt:lpwstr/>
      </vt:variant>
      <vt:variant>
        <vt:i4>327734</vt:i4>
      </vt:variant>
      <vt:variant>
        <vt:i4>0</vt:i4>
      </vt:variant>
      <vt:variant>
        <vt:i4>0</vt:i4>
      </vt:variant>
      <vt:variant>
        <vt:i4>5</vt:i4>
      </vt:variant>
      <vt:variant>
        <vt:lpwstr>mailto:jautoruno@uarbolito.cl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of Test Thermodynamic Consistency</dc:title>
  <dc:creator>JOV</dc:creator>
  <cp:lastModifiedBy>Luis Daniel Chavarría</cp:lastModifiedBy>
  <cp:revision>12</cp:revision>
  <cp:lastPrinted>2004-03-22T19:05:00Z</cp:lastPrinted>
  <dcterms:created xsi:type="dcterms:W3CDTF">2019-07-09T15:48:00Z</dcterms:created>
  <dcterms:modified xsi:type="dcterms:W3CDTF">2019-08-28T04:34:00Z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4f9b3715-3b13-3f00-9718-8b81ead6ad36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SIP_Label_a5eeb3e6-85f8-4106-953e-4f1eacb9bdc3_Enabled">
    <vt:lpwstr>True</vt:lpwstr>
  </property>
  <property fmtid="{D5CDD505-2E9C-101B-9397-08002B2CF9AE}" pid="26" name="MSIP_Label_a5eeb3e6-85f8-4106-953e-4f1eacb9bdc3_SiteId">
    <vt:lpwstr>d6b0bbee-7cd9-4d60-bce6-4a67b543e2ae</vt:lpwstr>
  </property>
  <property fmtid="{D5CDD505-2E9C-101B-9397-08002B2CF9AE}" pid="27" name="MSIP_Label_a5eeb3e6-85f8-4106-953e-4f1eacb9bdc3_Owner">
    <vt:lpwstr>col.practicante.ingenieria@renault.com</vt:lpwstr>
  </property>
  <property fmtid="{D5CDD505-2E9C-101B-9397-08002B2CF9AE}" pid="28" name="MSIP_Label_a5eeb3e6-85f8-4106-953e-4f1eacb9bdc3_SetDate">
    <vt:lpwstr>2019-08-21T21:25:06.5781259Z</vt:lpwstr>
  </property>
  <property fmtid="{D5CDD505-2E9C-101B-9397-08002B2CF9AE}" pid="29" name="MSIP_Label_a5eeb3e6-85f8-4106-953e-4f1eacb9bdc3_Name">
    <vt:lpwstr>Confidential C</vt:lpwstr>
  </property>
  <property fmtid="{D5CDD505-2E9C-101B-9397-08002B2CF9AE}" pid="30" name="MSIP_Label_a5eeb3e6-85f8-4106-953e-4f1eacb9bdc3_Application">
    <vt:lpwstr>Microsoft Azure Information Protection</vt:lpwstr>
  </property>
  <property fmtid="{D5CDD505-2E9C-101B-9397-08002B2CF9AE}" pid="31" name="MSIP_Label_a5eeb3e6-85f8-4106-953e-4f1eacb9bdc3_Extended_MSFT_Method">
    <vt:lpwstr>Automatic</vt:lpwstr>
  </property>
  <property fmtid="{D5CDD505-2E9C-101B-9397-08002B2CF9AE}" pid="32" name="MSIP_Label_fd1c0902-ed92-4fed-896d-2e7725de02d4_Enabled">
    <vt:lpwstr>True</vt:lpwstr>
  </property>
  <property fmtid="{D5CDD505-2E9C-101B-9397-08002B2CF9AE}" pid="33" name="MSIP_Label_fd1c0902-ed92-4fed-896d-2e7725de02d4_SiteId">
    <vt:lpwstr>d6b0bbee-7cd9-4d60-bce6-4a67b543e2ae</vt:lpwstr>
  </property>
  <property fmtid="{D5CDD505-2E9C-101B-9397-08002B2CF9AE}" pid="34" name="MSIP_Label_fd1c0902-ed92-4fed-896d-2e7725de02d4_Owner">
    <vt:lpwstr>col.practicante.ingenieria@renault.com</vt:lpwstr>
  </property>
  <property fmtid="{D5CDD505-2E9C-101B-9397-08002B2CF9AE}" pid="35" name="MSIP_Label_fd1c0902-ed92-4fed-896d-2e7725de02d4_SetDate">
    <vt:lpwstr>2019-08-21T21:25:06.5781259Z</vt:lpwstr>
  </property>
  <property fmtid="{D5CDD505-2E9C-101B-9397-08002B2CF9AE}" pid="36" name="MSIP_Label_fd1c0902-ed92-4fed-896d-2e7725de02d4_Name">
    <vt:lpwstr>Accessible to everybody</vt:lpwstr>
  </property>
  <property fmtid="{D5CDD505-2E9C-101B-9397-08002B2CF9AE}" pid="37" name="MSIP_Label_fd1c0902-ed92-4fed-896d-2e7725de02d4_Application">
    <vt:lpwstr>Microsoft Azure Information Protection</vt:lpwstr>
  </property>
  <property fmtid="{D5CDD505-2E9C-101B-9397-08002B2CF9AE}" pid="38" name="MSIP_Label_fd1c0902-ed92-4fed-896d-2e7725de02d4_Parent">
    <vt:lpwstr>a5eeb3e6-85f8-4106-953e-4f1eacb9bdc3</vt:lpwstr>
  </property>
  <property fmtid="{D5CDD505-2E9C-101B-9397-08002B2CF9AE}" pid="39" name="MSIP_Label_fd1c0902-ed92-4fed-896d-2e7725de02d4_Extended_MSFT_Method">
    <vt:lpwstr>Automatic</vt:lpwstr>
  </property>
  <property fmtid="{D5CDD505-2E9C-101B-9397-08002B2CF9AE}" pid="40" name="Sensitivity">
    <vt:lpwstr>Confidential C Accessible to everybody</vt:lpwstr>
  </property>
</Properties>
</file>