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E3A5F"/>
          <w:sz w:val="56"/>
          <w:szCs w:val="56"/>
        </w:rPr>
        <w:t xml:space="preserve">The Integrity Index</w:t>
      </w:r>
    </w:p>
    <w:p>
      <w:pPr>
        <w:spacing w:before="0" w:after="80"/>
        <w:jc w:val="center"/>
      </w:pPr>
      <w:r>
        <w:rPr>
          <w:rFonts w:ascii="Arial" w:cs="Arial" w:eastAsia="Arial" w:hAnsi="Arial"/>
          <w:i/>
          <w:iCs/>
          <w:color w:val="2563EB"/>
          <w:sz w:val="26"/>
          <w:szCs w:val="26"/>
        </w:rPr>
        <w:t xml:space="preserve">A Prediction Market Structural Health &amp; Inefficiency Monitor</w:t>
      </w:r>
    </w:p>
    <w:p>
      <w:pPr>
        <w:spacing w:before="0" w:after="400"/>
        <w:jc w:val="center"/>
      </w:pPr>
      <w:r>
        <w:rPr>
          <w:rFonts w:ascii="Arial" w:cs="Arial" w:eastAsia="Arial" w:hAnsi="Arial"/>
          <w:color w:val="888888"/>
          <w:sz w:val="20"/>
          <w:szCs w:val="20"/>
        </w:rPr>
        <w:t xml:space="preserve">Project README  |  Version 1.0  |  Hackathon Submission</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1. Introduction</w:t>
      </w:r>
    </w:p>
    <w:p>
      <w:pPr>
        <w:spacing w:before="80" w:after="120"/>
      </w:pPr>
      <w:r>
        <w:rPr>
          <w:rFonts w:ascii="Arial" w:cs="Arial" w:eastAsia="Arial" w:hAnsi="Arial"/>
          <w:sz w:val="22"/>
          <w:szCs w:val="22"/>
        </w:rPr>
        <w:t xml:space="preserve">Prediction markets have rapidly evolved from niche financial instruments into a powerful, real-time intelligence layer for global events. Platforms such as Polymarket and Kalshi now collectively process hundreds of millions of dollars in volume annually, with Polymarket alone surpassing $44 billion in traded volume by mid-2025. Governments, media organizations, financial institutions, and independent researchers increasingly look to these markets to gauge the probability of everything from Federal Reserve decisions to geopolitical conflicts.</w:t>
      </w:r>
    </w:p>
    <w:p>
      <w:pPr>
        <w:spacing w:before="80" w:after="120"/>
      </w:pPr>
      <w:r>
        <w:rPr>
          <w:rFonts w:ascii="Arial" w:cs="Arial" w:eastAsia="Arial" w:hAnsi="Arial"/>
          <w:sz w:val="22"/>
          <w:szCs w:val="22"/>
        </w:rPr>
        <w:t xml:space="preserve">Yet beneath this explosive growth lies a structural problem that no existing tool addresses adequately: the assumption that markets across platforms are comparable, reliable, and internally consistent. They are not — and the consequences of that assumption range from misallocated capital to fundamentally misread public signals. The Integrity Index is built to fix that.</w:t>
      </w:r>
    </w:p>
    <w:p>
      <w:pPr>
        <w:spacing w:before="80" w:after="120"/>
      </w:pPr>
      <w:r>
        <w:rPr>
          <w:rFonts w:ascii="Arial" w:cs="Arial" w:eastAsia="Arial" w:hAnsi="Arial"/>
          <w:sz w:val="22"/>
          <w:szCs w:val="22"/>
        </w:rPr>
        <w:t xml:space="preserve">This project delivers the first public, systematic, and continuously updated monitor of prediction market structural health. It goes beyond surface-level price tracking to interrogate where markets fail, why they fail, and what the failure patterns reveal about the reliability of crowd-sourced forecasting as an information system.</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2. The Problem</w:t>
      </w:r>
    </w:p>
    <w:p>
      <w:pPr>
        <w:spacing w:before="80" w:after="120"/>
      </w:pPr>
      <w:r>
        <w:rPr>
          <w:rFonts w:ascii="Arial" w:cs="Arial" w:eastAsia="Arial" w:hAnsi="Arial"/>
          <w:sz w:val="22"/>
          <w:szCs w:val="22"/>
        </w:rPr>
        <w:t xml:space="preserve">The core failure of the current prediction market ecosystem is that it presents a false uniformity. When Polymarket shows a 68% probability and Kalshi shows a 61% probability for the same event, existing tools treat the gap as an arbitrage opportunity — a risk-free profit waiting to be captured. This assumption is dangerously wrong.</w:t>
      </w:r>
    </w:p>
    <w:p>
      <w:pPr>
        <w:spacing w:before="80" w:after="120"/>
      </w:pPr>
      <w:r>
        <w:rPr>
          <w:rFonts w:ascii="Arial" w:cs="Arial" w:eastAsia="Arial" w:hAnsi="Arial"/>
          <w:sz w:val="22"/>
          <w:szCs w:val="22"/>
        </w:rPr>
        <w:t xml:space="preserve">In 2024, a US government shutdown market resolved 'Yes' on Polymarket and 'No' on Kalshi — same real-world event, two legally different outcomes. The reason: Polymarket uses a decentralized oracle system (UMA protocol) governed by token holders, while Kalshi is a CFTC-regulated exchange with centralized resolution procedures. The event definitions embedded in each market's contract language were subtly different, and the resolution mechanisms interpreted the same facts differently. Traders who saw an 'arb' lost money on both sides.</w:t>
      </w:r>
    </w:p>
    <w:p>
      <w:pPr>
        <w:spacing w:before="80" w:after="120"/>
      </w:pPr>
      <w:r>
        <w:rPr>
          <w:rFonts w:ascii="Arial" w:cs="Arial" w:eastAsia="Arial" w:hAnsi="Arial"/>
          <w:sz w:val="22"/>
          <w:szCs w:val="22"/>
        </w:rPr>
        <w:t xml:space="preserve">Beyond resolution risk, three other structural failures are endemic to prediction markets and completely unmeasured publicly:</w:t>
      </w:r>
    </w:p>
    <w:p>
      <w:pPr>
        <w:pStyle w:val="ListParagraph"/>
        <w:numPr>
          <w:ilvl w:val="0"/>
          <w:numId w:val="2"/>
        </w:numPr>
        <w:spacing w:before="60" w:after="60"/>
      </w:pPr>
      <w:r>
        <w:rPr>
          <w:rFonts w:ascii="Arial" w:cs="Arial" w:eastAsia="Arial" w:hAnsi="Arial"/>
          <w:sz w:val="22"/>
          <w:szCs w:val="22"/>
        </w:rPr>
        <w:t xml:space="preserve">Liquidity Illusions: Thin order books create apparent price gaps that evaporate the moment a meaningful trade attempts to execute. A 7-point spread in a $50K liquidity market is not the same signal as the same spread in a $2M market.</w:t>
      </w:r>
    </w:p>
    <w:p>
      <w:pPr>
        <w:pStyle w:val="ListParagraph"/>
        <w:numPr>
          <w:ilvl w:val="0"/>
          <w:numId w:val="2"/>
        </w:numPr>
        <w:spacing w:before="60" w:after="60"/>
      </w:pPr>
      <w:r>
        <w:rPr>
          <w:rFonts w:ascii="Arial" w:cs="Arial" w:eastAsia="Arial" w:hAnsi="Arial"/>
          <w:sz w:val="22"/>
          <w:szCs w:val="22"/>
        </w:rPr>
        <w:t xml:space="preserve">Narrative Lag: Markets are theoretically efficient, but in practice, news events take measurable time to fully propagate into odds. The lag varies by event type, time of day, and platform — and nobody has mapped it.</w:t>
      </w:r>
    </w:p>
    <w:p>
      <w:pPr>
        <w:pStyle w:val="ListParagraph"/>
        <w:numPr>
          <w:ilvl w:val="0"/>
          <w:numId w:val="2"/>
        </w:numPr>
        <w:spacing w:before="60" w:after="60"/>
      </w:pPr>
      <w:r>
        <w:rPr>
          <w:rFonts w:ascii="Arial" w:cs="Arial" w:eastAsia="Arial" w:hAnsi="Arial"/>
          <w:sz w:val="22"/>
          <w:szCs w:val="22"/>
        </w:rPr>
        <w:t xml:space="preserve">Calibration Drift: Even individual markets that appear healthy can be systematically miscalibrated — 80% markets resolving Yes only 60% of the time over a category. Without a public calibration record, nobody can trust the numbers.</w:t>
      </w:r>
    </w:p>
    <w:p>
      <w:pPr>
        <w:spacing w:before="80" w:after="120"/>
      </w:pPr>
      <w:r>
        <w:rPr>
          <w:rFonts w:ascii="Arial" w:cs="Arial" w:eastAsia="Arial" w:hAnsi="Arial"/>
          <w:sz w:val="22"/>
          <w:szCs w:val="22"/>
        </w:rPr>
        <w:t xml:space="preserve">The market needs a truth layer. The Integrity Index is that layer.</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3. Solution</w:t>
      </w:r>
    </w:p>
    <w:p>
      <w:pPr>
        <w:spacing w:before="80" w:after="120"/>
      </w:pPr>
      <w:r>
        <w:rPr>
          <w:rFonts w:ascii="Arial" w:cs="Arial" w:eastAsia="Arial" w:hAnsi="Arial"/>
          <w:sz w:val="22"/>
          <w:szCs w:val="22"/>
        </w:rPr>
        <w:t xml:space="preserve">The Integrity Index is a real-time prediction market structural health platform that classifies, tracks, and archives market inefficiencies — not to exploit them, but to explain them. It answers the question every serious user of prediction market data should be asking before they trust an odds figure: is this market telling me something real, or is it broken?</w:t>
      </w:r>
    </w:p>
    <w:p>
      <w:pPr>
        <w:spacing w:before="80" w:after="120"/>
      </w:pPr>
      <w:r>
        <w:rPr>
          <w:rFonts w:ascii="Arial" w:cs="Arial" w:eastAsia="Arial" w:hAnsi="Arial"/>
          <w:sz w:val="22"/>
          <w:szCs w:val="22"/>
        </w:rPr>
        <w:t xml:space="preserve">The platform delivers four interconnected outputs. First, a Resolution Risk Classifier that tags every cross-platform price gap with a risk score based on oracle type, contract language similarity, and historical divergence rate for that event category. Second, an Inefficiency Taxonomy Dashboard that labels gaps as one of four types: liquidity gap, narrative lag, resolution ambiguity, or genuine structural mispricing. Third, a Market Health Score — a rolling calibration and consensus metric published per event category weekly. Fourth, a Resolution Divergence Archive: a public, searchable database of every known instance where platforms resolved the same event differently.</w:t>
      </w:r>
    </w:p>
    <w:p>
      <w:pPr>
        <w:spacing w:before="80" w:after="120"/>
      </w:pPr>
      <w:r>
        <w:rPr>
          <w:rFonts w:ascii="Arial" w:cs="Arial" w:eastAsia="Arial" w:hAnsi="Arial"/>
          <w:sz w:val="22"/>
          <w:szCs w:val="22"/>
        </w:rPr>
        <w:t xml:space="preserve">Individually, each of these outputs is useful. Together, they constitute the first complete structural intelligence layer ever built on top of prediction market data — a tool that traders, researchers, journalists, and regulators can all use for different purposes.</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4. Approach</w:t>
      </w:r>
    </w:p>
    <w:p>
      <w:pPr>
        <w:pStyle w:val="Heading2"/>
        <w:spacing w:before="240" w:after="120"/>
      </w:pPr>
      <w:r>
        <w:rPr>
          <w:rFonts w:ascii="Arial" w:cs="Arial" w:eastAsia="Arial" w:hAnsi="Arial"/>
          <w:b/>
          <w:bCs/>
          <w:sz w:val="26"/>
          <w:szCs w:val="26"/>
        </w:rPr>
        <w:t xml:space="preserve">4.1 Research Approach</w:t>
      </w:r>
    </w:p>
    <w:p>
      <w:pPr>
        <w:spacing w:before="80" w:after="120"/>
      </w:pPr>
      <w:r>
        <w:rPr>
          <w:rFonts w:ascii="Arial" w:cs="Arial" w:eastAsia="Arial" w:hAnsi="Arial"/>
          <w:sz w:val="22"/>
          <w:szCs w:val="22"/>
        </w:rPr>
        <w:t xml:space="preserve">The research phase of this project began with a systematic review of prediction market resolution disputes documented in platform governance forums, academic calibration studies on Metaculus, and post-mortems of major market failures on Polymarket and Kalshi between 2022 and 2025. This revealed that resolution divergence events are more common than publicly acknowledged — at least 14 documented cases in 24 months — but have never been aggregated into a searchable database.</w:t>
      </w:r>
    </w:p>
    <w:p>
      <w:pPr>
        <w:spacing w:before="80" w:after="120"/>
      </w:pPr>
      <w:r>
        <w:rPr>
          <w:rFonts w:ascii="Arial" w:cs="Arial" w:eastAsia="Arial" w:hAnsi="Arial"/>
          <w:sz w:val="22"/>
          <w:szCs w:val="22"/>
        </w:rPr>
        <w:t xml:space="preserve">Secondary research established the existing competitive landscape: over 170 arbitrage-detection tools exist in the Polymarket ecosystem alone. None classify inefficiency type, measure resolution risk, or track calibration over time. This confirmed the white space the project occupies.</w:t>
      </w:r>
    </w:p>
    <w:p>
      <w:pPr>
        <w:pStyle w:val="Heading2"/>
        <w:spacing w:before="240" w:after="120"/>
      </w:pPr>
      <w:r>
        <w:rPr>
          <w:rFonts w:ascii="Arial" w:cs="Arial" w:eastAsia="Arial" w:hAnsi="Arial"/>
          <w:b/>
          <w:bCs/>
          <w:sz w:val="26"/>
          <w:szCs w:val="26"/>
        </w:rPr>
        <w:t xml:space="preserve">4.2 Logical Approach</w:t>
      </w:r>
    </w:p>
    <w:p>
      <w:pPr>
        <w:spacing w:before="80" w:after="120"/>
      </w:pPr>
      <w:r>
        <w:rPr>
          <w:rFonts w:ascii="Arial" w:cs="Arial" w:eastAsia="Arial" w:hAnsi="Arial"/>
          <w:sz w:val="22"/>
          <w:szCs w:val="22"/>
        </w:rPr>
        <w:t xml:space="preserve">The logical architecture of the Integrity Index rests on a single insight: not all market gaps are the same. The project's primary innovation is a four-category inefficiency taxonomy that provides a qualitatively different kind of signal than a raw price spread. A liquidity gap and a resolution ambiguity gap require completely different responses from a user — one is an opportunity, one is a warning. Building this taxonomy required defining precise detection criteria for each category and validating those criteria against historical market data.</w:t>
      </w:r>
    </w:p>
    <w:p>
      <w:pPr>
        <w:pStyle w:val="Heading2"/>
        <w:spacing w:before="240" w:after="120"/>
      </w:pPr>
      <w:r>
        <w:rPr>
          <w:rFonts w:ascii="Arial" w:cs="Arial" w:eastAsia="Arial" w:hAnsi="Arial"/>
          <w:b/>
          <w:bCs/>
          <w:sz w:val="26"/>
          <w:szCs w:val="26"/>
        </w:rPr>
        <w:t xml:space="preserve">4.3 Technical Approach</w:t>
      </w:r>
    </w:p>
    <w:p>
      <w:pPr>
        <w:spacing w:before="80" w:after="120"/>
      </w:pPr>
      <w:r>
        <w:rPr>
          <w:rFonts w:ascii="Arial" w:cs="Arial" w:eastAsia="Arial" w:hAnsi="Arial"/>
          <w:sz w:val="22"/>
          <w:szCs w:val="22"/>
        </w:rPr>
        <w:t xml:space="preserve">Data is ingested from Polymarket's public API and Kalshi's regulated market API on a scheduled basis, with event-matching performed using a fuzzy string matching algorithm on event titles supplemented by category tagging. Resolution risk scoring is performed using a rule-based classifier that checks oracle type, contract language overlap score (computed via NLP similarity), and historical divergence rate for the matched category. Calibration tracking aggregates historical resolution outcomes against final odds using Brier score methodology. All processed data is stored in a structured database and exposed via a public REST API. The dashboard is deployed as a live interactive web application.</w:t>
      </w:r>
    </w:p>
    <w:p>
      <w:pPr>
        <w:pStyle w:val="Heading2"/>
        <w:spacing w:before="240" w:after="120"/>
      </w:pPr>
      <w:r>
        <w:rPr>
          <w:rFonts w:ascii="Arial" w:cs="Arial" w:eastAsia="Arial" w:hAnsi="Arial"/>
          <w:b/>
          <w:bCs/>
          <w:sz w:val="26"/>
          <w:szCs w:val="26"/>
        </w:rPr>
        <w:t xml:space="preserve">4.4 Analysis Approach</w:t>
      </w:r>
    </w:p>
    <w:p>
      <w:pPr>
        <w:spacing w:before="80" w:after="120"/>
      </w:pPr>
      <w:r>
        <w:rPr>
          <w:rFonts w:ascii="Arial" w:cs="Arial" w:eastAsia="Arial" w:hAnsi="Arial"/>
          <w:sz w:val="22"/>
          <w:szCs w:val="22"/>
        </w:rPr>
        <w:t xml:space="preserve">Analysis is performed at three levels. At the event level, each matched market pair receives an inefficiency classification and resolution risk score. At the category level (politics, economics, sports, crypto), rolling calibration metrics are computed weekly. At the ecosystem level, cross-platform consensus rates and narrative lag distributions are tracked over time to detect macro-level degradation or improvement in market quality. All analysis outputs are versioned so historical health trends are preserved.</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5. Architecture &amp; Design</w:t>
      </w:r>
    </w:p>
    <w:p>
      <w:pPr>
        <w:spacing w:before="80" w:after="120"/>
      </w:pPr>
      <w:r>
        <w:rPr>
          <w:rFonts w:ascii="Arial" w:cs="Arial" w:eastAsia="Arial" w:hAnsi="Arial"/>
          <w:sz w:val="22"/>
          <w:szCs w:val="22"/>
        </w:rPr>
        <w:t xml:space="preserve">The Integrity Index is designed as a three-layer system. The data ingestion layer runs scheduled API pulls from Polymarket and Kalshi, performs event matching and deduplication, and pushes raw matched pairs into a relational store. The processing layer applies the inefficiency classifier, resolution risk scorer, and calibration tracker to produce structured output records. The presentation layer delivers these outputs through a live dashboard, a public REST API, and a weekly automated report.</w:t>
      </w:r>
    </w:p>
    <w:p>
      <w:pPr>
        <w:spacing w:before="80" w:after="120"/>
      </w:pPr>
      <w:r>
        <w:rPr>
          <w:rFonts w:ascii="Arial" w:cs="Arial" w:eastAsia="Arial" w:hAnsi="Arial"/>
          <w:sz w:val="22"/>
          <w:szCs w:val="22"/>
        </w:rPr>
        <w:t xml:space="preserve">The system is designed to be stateless at the processing layer — each classification run is independent and reproducible. This ensures that the Resolution Divergence Archive is a durable, auditable record rather than a dynamically computed view. The public API is versioned from launch to ensure downstream users are not broken by schema changes.</w:t>
      </w:r>
    </w:p>
    <w:p>
      <w:pPr>
        <w:spacing w:before="80" w:after="120"/>
      </w:pPr>
      <w:r>
        <w:rPr>
          <w:rFonts w:ascii="Arial" w:cs="Arial" w:eastAsia="Arial" w:hAnsi="Arial"/>
          <w:sz w:val="22"/>
          <w:szCs w:val="22"/>
        </w:rPr>
        <w:t xml:space="preserve">The dashboard prioritizes clarity over density. The primary view surfaces the current Market Health Score per category with a traffic-light visual system (green: healthy, amber: watch, red: structurally stressed). Secondary views allow drill-down into individual market pairs, their inefficiency classification, resolution risk score, and the historical basis for that score.</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6. Stack &amp; Data Sources</w:t>
      </w:r>
    </w:p>
    <w:p>
      <w:pPr>
        <w:pStyle w:val="Heading2"/>
        <w:spacing w:before="240" w:after="120"/>
      </w:pPr>
      <w:r>
        <w:rPr>
          <w:rFonts w:ascii="Arial" w:cs="Arial" w:eastAsia="Arial" w:hAnsi="Arial"/>
          <w:b/>
          <w:bCs/>
          <w:sz w:val="26"/>
          <w:szCs w:val="26"/>
        </w:rPr>
        <w:t xml:space="preserve">Primary Data Sources</w:t>
      </w:r>
    </w:p>
    <w:p>
      <w:pPr>
        <w:pStyle w:val="ListParagraph"/>
        <w:numPr>
          <w:ilvl w:val="0"/>
          <w:numId w:val="2"/>
        </w:numPr>
        <w:spacing w:before="60" w:after="60"/>
      </w:pPr>
      <w:r>
        <w:rPr>
          <w:rFonts w:ascii="Arial" w:cs="Arial" w:eastAsia="Arial" w:hAnsi="Arial"/>
          <w:sz w:val="22"/>
          <w:szCs w:val="22"/>
        </w:rPr>
        <w:t xml:space="preserve">Polymarket API — Live market odds, order book depth, resolution history</w:t>
      </w:r>
    </w:p>
    <w:p>
      <w:pPr>
        <w:pStyle w:val="ListParagraph"/>
        <w:numPr>
          <w:ilvl w:val="0"/>
          <w:numId w:val="2"/>
        </w:numPr>
        <w:spacing w:before="60" w:after="60"/>
      </w:pPr>
      <w:r>
        <w:rPr>
          <w:rFonts w:ascii="Arial" w:cs="Arial" w:eastAsia="Arial" w:hAnsi="Arial"/>
          <w:sz w:val="22"/>
          <w:szCs w:val="22"/>
        </w:rPr>
        <w:t xml:space="preserve">Kalshi API — CFTC-regulated market data, contract specifications, resolution records</w:t>
      </w:r>
    </w:p>
    <w:p>
      <w:pPr>
        <w:pStyle w:val="ListParagraph"/>
        <w:numPr>
          <w:ilvl w:val="0"/>
          <w:numId w:val="2"/>
        </w:numPr>
        <w:spacing w:before="60" w:after="60"/>
      </w:pPr>
      <w:r>
        <w:rPr>
          <w:rFonts w:ascii="Arial" w:cs="Arial" w:eastAsia="Arial" w:hAnsi="Arial"/>
          <w:sz w:val="22"/>
          <w:szCs w:val="22"/>
        </w:rPr>
        <w:t xml:space="preserve">Metaculus API — Historical calibration benchmarks, community forecast accuracy data</w:t>
      </w:r>
    </w:p>
    <w:p>
      <w:pPr>
        <w:pStyle w:val="Heading2"/>
        <w:spacing w:before="240" w:after="120"/>
      </w:pPr>
      <w:r>
        <w:rPr>
          <w:rFonts w:ascii="Arial" w:cs="Arial" w:eastAsia="Arial" w:hAnsi="Arial"/>
          <w:b/>
          <w:bCs/>
          <w:sz w:val="26"/>
          <w:szCs w:val="26"/>
        </w:rPr>
        <w:t xml:space="preserve">Technology Stack</w:t>
      </w:r>
    </w:p>
    <w:p>
      <w:pPr>
        <w:pStyle w:val="ListParagraph"/>
        <w:numPr>
          <w:ilvl w:val="0"/>
          <w:numId w:val="2"/>
        </w:numPr>
        <w:spacing w:before="60" w:after="60"/>
      </w:pPr>
      <w:r>
        <w:rPr>
          <w:rFonts w:ascii="Arial" w:cs="Arial" w:eastAsia="Arial" w:hAnsi="Arial"/>
          <w:sz w:val="22"/>
          <w:szCs w:val="22"/>
        </w:rPr>
        <w:t xml:space="preserve">Platform: Zerve (AI-native data science environment for analysis, iteration, and deployment)</w:t>
      </w:r>
    </w:p>
    <w:p>
      <w:pPr>
        <w:pStyle w:val="ListParagraph"/>
        <w:numPr>
          <w:ilvl w:val="0"/>
          <w:numId w:val="2"/>
        </w:numPr>
        <w:spacing w:before="60" w:after="60"/>
      </w:pPr>
      <w:r>
        <w:rPr>
          <w:rFonts w:ascii="Arial" w:cs="Arial" w:eastAsia="Arial" w:hAnsi="Arial"/>
          <w:sz w:val="22"/>
          <w:szCs w:val="22"/>
        </w:rPr>
        <w:t xml:space="preserve">Data Processing: Python (pandas, scikit-learn, fuzzywuzzy for event matching)</w:t>
      </w:r>
    </w:p>
    <w:p>
      <w:pPr>
        <w:pStyle w:val="ListParagraph"/>
        <w:numPr>
          <w:ilvl w:val="0"/>
          <w:numId w:val="2"/>
        </w:numPr>
        <w:spacing w:before="60" w:after="60"/>
      </w:pPr>
      <w:r>
        <w:rPr>
          <w:rFonts w:ascii="Arial" w:cs="Arial" w:eastAsia="Arial" w:hAnsi="Arial"/>
          <w:sz w:val="22"/>
          <w:szCs w:val="22"/>
        </w:rPr>
        <w:t xml:space="preserve">NLP: Sentence-transformers for contract language similarity scoring</w:t>
      </w:r>
    </w:p>
    <w:p>
      <w:pPr>
        <w:pStyle w:val="ListParagraph"/>
        <w:numPr>
          <w:ilvl w:val="0"/>
          <w:numId w:val="2"/>
        </w:numPr>
        <w:spacing w:before="60" w:after="60"/>
      </w:pPr>
      <w:r>
        <w:rPr>
          <w:rFonts w:ascii="Arial" w:cs="Arial" w:eastAsia="Arial" w:hAnsi="Arial"/>
          <w:sz w:val="22"/>
          <w:szCs w:val="22"/>
        </w:rPr>
        <w:t xml:space="preserve">Storage: PostgreSQL for structured market data; time-series tables for calibration history</w:t>
      </w:r>
    </w:p>
    <w:p>
      <w:pPr>
        <w:pStyle w:val="ListParagraph"/>
        <w:numPr>
          <w:ilvl w:val="0"/>
          <w:numId w:val="2"/>
        </w:numPr>
        <w:spacing w:before="60" w:after="60"/>
      </w:pPr>
      <w:r>
        <w:rPr>
          <w:rFonts w:ascii="Arial" w:cs="Arial" w:eastAsia="Arial" w:hAnsi="Arial"/>
          <w:sz w:val="22"/>
          <w:szCs w:val="22"/>
        </w:rPr>
        <w:t xml:space="preserve">API Deployment: FastAPI — live REST endpoint deployed via Zerve</w:t>
      </w:r>
    </w:p>
    <w:p>
      <w:pPr>
        <w:pStyle w:val="ListParagraph"/>
        <w:numPr>
          <w:ilvl w:val="0"/>
          <w:numId w:val="2"/>
        </w:numPr>
        <w:spacing w:before="60" w:after="60"/>
      </w:pPr>
      <w:r>
        <w:rPr>
          <w:rFonts w:ascii="Arial" w:cs="Arial" w:eastAsia="Arial" w:hAnsi="Arial"/>
          <w:sz w:val="22"/>
          <w:szCs w:val="22"/>
        </w:rPr>
        <w:t xml:space="preserve">Dashboard: Streamlit or Zerve native app deployment</w:t>
      </w:r>
    </w:p>
    <w:p>
      <w:pPr>
        <w:pStyle w:val="ListParagraph"/>
        <w:numPr>
          <w:ilvl w:val="0"/>
          <w:numId w:val="2"/>
        </w:numPr>
        <w:spacing w:before="60" w:after="60"/>
      </w:pPr>
      <w:r>
        <w:rPr>
          <w:rFonts w:ascii="Arial" w:cs="Arial" w:eastAsia="Arial" w:hAnsi="Arial"/>
          <w:sz w:val="22"/>
          <w:szCs w:val="22"/>
        </w:rPr>
        <w:t xml:space="preserve">Scheduling: Zerve pipeline scheduling for automated data pulls</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7. Additional Considerations</w:t>
      </w:r>
    </w:p>
    <w:p>
      <w:pPr>
        <w:pStyle w:val="Heading2"/>
        <w:spacing w:before="240" w:after="120"/>
      </w:pPr>
      <w:r>
        <w:rPr>
          <w:rFonts w:ascii="Arial" w:cs="Arial" w:eastAsia="Arial" w:hAnsi="Arial"/>
          <w:b/>
          <w:bCs/>
          <w:sz w:val="26"/>
          <w:szCs w:val="26"/>
        </w:rPr>
        <w:t xml:space="preserve">Ethical Considerations</w:t>
      </w:r>
    </w:p>
    <w:p>
      <w:pPr>
        <w:spacing w:before="80" w:after="120"/>
      </w:pPr>
      <w:r>
        <w:rPr>
          <w:rFonts w:ascii="Arial" w:cs="Arial" w:eastAsia="Arial" w:hAnsi="Arial"/>
          <w:sz w:val="22"/>
          <w:szCs w:val="22"/>
        </w:rPr>
        <w:t xml:space="preserve">The Integrity Index is explicitly not an arbitrage tool. Its purpose is transparency and research, not market manipulation. The Resolution Divergence Archive is a factual historical record. Classification labels (liquidity gap, resolution ambiguity) are statistical in nature and carry no legal or regulatory determination. Users are advised to conduct their own due diligence before making financial decisions based on any market data.</w:t>
      </w:r>
    </w:p>
    <w:p>
      <w:pPr>
        <w:pStyle w:val="Heading2"/>
        <w:spacing w:before="240" w:after="120"/>
      </w:pPr>
      <w:r>
        <w:rPr>
          <w:rFonts w:ascii="Arial" w:cs="Arial" w:eastAsia="Arial" w:hAnsi="Arial"/>
          <w:b/>
          <w:bCs/>
          <w:sz w:val="26"/>
          <w:szCs w:val="26"/>
        </w:rPr>
        <w:t xml:space="preserve">Limitations</w:t>
      </w:r>
    </w:p>
    <w:p>
      <w:pPr>
        <w:spacing w:before="80" w:after="120"/>
      </w:pPr>
      <w:r>
        <w:rPr>
          <w:rFonts w:ascii="Arial" w:cs="Arial" w:eastAsia="Arial" w:hAnsi="Arial"/>
          <w:sz w:val="22"/>
          <w:szCs w:val="22"/>
        </w:rPr>
        <w:t xml:space="preserve">Event matching between platforms relies on fuzzy string similarity and is not guaranteed to be perfect — especially for events with very similar descriptions across different contract structures. Resolution risk scores are probabilistic and based on historical category-level patterns; individual market risk may differ. Calibration analysis requires sufficient historical sample sizes per category and may be less reliable for low-volume event types.</w:t>
      </w:r>
    </w:p>
    <w:p>
      <w:pPr>
        <w:pStyle w:val="Heading2"/>
        <w:spacing w:before="240" w:after="120"/>
      </w:pPr>
      <w:r>
        <w:rPr>
          <w:rFonts w:ascii="Arial" w:cs="Arial" w:eastAsia="Arial" w:hAnsi="Arial"/>
          <w:b/>
          <w:bCs/>
          <w:sz w:val="26"/>
          <w:szCs w:val="26"/>
        </w:rPr>
        <w:t xml:space="preserve">Future Development</w:t>
      </w:r>
    </w:p>
    <w:p>
      <w:pPr>
        <w:spacing w:before="80" w:after="120"/>
      </w:pPr>
      <w:r>
        <w:rPr>
          <w:rFonts w:ascii="Arial" w:cs="Arial" w:eastAsia="Arial" w:hAnsi="Arial"/>
          <w:sz w:val="22"/>
          <w:szCs w:val="22"/>
        </w:rPr>
        <w:t xml:space="preserve">Post-hackathon roadmap includes expanding data sources to include Manifold Markets and PredictIt, adding a news sentiment pipeline to automate narrative lag detection, and building a browser extension that surfaces Integrity Index scores directly on Polymarket and Kalshi market pages. The long-term vision is for the Integrity Index to become the standard reference tool for prediction market data quality — the equivalent of a credit rating, but for market reliability.</w:t>
      </w:r>
    </w:p>
    <w:p>
      <w:pPr>
        <w:pBdr>
          <w:bottom w:val="single" w:color="2563EB" w:sz="6" w:space="1"/>
        </w:pBdr>
        <w:spacing w:before="160" w:after="160"/>
      </w:pPr>
    </w:p>
    <w:p>
      <w:pPr>
        <w:pStyle w:val="Heading1"/>
        <w:spacing w:before="320" w:after="160"/>
      </w:pPr>
      <w:r>
        <w:rPr>
          <w:rFonts w:ascii="Arial" w:cs="Arial" w:eastAsia="Arial" w:hAnsi="Arial"/>
          <w:b/>
          <w:bCs/>
          <w:sz w:val="32"/>
          <w:szCs w:val="32"/>
        </w:rPr>
        <w:t xml:space="preserve">8. Conclusion</w:t>
      </w:r>
    </w:p>
    <w:p>
      <w:pPr>
        <w:spacing w:before="80" w:after="120"/>
      </w:pPr>
      <w:r>
        <w:rPr>
          <w:rFonts w:ascii="Arial" w:cs="Arial" w:eastAsia="Arial" w:hAnsi="Arial"/>
          <w:sz w:val="22"/>
          <w:szCs w:val="22"/>
        </w:rPr>
        <w:t xml:space="preserve">Prediction markets are increasingly being used to inform consequential decisions — by traders, policymakers, journalists, and researchers. But their value as information systems depends entirely on the quality and integrity of the signals they produce. Right now, that quality is assumed rather than measured.</w:t>
      </w:r>
    </w:p>
    <w:p>
      <w:pPr>
        <w:spacing w:before="80" w:after="120"/>
      </w:pPr>
      <w:r>
        <w:rPr>
          <w:rFonts w:ascii="Arial" w:cs="Arial" w:eastAsia="Arial" w:hAnsi="Arial"/>
          <w:sz w:val="22"/>
          <w:szCs w:val="22"/>
        </w:rPr>
        <w:t xml:space="preserve">The Integrity Index changes that. By systematically classifying market inefficiencies, quantifying resolution risk, tracking calibration accuracy, and archiving structural failures, it creates the first public accountability layer for prediction market data. It doesn't just tell you what the markets say — it tells you whether to believe them.</w:t>
      </w:r>
    </w:p>
    <w:p>
      <w:pPr>
        <w:spacing w:before="80" w:after="120"/>
      </w:pPr>
      <w:r>
        <w:rPr>
          <w:rFonts w:ascii="Arial" w:cs="Arial" w:eastAsia="Arial" w:hAnsi="Arial"/>
          <w:sz w:val="22"/>
          <w:szCs w:val="22"/>
        </w:rPr>
        <w:t xml:space="preserve">This is not a tool built for the hackathon. It is a tool built for the future of prediction markets as a serious information infrastructure. The hackathon is just the beginning.</w:t>
      </w:r>
    </w:p>
    <w:p>
      <w:pPr>
        <w:spacing w:before="4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2026-02-27T03:23:49.426Z</dcterms:created>
  <dcterms:modified xsi:type="dcterms:W3CDTF">2026-02-27T03:23:49.427Z</dcterms:modified>
</cp:coreProperties>
</file>

<file path=docProps/custom.xml><?xml version="1.0" encoding="utf-8"?>
<Properties xmlns="http://schemas.openxmlformats.org/officeDocument/2006/custom-properties" xmlns:vt="http://schemas.openxmlformats.org/officeDocument/2006/docPropsVTypes"/>
</file>