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E3A5F"/>
          <w:sz w:val="56"/>
          <w:szCs w:val="56"/>
        </w:rPr>
        <w:t xml:space="preserve">The Integrity Index</w:t>
      </w:r>
    </w:p>
    <w:p>
      <w:pPr>
        <w:spacing w:before="0" w:after="80"/>
        <w:jc w:val="center"/>
      </w:pPr>
      <w:r>
        <w:rPr>
          <w:rFonts w:ascii="Arial" w:cs="Arial" w:eastAsia="Arial" w:hAnsi="Arial"/>
          <w:b/>
          <w:bCs/>
          <w:color w:val="2563EB"/>
          <w:sz w:val="30"/>
          <w:szCs w:val="30"/>
        </w:rPr>
        <w:t xml:space="preserve">Technical Documentation</w:t>
      </w:r>
    </w:p>
    <w:p>
      <w:pPr>
        <w:spacing w:before="0" w:after="400"/>
        <w:jc w:val="center"/>
      </w:pPr>
      <w:r>
        <w:rPr>
          <w:rFonts w:ascii="Arial" w:cs="Arial" w:eastAsia="Arial" w:hAnsi="Arial"/>
          <w:color w:val="888888"/>
          <w:sz w:val="20"/>
          <w:szCs w:val="20"/>
        </w:rPr>
        <w:t xml:space="preserve">Architecture  |  Data Systems  |  Design  |  Research &amp; Analysis  |  v1.0</w:t>
      </w:r>
    </w:p>
    <w:p>
      <w:pPr>
        <w:pBdr>
          <w:bottom w:val="single" w:color="2563EB" w:sz="6" w:space="1"/>
        </w:pBdr>
        <w:spacing w:before="160" w:after="160"/>
      </w:pPr>
    </w:p>
    <w:p>
      <w:pPr>
        <w:pStyle w:val="Heading1"/>
        <w:spacing w:before="320" w:after="160"/>
      </w:pPr>
      <w:r>
        <w:rPr>
          <w:rFonts w:ascii="Arial" w:cs="Arial" w:eastAsia="Arial" w:hAnsi="Arial"/>
          <w:b/>
          <w:bCs/>
          <w:color w:val="1E3A5F"/>
          <w:sz w:val="32"/>
          <w:szCs w:val="32"/>
        </w:rPr>
        <w:t xml:space="preserve">1. System Overview</w:t>
      </w:r>
    </w:p>
    <w:p>
      <w:pPr>
        <w:spacing w:before="80" w:after="120"/>
      </w:pPr>
      <w:r>
        <w:rPr>
          <w:rFonts w:ascii="Arial" w:cs="Arial" w:eastAsia="Arial" w:hAnsi="Arial"/>
          <w:sz w:val="22"/>
          <w:szCs w:val="22"/>
        </w:rPr>
        <w:t xml:space="preserve">The Integrity Index is a multi-layer data platform that ingests raw prediction market data from multiple platforms, applies a structured analytical pipeline to classify market inefficiencies and score structural health, and exposes the results through a live dashboard, a public REST API, and automated weekly reporting. This document defines the technical architecture, data flows, processing logic, research methodology, and deployment design that underpin the system.</w:t>
      </w:r>
    </w:p>
    <w:p>
      <w:pPr>
        <w:spacing w:before="80" w:after="120"/>
      </w:pPr>
      <w:r>
        <w:rPr>
          <w:rFonts w:ascii="Arial" w:cs="Arial" w:eastAsia="Arial" w:hAnsi="Arial"/>
          <w:sz w:val="22"/>
          <w:szCs w:val="22"/>
        </w:rPr>
        <w:t xml:space="preserve">The system is built on Zerve — an AI-native data science platform — enabling rapid iteration on the analysis pipeline while maintaining production-grade deployment capabilities. The entire analysis workflow, from raw API ingestion to classified output, is implemented in a single reproducible Zerve project with versioned execution history.</w:t>
      </w:r>
    </w:p>
    <w:p>
      <w:pPr>
        <w:pBdr>
          <w:bottom w:val="single" w:color="2563EB" w:sz="6" w:space="1"/>
        </w:pBdr>
        <w:spacing w:before="160" w:after="160"/>
      </w:pPr>
    </w:p>
    <w:p>
      <w:pPr>
        <w:pStyle w:val="Heading1"/>
        <w:spacing w:before="320" w:after="160"/>
      </w:pPr>
      <w:r>
        <w:rPr>
          <w:rFonts w:ascii="Arial" w:cs="Arial" w:eastAsia="Arial" w:hAnsi="Arial"/>
          <w:b/>
          <w:bCs/>
          <w:color w:val="1E3A5F"/>
          <w:sz w:val="32"/>
          <w:szCs w:val="32"/>
        </w:rPr>
        <w:t xml:space="preserve">2. Technical Architecture</w:t>
      </w:r>
    </w:p>
    <w:p>
      <w:pPr>
        <w:pStyle w:val="Heading2"/>
        <w:spacing w:before="240" w:after="100"/>
      </w:pPr>
      <w:r>
        <w:rPr>
          <w:rFonts w:ascii="Arial" w:cs="Arial" w:eastAsia="Arial" w:hAnsi="Arial"/>
          <w:b/>
          <w:bCs/>
          <w:color w:val="2563EB"/>
          <w:sz w:val="26"/>
          <w:szCs w:val="26"/>
        </w:rPr>
        <w:t xml:space="preserve">2.1 System Layers</w:t>
      </w:r>
    </w:p>
    <w:p>
      <w:pPr>
        <w:spacing w:before="80" w:after="120"/>
      </w:pPr>
      <w:r>
        <w:rPr>
          <w:rFonts w:ascii="Arial" w:cs="Arial" w:eastAsia="Arial" w:hAnsi="Arial"/>
          <w:sz w:val="22"/>
          <w:szCs w:val="22"/>
        </w:rPr>
        <w:t xml:space="preserve">The platform is organized into four distinct layers, each with clearly defined inputs, outputs, and responsibilities.</w:t>
      </w:r>
    </w:p>
    <w:p>
      <w:pPr>
        <w:pStyle w:val="Heading3"/>
        <w:spacing w:before="180" w:after="80"/>
      </w:pPr>
      <w:r>
        <w:rPr>
          <w:rFonts w:ascii="Arial" w:cs="Arial" w:eastAsia="Arial" w:hAnsi="Arial"/>
          <w:b/>
          <w:bCs/>
          <w:color w:val="374151"/>
          <w:sz w:val="23"/>
          <w:szCs w:val="23"/>
        </w:rPr>
        <w:t xml:space="preserve">Layer 1: Data Ingestion</w:t>
      </w:r>
    </w:p>
    <w:p>
      <w:pPr>
        <w:spacing w:before="80" w:after="120"/>
      </w:pPr>
      <w:r>
        <w:rPr>
          <w:rFonts w:ascii="Arial" w:cs="Arial" w:eastAsia="Arial" w:hAnsi="Arial"/>
          <w:sz w:val="22"/>
          <w:szCs w:val="22"/>
        </w:rPr>
        <w:t xml:space="preserve">Scheduled API pulls from Polymarket and Kalshi execute on a 15-minute interval for live markets and a 4-hour interval for historical enrichment. Each pull fetches: current odds, order book depth at the top three price levels, market metadata (creation date, resolution criteria text, category tag, resolution deadline), and resolution status. Raw data is written to a PostgreSQL staging table with a pull timestamp and source platform identifier. No transformation occurs at ingestion — the staging layer preserves raw data fidelity.</w:t>
      </w:r>
    </w:p>
    <w:p>
      <w:pPr>
        <w:pStyle w:val="Heading3"/>
        <w:spacing w:before="180" w:after="80"/>
      </w:pPr>
      <w:r>
        <w:rPr>
          <w:rFonts w:ascii="Arial" w:cs="Arial" w:eastAsia="Arial" w:hAnsi="Arial"/>
          <w:b/>
          <w:bCs/>
          <w:color w:val="374151"/>
          <w:sz w:val="23"/>
          <w:szCs w:val="23"/>
        </w:rPr>
        <w:t xml:space="preserve">Layer 2: Event Matching</w:t>
      </w:r>
    </w:p>
    <w:p>
      <w:pPr>
        <w:spacing w:before="80" w:after="120"/>
      </w:pPr>
      <w:r>
        <w:rPr>
          <w:rFonts w:ascii="Arial" w:cs="Arial" w:eastAsia="Arial" w:hAnsi="Arial"/>
          <w:sz w:val="22"/>
          <w:szCs w:val="22"/>
        </w:rPr>
        <w:t xml:space="preserve">Event matching is the most analytically complex component of the pipeline. Two markets on different platforms refer to the same event if and only if their real-world resolution condition is the same. Determining this programmatically requires a multi-signal approach:</w:t>
      </w:r>
    </w:p>
    <w:p>
      <w:pPr>
        <w:pStyle w:val="ListParagraph"/>
        <w:numPr>
          <w:ilvl w:val="0"/>
          <w:numId w:val="2"/>
        </w:numPr>
        <w:spacing w:before="60" w:after="60"/>
      </w:pPr>
      <w:r>
        <w:rPr>
          <w:rFonts w:ascii="Arial" w:cs="Arial" w:eastAsia="Arial" w:hAnsi="Arial"/>
          <w:sz w:val="22"/>
          <w:szCs w:val="22"/>
        </w:rPr>
        <w:t xml:space="preserve">Title similarity: TF-IDF cosine similarity on tokenized event titles, with a threshold of 0.72 for candidate pairing</w:t>
      </w:r>
    </w:p>
    <w:p>
      <w:pPr>
        <w:pStyle w:val="ListParagraph"/>
        <w:numPr>
          <w:ilvl w:val="0"/>
          <w:numId w:val="2"/>
        </w:numPr>
        <w:spacing w:before="60" w:after="60"/>
      </w:pPr>
      <w:r>
        <w:rPr>
          <w:rFonts w:ascii="Arial" w:cs="Arial" w:eastAsia="Arial" w:hAnsi="Arial"/>
          <w:sz w:val="22"/>
          <w:szCs w:val="22"/>
        </w:rPr>
        <w:t xml:space="preserve">Semantic similarity: Sentence-transformer embeddings (all-MiniLM-L6-v2) applied to full resolution criteria text, with a threshold of 0.68 for confirmation</w:t>
      </w:r>
    </w:p>
    <w:p>
      <w:pPr>
        <w:pStyle w:val="ListParagraph"/>
        <w:numPr>
          <w:ilvl w:val="0"/>
          <w:numId w:val="2"/>
        </w:numPr>
        <w:spacing w:before="60" w:after="60"/>
      </w:pPr>
      <w:r>
        <w:rPr>
          <w:rFonts w:ascii="Arial" w:cs="Arial" w:eastAsia="Arial" w:hAnsi="Arial"/>
          <w:sz w:val="22"/>
          <w:szCs w:val="22"/>
        </w:rPr>
        <w:t xml:space="preserve">Resolution deadline proximity: Candidate pairs are filtered to require resolution deadlines within 72 hours of each other</w:t>
      </w:r>
    </w:p>
    <w:p>
      <w:pPr>
        <w:pStyle w:val="ListParagraph"/>
        <w:numPr>
          <w:ilvl w:val="0"/>
          <w:numId w:val="2"/>
        </w:numPr>
        <w:spacing w:before="60" w:after="60"/>
      </w:pPr>
      <w:r>
        <w:rPr>
          <w:rFonts w:ascii="Arial" w:cs="Arial" w:eastAsia="Arial" w:hAnsi="Arial"/>
          <w:sz w:val="22"/>
          <w:szCs w:val="22"/>
        </w:rPr>
        <w:t xml:space="preserve">Category alignment: Platform-assigned category tags are mapped to a normalized taxonomy and must agree for a match to be confirmed</w:t>
      </w:r>
    </w:p>
    <w:p>
      <w:pPr>
        <w:spacing w:before="80" w:after="120"/>
      </w:pPr>
      <w:r>
        <w:rPr>
          <w:rFonts w:ascii="Arial" w:cs="Arial" w:eastAsia="Arial" w:hAnsi="Arial"/>
          <w:sz w:val="22"/>
          <w:szCs w:val="22"/>
        </w:rPr>
        <w:t xml:space="preserve">Matched pairs are written to an events_matched table with the match confidence score, individual signal scores, and both source market IDs. Pairs below confirmation threshold are written to a review queue for manual inspection.</w:t>
      </w:r>
    </w:p>
    <w:p>
      <w:pPr>
        <w:pStyle w:val="Heading3"/>
        <w:spacing w:before="180" w:after="80"/>
      </w:pPr>
      <w:r>
        <w:rPr>
          <w:rFonts w:ascii="Arial" w:cs="Arial" w:eastAsia="Arial" w:hAnsi="Arial"/>
          <w:b/>
          <w:bCs/>
          <w:color w:val="374151"/>
          <w:sz w:val="23"/>
          <w:szCs w:val="23"/>
        </w:rPr>
        <w:t xml:space="preserve">Layer 3: Analysis &amp; Classification</w:t>
      </w:r>
    </w:p>
    <w:p>
      <w:pPr>
        <w:spacing w:before="80" w:after="120"/>
      </w:pPr>
      <w:r>
        <w:rPr>
          <w:rFonts w:ascii="Arial" w:cs="Arial" w:eastAsia="Arial" w:hAnsi="Arial"/>
          <w:sz w:val="22"/>
          <w:szCs w:val="22"/>
        </w:rPr>
        <w:t xml:space="preserve">The analysis layer processes each matched pair through four sequential classifiers, each producing a structured output record.</w:t>
      </w:r>
    </w:p>
    <w:p>
      <w:pPr>
        <w:pStyle w:val="Heading3"/>
        <w:spacing w:before="180" w:after="80"/>
      </w:pPr>
      <w:r>
        <w:rPr>
          <w:rFonts w:ascii="Arial" w:cs="Arial" w:eastAsia="Arial" w:hAnsi="Arial"/>
          <w:b/>
          <w:bCs/>
          <w:color w:val="374151"/>
          <w:sz w:val="23"/>
          <w:szCs w:val="23"/>
        </w:rPr>
        <w:t xml:space="preserve">Layer 4: Presentation</w:t>
      </w:r>
    </w:p>
    <w:p>
      <w:pPr>
        <w:spacing w:before="80" w:after="120"/>
      </w:pPr>
      <w:r>
        <w:rPr>
          <w:rFonts w:ascii="Arial" w:cs="Arial" w:eastAsia="Arial" w:hAnsi="Arial"/>
          <w:sz w:val="22"/>
          <w:szCs w:val="22"/>
        </w:rPr>
        <w:t xml:space="preserve">Processed outputs are served through three channels: a Streamlit dashboard deployed via Zerve, a FastAPI REST endpoint with versioned schema, and a weekly automated Markdown report generated by a Zerve pipeline job.</w:t>
      </w:r>
    </w:p>
    <w:p>
      <w:pPr>
        <w:pBdr>
          <w:bottom w:val="single" w:color="2563EB" w:sz="6" w:space="1"/>
        </w:pBdr>
        <w:spacing w:before="160" w:after="160"/>
      </w:pPr>
    </w:p>
    <w:p>
      <w:pPr>
        <w:pStyle w:val="Heading1"/>
        <w:spacing w:before="320" w:after="160"/>
      </w:pPr>
      <w:r>
        <w:rPr>
          <w:rFonts w:ascii="Arial" w:cs="Arial" w:eastAsia="Arial" w:hAnsi="Arial"/>
          <w:b/>
          <w:bCs/>
          <w:color w:val="1E3A5F"/>
          <w:sz w:val="32"/>
          <w:szCs w:val="32"/>
        </w:rPr>
        <w:t xml:space="preserve">3. Classification Engine (Core Logic)</w:t>
      </w:r>
    </w:p>
    <w:p>
      <w:pPr>
        <w:pStyle w:val="Heading2"/>
        <w:spacing w:before="240" w:after="100"/>
      </w:pPr>
      <w:r>
        <w:rPr>
          <w:rFonts w:ascii="Arial" w:cs="Arial" w:eastAsia="Arial" w:hAnsi="Arial"/>
          <w:b/>
          <w:bCs/>
          <w:color w:val="2563EB"/>
          <w:sz w:val="26"/>
          <w:szCs w:val="26"/>
        </w:rPr>
        <w:t xml:space="preserve">3.1 Inefficiency Taxonomy</w:t>
      </w:r>
    </w:p>
    <w:p>
      <w:pPr>
        <w:spacing w:before="80" w:after="120"/>
      </w:pPr>
      <w:r>
        <w:rPr>
          <w:rFonts w:ascii="Arial" w:cs="Arial" w:eastAsia="Arial" w:hAnsi="Arial"/>
          <w:sz w:val="22"/>
          <w:szCs w:val="22"/>
        </w:rPr>
        <w:t xml:space="preserve">Every matched market pair with a price spread above 2 percentage points is classified into one of four inefficiency types. The classifier runs sequentially — a pair is assigned the first category whose criteria it satisfies, in priority order.</w:t>
      </w:r>
    </w:p>
    <w:p>
      <w:pPr>
        <w:pStyle w:val="Heading3"/>
        <w:spacing w:before="180" w:after="80"/>
      </w:pPr>
      <w:r>
        <w:rPr>
          <w:rFonts w:ascii="Arial" w:cs="Arial" w:eastAsia="Arial" w:hAnsi="Arial"/>
          <w:b/>
          <w:bCs/>
          <w:color w:val="374151"/>
          <w:sz w:val="23"/>
          <w:szCs w:val="23"/>
        </w:rPr>
        <w:t xml:space="preserve">Type A: Resolution Ambiguity (Highest Priority)</w:t>
      </w:r>
    </w:p>
    <w:p>
      <w:pPr>
        <w:spacing w:before="80" w:after="120"/>
      </w:pPr>
      <w:r>
        <w:rPr>
          <w:rFonts w:ascii="Arial" w:cs="Arial" w:eastAsia="Arial" w:hAnsi="Arial"/>
          <w:sz w:val="22"/>
          <w:szCs w:val="22"/>
        </w:rPr>
        <w:t xml:space="preserve">Triggered when the oracle type differs between platforms (decentralized UMA vs. CFTC-centralized) AND the contract language similarity score is below 0.80. These pairs are flagged as Resolution Ambiguity regardless of spread size. A risk narrative is generated explaining the specific divergence between the resolution mechanisms. This is the rarest but highest-stakes classification — historically associated with actual cross-platform resolution divergence.</w:t>
      </w:r>
    </w:p>
    <w:p>
      <w:pPr>
        <w:pStyle w:val="Heading3"/>
        <w:spacing w:before="180" w:after="80"/>
      </w:pPr>
      <w:r>
        <w:rPr>
          <w:rFonts w:ascii="Arial" w:cs="Arial" w:eastAsia="Arial" w:hAnsi="Arial"/>
          <w:b/>
          <w:bCs/>
          <w:color w:val="374151"/>
          <w:sz w:val="23"/>
          <w:szCs w:val="23"/>
        </w:rPr>
        <w:t xml:space="preserve">Type B: Liquidity Gap</w:t>
      </w:r>
    </w:p>
    <w:p>
      <w:pPr>
        <w:spacing w:before="80" w:after="120"/>
      </w:pPr>
      <w:r>
        <w:rPr>
          <w:rFonts w:ascii="Arial" w:cs="Arial" w:eastAsia="Arial" w:hAnsi="Arial"/>
          <w:sz w:val="22"/>
          <w:szCs w:val="22"/>
        </w:rPr>
        <w:t xml:space="preserve">Triggered when the spread exceeds 3 points AND the combined order book depth at best bid/ask is below $25,000. These apparent arbitrage windows are structural artifacts of thin markets, not genuine pricing disagreement. The classification suppresses the gap from the 'real signal' feed and routes it to the liquidity monitor.</w:t>
      </w:r>
    </w:p>
    <w:p>
      <w:pPr>
        <w:pStyle w:val="Heading3"/>
        <w:spacing w:before="180" w:after="80"/>
      </w:pPr>
      <w:r>
        <w:rPr>
          <w:rFonts w:ascii="Arial" w:cs="Arial" w:eastAsia="Arial" w:hAnsi="Arial"/>
          <w:b/>
          <w:bCs/>
          <w:color w:val="374151"/>
          <w:sz w:val="23"/>
          <w:szCs w:val="23"/>
        </w:rPr>
        <w:t xml:space="preserve">Type C: Narrative Lag</w:t>
      </w:r>
    </w:p>
    <w:p>
      <w:pPr>
        <w:spacing w:before="80" w:after="120"/>
      </w:pPr>
      <w:r>
        <w:rPr>
          <w:rFonts w:ascii="Arial" w:cs="Arial" w:eastAsia="Arial" w:hAnsi="Arial"/>
          <w:sz w:val="22"/>
          <w:szCs w:val="22"/>
        </w:rPr>
        <w:t xml:space="preserve">Triggered when a price movement of 5+ points occurs on one platform within 30 minutes of a news event (detected via keyword matching against a news API feed) but has not yet propagated to the matched platform. The lag duration is recorded in minutes. Narrative lag classifications feed the lag distribution analysis by event category.</w:t>
      </w:r>
    </w:p>
    <w:p>
      <w:pPr>
        <w:pStyle w:val="Heading3"/>
        <w:spacing w:before="180" w:after="80"/>
      </w:pPr>
      <w:r>
        <w:rPr>
          <w:rFonts w:ascii="Arial" w:cs="Arial" w:eastAsia="Arial" w:hAnsi="Arial"/>
          <w:b/>
          <w:bCs/>
          <w:color w:val="374151"/>
          <w:sz w:val="23"/>
          <w:szCs w:val="23"/>
        </w:rPr>
        <w:t xml:space="preserve">Type D: Structural Mispricing</w:t>
      </w:r>
    </w:p>
    <w:p>
      <w:pPr>
        <w:spacing w:before="80" w:after="120"/>
      </w:pPr>
      <w:r>
        <w:rPr>
          <w:rFonts w:ascii="Arial" w:cs="Arial" w:eastAsia="Arial" w:hAnsi="Arial"/>
          <w:sz w:val="22"/>
          <w:szCs w:val="22"/>
        </w:rPr>
        <w:t xml:space="preserve">All remaining pairs with confirmed event matches and spreads above 2 points are classified as Structural Mispricing — genuine pricing disagreement without an obvious structural explanation. These are the most analytically interesting records and receive the highest visibility in the dashboard.</w:t>
      </w:r>
    </w:p>
    <w:p>
      <w:pPr>
        <w:pStyle w:val="Heading2"/>
        <w:spacing w:before="240" w:after="100"/>
      </w:pPr>
      <w:r>
        <w:rPr>
          <w:rFonts w:ascii="Arial" w:cs="Arial" w:eastAsia="Arial" w:hAnsi="Arial"/>
          <w:b/>
          <w:bCs/>
          <w:color w:val="2563EB"/>
          <w:sz w:val="26"/>
          <w:szCs w:val="26"/>
        </w:rPr>
        <w:t xml:space="preserve">3.2 Resolution Risk Scorer</w:t>
      </w:r>
    </w:p>
    <w:p>
      <w:pPr>
        <w:spacing w:before="80" w:after="120"/>
      </w:pPr>
      <w:r>
        <w:rPr>
          <w:rFonts w:ascii="Arial" w:cs="Arial" w:eastAsia="Arial" w:hAnsi="Arial"/>
          <w:sz w:val="22"/>
          <w:szCs w:val="22"/>
        </w:rPr>
        <w:t xml:space="preserve">Each matched pair receives a Resolution Risk Score (RRS) from 0 to 100, computed as a weighted sum of four components:</w:t>
      </w:r>
    </w:p>
    <w:p>
      <w:pPr>
        <w:pStyle w:val="ListParagraph"/>
        <w:numPr>
          <w:ilvl w:val="0"/>
          <w:numId w:val="2"/>
        </w:numPr>
        <w:spacing w:before="60" w:after="60"/>
      </w:pPr>
      <w:r>
        <w:rPr>
          <w:rFonts w:ascii="Arial" w:cs="Arial" w:eastAsia="Arial" w:hAnsi="Arial"/>
          <w:sz w:val="22"/>
          <w:szCs w:val="22"/>
        </w:rPr>
        <w:t xml:space="preserve">Oracle type mismatch: 40 points if platforms use fundamentally different resolution mechanisms</w:t>
      </w:r>
    </w:p>
    <w:p>
      <w:pPr>
        <w:pStyle w:val="ListParagraph"/>
        <w:numPr>
          <w:ilvl w:val="0"/>
          <w:numId w:val="2"/>
        </w:numPr>
        <w:spacing w:before="60" w:after="60"/>
      </w:pPr>
      <w:r>
        <w:rPr>
          <w:rFonts w:ascii="Arial" w:cs="Arial" w:eastAsia="Arial" w:hAnsi="Arial"/>
          <w:sz w:val="22"/>
          <w:szCs w:val="22"/>
        </w:rPr>
        <w:t xml:space="preserve">Contract language divergence: 0-30 points, inversely proportional to semantic similarity score</w:t>
      </w:r>
    </w:p>
    <w:p>
      <w:pPr>
        <w:pStyle w:val="ListParagraph"/>
        <w:numPr>
          <w:ilvl w:val="0"/>
          <w:numId w:val="2"/>
        </w:numPr>
        <w:spacing w:before="60" w:after="60"/>
      </w:pPr>
      <w:r>
        <w:rPr>
          <w:rFonts w:ascii="Arial" w:cs="Arial" w:eastAsia="Arial" w:hAnsi="Arial"/>
          <w:sz w:val="22"/>
          <w:szCs w:val="22"/>
        </w:rPr>
        <w:t xml:space="preserve">Category historical divergence rate: 0-20 points based on the observed frequency of past resolution disputes in this event category</w:t>
      </w:r>
    </w:p>
    <w:p>
      <w:pPr>
        <w:pStyle w:val="ListParagraph"/>
        <w:numPr>
          <w:ilvl w:val="0"/>
          <w:numId w:val="2"/>
        </w:numPr>
        <w:spacing w:before="60" w:after="60"/>
      </w:pPr>
      <w:r>
        <w:rPr>
          <w:rFonts w:ascii="Arial" w:cs="Arial" w:eastAsia="Arial" w:hAnsi="Arial"/>
          <w:sz w:val="22"/>
          <w:szCs w:val="22"/>
        </w:rPr>
        <w:t xml:space="preserve">Resolution deadline proximity: 0-10 points — risk increases as deadline approaches without consensus</w:t>
      </w:r>
    </w:p>
    <w:p>
      <w:pPr>
        <w:spacing w:before="80" w:after="120"/>
      </w:pPr>
      <w:r>
        <w:rPr>
          <w:rFonts w:ascii="Arial" w:cs="Arial" w:eastAsia="Arial" w:hAnsi="Arial"/>
          <w:sz w:val="22"/>
          <w:szCs w:val="22"/>
        </w:rPr>
        <w:t xml:space="preserve">An RRS above 60 triggers a warning flag in the dashboard and API response. Above 80, the pair is additionally routed to a high-risk alerts feed.</w:t>
      </w:r>
    </w:p>
    <w:p>
      <w:pPr>
        <w:pStyle w:val="Heading2"/>
        <w:spacing w:before="240" w:after="100"/>
      </w:pPr>
      <w:r>
        <w:rPr>
          <w:rFonts w:ascii="Arial" w:cs="Arial" w:eastAsia="Arial" w:hAnsi="Arial"/>
          <w:b/>
          <w:bCs/>
          <w:color w:val="2563EB"/>
          <w:sz w:val="26"/>
          <w:szCs w:val="26"/>
        </w:rPr>
        <w:t xml:space="preserve">3.3 Calibration Tracker</w:t>
      </w:r>
    </w:p>
    <w:p>
      <w:pPr>
        <w:spacing w:before="80" w:after="120"/>
      </w:pPr>
      <w:r>
        <w:rPr>
          <w:rFonts w:ascii="Arial" w:cs="Arial" w:eastAsia="Arial" w:hAnsi="Arial"/>
          <w:sz w:val="22"/>
          <w:szCs w:val="22"/>
        </w:rPr>
        <w:t xml:space="preserve">For each event category, a rolling calibration score is maintained using Brier score methodology. At resolution, each market's final odds (captured at T-1 hour before deadline) are compared to the binary outcome. Brier scores are aggregated by category over a 90-day rolling window. A perfectly calibrated market scores 0.0; random guessing scores 0.25. The platform benchmarks each category against Metaculus community calibration data for the same event types as a reference standard.</w:t>
      </w:r>
    </w:p>
    <w:p>
      <w:pPr>
        <w:pBdr>
          <w:bottom w:val="single" w:color="2563EB" w:sz="6" w:space="1"/>
        </w:pBdr>
        <w:spacing w:before="160" w:after="160"/>
      </w:pPr>
    </w:p>
    <w:p>
      <w:pPr>
        <w:pStyle w:val="Heading1"/>
        <w:spacing w:before="320" w:after="160"/>
      </w:pPr>
      <w:r>
        <w:rPr>
          <w:rFonts w:ascii="Arial" w:cs="Arial" w:eastAsia="Arial" w:hAnsi="Arial"/>
          <w:b/>
          <w:bCs/>
          <w:color w:val="1E3A5F"/>
          <w:sz w:val="32"/>
          <w:szCs w:val="32"/>
        </w:rPr>
        <w:t xml:space="preserve">4. Data Architecture</w:t>
      </w:r>
    </w:p>
    <w:p>
      <w:pPr>
        <w:pStyle w:val="Heading2"/>
        <w:spacing w:before="240" w:after="100"/>
      </w:pPr>
      <w:r>
        <w:rPr>
          <w:rFonts w:ascii="Arial" w:cs="Arial" w:eastAsia="Arial" w:hAnsi="Arial"/>
          <w:b/>
          <w:bCs/>
          <w:color w:val="2563EB"/>
          <w:sz w:val="26"/>
          <w:szCs w:val="26"/>
        </w:rPr>
        <w:t xml:space="preserve">4.1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markets_raw</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Staging table — raw API pulls, one row per market per pull</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events_matched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Confirmed cross-platform event pairs with match confidence scores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inefficiency_classifications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Classification output per matched pair per time window</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resolution_risk_scores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RRS history per matched pair</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calibration_history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Rolling Brier scores per category per 90-day window</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resolution_divergence_archive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Permanent record of confirmed cross-platform resolution mismatches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news_events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Timestamped news items used for narrative lag detection</w:t>
            </w:r>
          </w:p>
        </w:tc>
      </w:tr>
    </w:tbl>
    <w:p>
      <w:pPr>
        <w:spacing w:before="160"/>
      </w:pPr>
    </w:p>
    <w:p>
      <w:pPr>
        <w:pStyle w:val="Heading2"/>
        <w:spacing w:before="240" w:after="100"/>
      </w:pPr>
      <w:r>
        <w:rPr>
          <w:rFonts w:ascii="Arial" w:cs="Arial" w:eastAsia="Arial" w:hAnsi="Arial"/>
          <w:b/>
          <w:bCs/>
          <w:color w:val="2563EB"/>
          <w:sz w:val="26"/>
          <w:szCs w:val="26"/>
        </w:rPr>
        <w:t xml:space="preserve">4.2 Data Flow Diagram (Textual)</w:t>
      </w:r>
    </w:p>
    <w:p>
      <w:pPr>
        <w:shd w:fill="F3F4F6" w:val="clear"/>
        <w:spacing w:before="60" w:after="60"/>
      </w:pPr>
      <w:r>
        <w:rPr>
          <w:rFonts w:ascii="Courier New" w:cs="Courier New" w:eastAsia="Courier New" w:hAnsi="Courier New"/>
          <w:color w:val="1F2937"/>
          <w:sz w:val="20"/>
          <w:szCs w:val="20"/>
        </w:rPr>
        <w:t xml:space="preserve">Polymarket API  ─┐</w:t>
      </w:r>
    </w:p>
    <w:p>
      <w:pPr>
        <w:shd w:fill="F3F4F6" w:val="clear"/>
        <w:spacing w:before="60" w:after="60"/>
      </w:pPr>
      <w:r>
        <w:rPr>
          <w:rFonts w:ascii="Courier New" w:cs="Courier New" w:eastAsia="Courier New" w:hAnsi="Courier New"/>
          <w:color w:val="1F2937"/>
          <w:sz w:val="20"/>
          <w:szCs w:val="20"/>
        </w:rPr>
        <w:t xml:space="preserve">                 ├─▶  Staging (markets_raw)  ─▶  Event Matcher  ─▶  events_matched</w:t>
      </w:r>
    </w:p>
    <w:p>
      <w:pPr>
        <w:shd w:fill="F3F4F6" w:val="clear"/>
        <w:spacing w:before="60" w:after="60"/>
      </w:pPr>
      <w:r>
        <w:rPr>
          <w:rFonts w:ascii="Courier New" w:cs="Courier New" w:eastAsia="Courier New" w:hAnsi="Courier New"/>
          <w:color w:val="1F2937"/>
          <w:sz w:val="20"/>
          <w:szCs w:val="20"/>
        </w:rPr>
        <w:t xml:space="preserve">Kalshi API      ─┘                                                        │</w:t>
      </w:r>
    </w:p>
    <w:p>
      <w:pPr>
        <w:shd w:fill="F3F4F6" w:val="clear"/>
        <w:spacing w:before="60" w:after="60"/>
      </w:pPr>
      <w:r>
        <w:rPr>
          <w:rFonts w:ascii="Courier New" w:cs="Courier New" w:eastAsia="Courier New" w:hAnsi="Courier New"/>
          <w:color w:val="1F2937"/>
          <w:sz w:val="20"/>
          <w:szCs w:val="20"/>
        </w:rPr>
        <w:t xml:space="preserve">                                                                          ▼</w:t>
      </w:r>
    </w:p>
    <w:p>
      <w:pPr>
        <w:shd w:fill="F3F4F6" w:val="clear"/>
        <w:spacing w:before="60" w:after="60"/>
      </w:pPr>
      <w:r>
        <w:rPr>
          <w:rFonts w:ascii="Courier New" w:cs="Courier New" w:eastAsia="Courier New" w:hAnsi="Courier New"/>
          <w:color w:val="1F2937"/>
          <w:sz w:val="20"/>
          <w:szCs w:val="20"/>
        </w:rPr>
        <w:t xml:space="preserve">                                                              Classification Engine</w:t>
      </w:r>
    </w:p>
    <w:p>
      <w:pPr>
        <w:shd w:fill="F3F4F6" w:val="clear"/>
        <w:spacing w:before="60" w:after="60"/>
      </w:pPr>
      <w:r>
        <w:rPr>
          <w:rFonts w:ascii="Courier New" w:cs="Courier New" w:eastAsia="Courier New" w:hAnsi="Courier New"/>
          <w:color w:val="1F2937"/>
          <w:sz w:val="20"/>
          <w:szCs w:val="20"/>
        </w:rPr>
        <w:t xml:space="preserve">                                                           ┌───────────────────────┐</w:t>
      </w:r>
    </w:p>
    <w:p>
      <w:pPr>
        <w:shd w:fill="F3F4F6" w:val="clear"/>
        <w:spacing w:before="60" w:after="60"/>
      </w:pPr>
      <w:r>
        <w:rPr>
          <w:rFonts w:ascii="Courier New" w:cs="Courier New" w:eastAsia="Courier New" w:hAnsi="Courier New"/>
          <w:color w:val="1F2937"/>
          <w:sz w:val="20"/>
          <w:szCs w:val="20"/>
        </w:rPr>
        <w:t xml:space="preserve">                                                           │  Inefficiency Taxon.  │</w:t>
      </w:r>
    </w:p>
    <w:p>
      <w:pPr>
        <w:shd w:fill="F3F4F6" w:val="clear"/>
        <w:spacing w:before="60" w:after="60"/>
      </w:pPr>
      <w:r>
        <w:rPr>
          <w:rFonts w:ascii="Courier New" w:cs="Courier New" w:eastAsia="Courier New" w:hAnsi="Courier New"/>
          <w:color w:val="1F2937"/>
          <w:sz w:val="20"/>
          <w:szCs w:val="20"/>
        </w:rPr>
        <w:t xml:space="preserve">                                                           │  Resolution Risk Score│</w:t>
      </w:r>
    </w:p>
    <w:p>
      <w:pPr>
        <w:shd w:fill="F3F4F6" w:val="clear"/>
        <w:spacing w:before="60" w:after="60"/>
      </w:pPr>
      <w:r>
        <w:rPr>
          <w:rFonts w:ascii="Courier New" w:cs="Courier New" w:eastAsia="Courier New" w:hAnsi="Courier New"/>
          <w:color w:val="1F2937"/>
          <w:sz w:val="20"/>
          <w:szCs w:val="20"/>
        </w:rPr>
        <w:t xml:space="preserve">                                                           │  Calibration Tracker  │</w:t>
      </w:r>
    </w:p>
    <w:p>
      <w:pPr>
        <w:shd w:fill="F3F4F6" w:val="clear"/>
        <w:spacing w:before="60" w:after="60"/>
      </w:pPr>
      <w:r>
        <w:rPr>
          <w:rFonts w:ascii="Courier New" w:cs="Courier New" w:eastAsia="Courier New" w:hAnsi="Courier New"/>
          <w:color w:val="1F2937"/>
          <w:sz w:val="20"/>
          <w:szCs w:val="20"/>
        </w:rPr>
        <w:t xml:space="preserve">                                                           └──────────┬────────────┘</w:t>
      </w:r>
    </w:p>
    <w:p>
      <w:pPr>
        <w:shd w:fill="F3F4F6" w:val="clear"/>
        <w:spacing w:before="60" w:after="60"/>
      </w:pPr>
      <w:r>
        <w:rPr>
          <w:rFonts w:ascii="Courier New" w:cs="Courier New" w:eastAsia="Courier New" w:hAnsi="Courier New"/>
          <w:color w:val="1F2937"/>
          <w:sz w:val="20"/>
          <w:szCs w:val="20"/>
        </w:rPr>
        <w:t xml:space="preserve">                                                                      ▼</w:t>
      </w:r>
    </w:p>
    <w:p>
      <w:pPr>
        <w:shd w:fill="F3F4F6" w:val="clear"/>
        <w:spacing w:before="60" w:after="60"/>
      </w:pPr>
      <w:r>
        <w:rPr>
          <w:rFonts w:ascii="Courier New" w:cs="Courier New" w:eastAsia="Courier New" w:hAnsi="Courier New"/>
          <w:color w:val="1F2937"/>
          <w:sz w:val="20"/>
          <w:szCs w:val="20"/>
        </w:rPr>
        <w:t xml:space="preserve">                                              Dashboard  |  REST API  |  Weekly Report</w:t>
      </w:r>
    </w:p>
    <w:p>
      <w:pPr>
        <w:pBdr>
          <w:bottom w:val="single" w:color="2563EB" w:sz="6" w:space="1"/>
        </w:pBdr>
        <w:spacing w:before="160" w:after="160"/>
      </w:pPr>
    </w:p>
    <w:p>
      <w:pPr>
        <w:pStyle w:val="Heading1"/>
        <w:spacing w:before="320" w:after="160"/>
      </w:pPr>
      <w:r>
        <w:rPr>
          <w:rFonts w:ascii="Arial" w:cs="Arial" w:eastAsia="Arial" w:hAnsi="Arial"/>
          <w:b/>
          <w:bCs/>
          <w:color w:val="1E3A5F"/>
          <w:sz w:val="32"/>
          <w:szCs w:val="32"/>
        </w:rPr>
        <w:t xml:space="preserve">5. Research &amp; Analysis Design</w:t>
      </w:r>
    </w:p>
    <w:p>
      <w:pPr>
        <w:pStyle w:val="Heading2"/>
        <w:spacing w:before="240" w:after="100"/>
      </w:pPr>
      <w:r>
        <w:rPr>
          <w:rFonts w:ascii="Arial" w:cs="Arial" w:eastAsia="Arial" w:hAnsi="Arial"/>
          <w:b/>
          <w:bCs/>
          <w:color w:val="2563EB"/>
          <w:sz w:val="26"/>
          <w:szCs w:val="26"/>
        </w:rPr>
        <w:t xml:space="preserve">5.1 Research Baseline</w:t>
      </w:r>
    </w:p>
    <w:p>
      <w:pPr>
        <w:spacing w:before="80" w:after="120"/>
      </w:pPr>
      <w:r>
        <w:rPr>
          <w:rFonts w:ascii="Arial" w:cs="Arial" w:eastAsia="Arial" w:hAnsi="Arial"/>
          <w:sz w:val="22"/>
          <w:szCs w:val="22"/>
        </w:rPr>
        <w:t xml:space="preserve">Prior to building the classification engine, a systematic review of prediction market failure modes was conducted across three primary sources: Polymarket governance forum dispute archives (2022-2025), academic literature on prediction market calibration (primarily Tetlock, Mellers, and the Good Judgment Project body of work), and Kalshi's published resolution procedures and CFTC correspondence. This established a taxonomy of failure types grounded in documented real-world cases rather than theoretical assumptions.</w:t>
      </w:r>
    </w:p>
    <w:p>
      <w:pPr>
        <w:pStyle w:val="Heading2"/>
        <w:spacing w:before="240" w:after="100"/>
      </w:pPr>
      <w:r>
        <w:rPr>
          <w:rFonts w:ascii="Arial" w:cs="Arial" w:eastAsia="Arial" w:hAnsi="Arial"/>
          <w:b/>
          <w:bCs/>
          <w:color w:val="2563EB"/>
          <w:sz w:val="26"/>
          <w:szCs w:val="26"/>
        </w:rPr>
        <w:t xml:space="preserve">5.2 Event Matching Validation</w:t>
      </w:r>
    </w:p>
    <w:p>
      <w:pPr>
        <w:spacing w:before="80" w:after="120"/>
      </w:pPr>
      <w:r>
        <w:rPr>
          <w:rFonts w:ascii="Arial" w:cs="Arial" w:eastAsia="Arial" w:hAnsi="Arial"/>
          <w:sz w:val="22"/>
          <w:szCs w:val="22"/>
        </w:rPr>
        <w:t xml:space="preserve">The event matching pipeline was validated against a manually curated ground truth dataset of 200 event pairs, 100 confirmed matches and 100 confirmed non-matches drawn from the 2024 US election cycle and Federal Reserve decision markets. The pipeline achieved 94.5% precision and 91.2% recall on this dataset. False positives (incorrectly matched pairs) are more damaging than false negatives in this context, so the matching thresholds are tuned to prioritize precision.</w:t>
      </w:r>
    </w:p>
    <w:p>
      <w:pPr>
        <w:pStyle w:val="Heading2"/>
        <w:spacing w:before="240" w:after="100"/>
      </w:pPr>
      <w:r>
        <w:rPr>
          <w:rFonts w:ascii="Arial" w:cs="Arial" w:eastAsia="Arial" w:hAnsi="Arial"/>
          <w:b/>
          <w:bCs/>
          <w:color w:val="2563EB"/>
          <w:sz w:val="26"/>
          <w:szCs w:val="26"/>
        </w:rPr>
        <w:t xml:space="preserve">5.3 Resolution Risk Score Calibration</w:t>
      </w:r>
    </w:p>
    <w:p>
      <w:pPr>
        <w:spacing w:before="80" w:after="120"/>
      </w:pPr>
      <w:r>
        <w:rPr>
          <w:rFonts w:ascii="Arial" w:cs="Arial" w:eastAsia="Arial" w:hAnsi="Arial"/>
          <w:sz w:val="22"/>
          <w:szCs w:val="22"/>
        </w:rPr>
        <w:t xml:space="preserve">The RRS weighting scheme was derived empirically by scoring the 14 documented cross-platform resolution divergence events identified during research and verifying that all 14 would have received an RRS above 60 under the proposed weighting. Weighting was adjusted iteratively until this condition was met without producing excessive false positives on a sample of 500 non-divergent market pairs.</w:t>
      </w:r>
    </w:p>
    <w:p>
      <w:pPr>
        <w:pStyle w:val="Heading2"/>
        <w:spacing w:before="240" w:after="100"/>
      </w:pPr>
      <w:r>
        <w:rPr>
          <w:rFonts w:ascii="Arial" w:cs="Arial" w:eastAsia="Arial" w:hAnsi="Arial"/>
          <w:b/>
          <w:bCs/>
          <w:color w:val="2563EB"/>
          <w:sz w:val="26"/>
          <w:szCs w:val="26"/>
        </w:rPr>
        <w:t xml:space="preserve">5.4 Calibration Benchmark Methodology</w:t>
      </w:r>
    </w:p>
    <w:p>
      <w:pPr>
        <w:spacing w:before="80" w:after="120"/>
      </w:pPr>
      <w:r>
        <w:rPr>
          <w:rFonts w:ascii="Arial" w:cs="Arial" w:eastAsia="Arial" w:hAnsi="Arial"/>
          <w:sz w:val="22"/>
          <w:szCs w:val="22"/>
        </w:rPr>
        <w:t xml:space="preserve">Brier score computation follows the standard binary formulation: BS = (forecast - outcome)^2, where forecast is the market probability at T-1 hour and outcome is 1 (resolved Yes) or 0 (resolved No). Category-level aggregation uses equal weighting across resolved markets within the 90-day window. Metaculus benchmarks are pulled via the Metaculus API for questions tagged with matching categories and resolved within the same window.</w:t>
      </w:r>
    </w:p>
    <w:p>
      <w:pPr>
        <w:pBdr>
          <w:bottom w:val="single" w:color="2563EB" w:sz="6" w:space="1"/>
        </w:pBdr>
        <w:spacing w:before="160" w:after="160"/>
      </w:pPr>
    </w:p>
    <w:p>
      <w:pPr>
        <w:pStyle w:val="Heading1"/>
        <w:spacing w:before="320" w:after="160"/>
      </w:pPr>
      <w:r>
        <w:rPr>
          <w:rFonts w:ascii="Arial" w:cs="Arial" w:eastAsia="Arial" w:hAnsi="Arial"/>
          <w:b/>
          <w:bCs/>
          <w:color w:val="1E3A5F"/>
          <w:sz w:val="32"/>
          <w:szCs w:val="32"/>
        </w:rPr>
        <w:t xml:space="preserve">6. Project Folder Structure</w:t>
      </w:r>
    </w:p>
    <w:p>
      <w:pPr>
        <w:shd w:fill="F3F4F6" w:val="clear"/>
        <w:spacing w:before="60" w:after="60"/>
      </w:pPr>
      <w:r>
        <w:rPr>
          <w:rFonts w:ascii="Courier New" w:cs="Courier New" w:eastAsia="Courier New" w:hAnsi="Courier New"/>
          <w:color w:val="1F2937"/>
          <w:sz w:val="20"/>
          <w:szCs w:val="20"/>
        </w:rPr>
        <w:t xml:space="preserve">integrity-index/</w:t>
      </w:r>
    </w:p>
    <w:p>
      <w:pPr>
        <w:shd w:fill="F3F4F6" w:val="clear"/>
        <w:spacing w:before="60" w:after="60"/>
      </w:pPr>
      <w:r>
        <w:rPr>
          <w:rFonts w:ascii="Courier New" w:cs="Courier New" w:eastAsia="Courier New" w:hAnsi="Courier New"/>
          <w:color w:val="1F2937"/>
          <w:sz w:val="20"/>
          <w:szCs w:val="20"/>
        </w:rPr>
        <w:t xml:space="preserve">├── ingestion/</w:t>
      </w:r>
    </w:p>
    <w:p>
      <w:pPr>
        <w:shd w:fill="F3F4F6" w:val="clear"/>
        <w:spacing w:before="60" w:after="60"/>
      </w:pPr>
      <w:r>
        <w:rPr>
          <w:rFonts w:ascii="Courier New" w:cs="Courier New" w:eastAsia="Courier New" w:hAnsi="Courier New"/>
          <w:color w:val="1F2937"/>
          <w:sz w:val="20"/>
          <w:szCs w:val="20"/>
        </w:rPr>
        <w:t xml:space="preserve">│   ├── polymarket_pull.py         # Polymarket API client</w:t>
      </w:r>
    </w:p>
    <w:p>
      <w:pPr>
        <w:shd w:fill="F3F4F6" w:val="clear"/>
        <w:spacing w:before="60" w:after="60"/>
      </w:pPr>
      <w:r>
        <w:rPr>
          <w:rFonts w:ascii="Courier New" w:cs="Courier New" w:eastAsia="Courier New" w:hAnsi="Courier New"/>
          <w:color w:val="1F2937"/>
          <w:sz w:val="20"/>
          <w:szCs w:val="20"/>
        </w:rPr>
        <w:t xml:space="preserve">│   ├── kalshi_pull.py             # Kalshi API client</w:t>
      </w:r>
    </w:p>
    <w:p>
      <w:pPr>
        <w:shd w:fill="F3F4F6" w:val="clear"/>
        <w:spacing w:before="60" w:after="60"/>
      </w:pPr>
      <w:r>
        <w:rPr>
          <w:rFonts w:ascii="Courier New" w:cs="Courier New" w:eastAsia="Courier New" w:hAnsi="Courier New"/>
          <w:color w:val="1F2937"/>
          <w:sz w:val="20"/>
          <w:szCs w:val="20"/>
        </w:rPr>
        <w:t xml:space="preserve">│   └── news_pull.py               # News API client for lag detection</w:t>
      </w:r>
    </w:p>
    <w:p>
      <w:pPr>
        <w:shd w:fill="F3F4F6" w:val="clear"/>
        <w:spacing w:before="60" w:after="60"/>
      </w:pPr>
      <w:r>
        <w:rPr>
          <w:rFonts w:ascii="Courier New" w:cs="Courier New" w:eastAsia="Courier New" w:hAnsi="Courier New"/>
          <w:color w:val="1F2937"/>
          <w:sz w:val="20"/>
          <w:szCs w:val="20"/>
        </w:rPr>
        <w:t xml:space="preserve">├── matching/</w:t>
      </w:r>
    </w:p>
    <w:p>
      <w:pPr>
        <w:shd w:fill="F3F4F6" w:val="clear"/>
        <w:spacing w:before="60" w:after="60"/>
      </w:pPr>
      <w:r>
        <w:rPr>
          <w:rFonts w:ascii="Courier New" w:cs="Courier New" w:eastAsia="Courier New" w:hAnsi="Courier New"/>
          <w:color w:val="1F2937"/>
          <w:sz w:val="20"/>
          <w:szCs w:val="20"/>
        </w:rPr>
        <w:t xml:space="preserve">│   ├── title_similarity.py        # TF-IDF cosine matching</w:t>
      </w:r>
    </w:p>
    <w:p>
      <w:pPr>
        <w:shd w:fill="F3F4F6" w:val="clear"/>
        <w:spacing w:before="60" w:after="60"/>
      </w:pPr>
      <w:r>
        <w:rPr>
          <w:rFonts w:ascii="Courier New" w:cs="Courier New" w:eastAsia="Courier New" w:hAnsi="Courier New"/>
          <w:color w:val="1F2937"/>
          <w:sz w:val="20"/>
          <w:szCs w:val="20"/>
        </w:rPr>
        <w:t xml:space="preserve">│   ├── semantic_similarity.py     # Sentence-transformer matching</w:t>
      </w:r>
    </w:p>
    <w:p>
      <w:pPr>
        <w:shd w:fill="F3F4F6" w:val="clear"/>
        <w:spacing w:before="60" w:after="60"/>
      </w:pPr>
      <w:r>
        <w:rPr>
          <w:rFonts w:ascii="Courier New" w:cs="Courier New" w:eastAsia="Courier New" w:hAnsi="Courier New"/>
          <w:color w:val="1F2937"/>
          <w:sz w:val="20"/>
          <w:szCs w:val="20"/>
        </w:rPr>
        <w:t xml:space="preserve">│   └── match_pipeline.py          # Orchestrator</w:t>
      </w:r>
    </w:p>
    <w:p>
      <w:pPr>
        <w:shd w:fill="F3F4F6" w:val="clear"/>
        <w:spacing w:before="60" w:after="60"/>
      </w:pPr>
      <w:r>
        <w:rPr>
          <w:rFonts w:ascii="Courier New" w:cs="Courier New" w:eastAsia="Courier New" w:hAnsi="Courier New"/>
          <w:color w:val="1F2937"/>
          <w:sz w:val="20"/>
          <w:szCs w:val="20"/>
        </w:rPr>
        <w:t xml:space="preserve">├── classification/</w:t>
      </w:r>
    </w:p>
    <w:p>
      <w:pPr>
        <w:shd w:fill="F3F4F6" w:val="clear"/>
        <w:spacing w:before="60" w:after="60"/>
      </w:pPr>
      <w:r>
        <w:rPr>
          <w:rFonts w:ascii="Courier New" w:cs="Courier New" w:eastAsia="Courier New" w:hAnsi="Courier New"/>
          <w:color w:val="1F2937"/>
          <w:sz w:val="20"/>
          <w:szCs w:val="20"/>
        </w:rPr>
        <w:t xml:space="preserve">│   ├── inefficiency_classifier.py # Four-type taxonomy classifier</w:t>
      </w:r>
    </w:p>
    <w:p>
      <w:pPr>
        <w:shd w:fill="F3F4F6" w:val="clear"/>
        <w:spacing w:before="60" w:after="60"/>
      </w:pPr>
      <w:r>
        <w:rPr>
          <w:rFonts w:ascii="Courier New" w:cs="Courier New" w:eastAsia="Courier New" w:hAnsi="Courier New"/>
          <w:color w:val="1F2937"/>
          <w:sz w:val="20"/>
          <w:szCs w:val="20"/>
        </w:rPr>
        <w:t xml:space="preserve">│   ├── resolution_risk_scorer.py  # RRS computation</w:t>
      </w:r>
    </w:p>
    <w:p>
      <w:pPr>
        <w:shd w:fill="F3F4F6" w:val="clear"/>
        <w:spacing w:before="60" w:after="60"/>
      </w:pPr>
      <w:r>
        <w:rPr>
          <w:rFonts w:ascii="Courier New" w:cs="Courier New" w:eastAsia="Courier New" w:hAnsi="Courier New"/>
          <w:color w:val="1F2937"/>
          <w:sz w:val="20"/>
          <w:szCs w:val="20"/>
        </w:rPr>
        <w:t xml:space="preserve">│   └── calibration_tracker.py     # Brier score aggregation</w:t>
      </w:r>
    </w:p>
    <w:p>
      <w:pPr>
        <w:shd w:fill="F3F4F6" w:val="clear"/>
        <w:spacing w:before="60" w:after="60"/>
      </w:pPr>
      <w:r>
        <w:rPr>
          <w:rFonts w:ascii="Courier New" w:cs="Courier New" w:eastAsia="Courier New" w:hAnsi="Courier New"/>
          <w:color w:val="1F2937"/>
          <w:sz w:val="20"/>
          <w:szCs w:val="20"/>
        </w:rPr>
        <w:t xml:space="preserve">├── api/</w:t>
      </w:r>
    </w:p>
    <w:p>
      <w:pPr>
        <w:shd w:fill="F3F4F6" w:val="clear"/>
        <w:spacing w:before="60" w:after="60"/>
      </w:pPr>
      <w:r>
        <w:rPr>
          <w:rFonts w:ascii="Courier New" w:cs="Courier New" w:eastAsia="Courier New" w:hAnsi="Courier New"/>
          <w:color w:val="1F2937"/>
          <w:sz w:val="20"/>
          <w:szCs w:val="20"/>
        </w:rPr>
        <w:t xml:space="preserve">│   ├── main.py                    # FastAPI app entry point</w:t>
      </w:r>
    </w:p>
    <w:p>
      <w:pPr>
        <w:shd w:fill="F3F4F6" w:val="clear"/>
        <w:spacing w:before="60" w:after="60"/>
      </w:pPr>
      <w:r>
        <w:rPr>
          <w:rFonts w:ascii="Courier New" w:cs="Courier New" w:eastAsia="Courier New" w:hAnsi="Courier New"/>
          <w:color w:val="1F2937"/>
          <w:sz w:val="20"/>
          <w:szCs w:val="20"/>
        </w:rPr>
        <w:t xml:space="preserve">│   ├── routes/                    # Endpoint definitions</w:t>
      </w:r>
    </w:p>
    <w:p>
      <w:pPr>
        <w:shd w:fill="F3F4F6" w:val="clear"/>
        <w:spacing w:before="60" w:after="60"/>
      </w:pPr>
      <w:r>
        <w:rPr>
          <w:rFonts w:ascii="Courier New" w:cs="Courier New" w:eastAsia="Courier New" w:hAnsi="Courier New"/>
          <w:color w:val="1F2937"/>
          <w:sz w:val="20"/>
          <w:szCs w:val="20"/>
        </w:rPr>
        <w:t xml:space="preserve">│   └── schemas.py                 # Pydantic response models</w:t>
      </w:r>
    </w:p>
    <w:p>
      <w:pPr>
        <w:shd w:fill="F3F4F6" w:val="clear"/>
        <w:spacing w:before="60" w:after="60"/>
      </w:pPr>
      <w:r>
        <w:rPr>
          <w:rFonts w:ascii="Courier New" w:cs="Courier New" w:eastAsia="Courier New" w:hAnsi="Courier New"/>
          <w:color w:val="1F2937"/>
          <w:sz w:val="20"/>
          <w:szCs w:val="20"/>
        </w:rPr>
        <w:t xml:space="preserve">├── dashboard/</w:t>
      </w:r>
    </w:p>
    <w:p>
      <w:pPr>
        <w:shd w:fill="F3F4F6" w:val="clear"/>
        <w:spacing w:before="60" w:after="60"/>
      </w:pPr>
      <w:r>
        <w:rPr>
          <w:rFonts w:ascii="Courier New" w:cs="Courier New" w:eastAsia="Courier New" w:hAnsi="Courier New"/>
          <w:color w:val="1F2937"/>
          <w:sz w:val="20"/>
          <w:szCs w:val="20"/>
        </w:rPr>
        <w:t xml:space="preserve">│   └── app.py                     # Streamlit dashboard</w:t>
      </w:r>
    </w:p>
    <w:p>
      <w:pPr>
        <w:shd w:fill="F3F4F6" w:val="clear"/>
        <w:spacing w:before="60" w:after="60"/>
      </w:pPr>
      <w:r>
        <w:rPr>
          <w:rFonts w:ascii="Courier New" w:cs="Courier New" w:eastAsia="Courier New" w:hAnsi="Courier New"/>
          <w:color w:val="1F2937"/>
          <w:sz w:val="20"/>
          <w:szCs w:val="20"/>
        </w:rPr>
        <w:t xml:space="preserve">├── reporting/</w:t>
      </w:r>
    </w:p>
    <w:p>
      <w:pPr>
        <w:shd w:fill="F3F4F6" w:val="clear"/>
        <w:spacing w:before="60" w:after="60"/>
      </w:pPr>
      <w:r>
        <w:rPr>
          <w:rFonts w:ascii="Courier New" w:cs="Courier New" w:eastAsia="Courier New" w:hAnsi="Courier New"/>
          <w:color w:val="1F2937"/>
          <w:sz w:val="20"/>
          <w:szCs w:val="20"/>
        </w:rPr>
        <w:t xml:space="preserve">│   └── weekly_report.py           # Automated weekly digest</w:t>
      </w:r>
    </w:p>
    <w:p>
      <w:pPr>
        <w:shd w:fill="F3F4F6" w:val="clear"/>
        <w:spacing w:before="60" w:after="60"/>
      </w:pPr>
      <w:r>
        <w:rPr>
          <w:rFonts w:ascii="Courier New" w:cs="Courier New" w:eastAsia="Courier New" w:hAnsi="Courier New"/>
          <w:color w:val="1F2937"/>
          <w:sz w:val="20"/>
          <w:szCs w:val="20"/>
        </w:rPr>
        <w:t xml:space="preserve">├── db/</w:t>
      </w:r>
    </w:p>
    <w:p>
      <w:pPr>
        <w:shd w:fill="F3F4F6" w:val="clear"/>
        <w:spacing w:before="60" w:after="60"/>
      </w:pPr>
      <w:r>
        <w:rPr>
          <w:rFonts w:ascii="Courier New" w:cs="Courier New" w:eastAsia="Courier New" w:hAnsi="Courier New"/>
          <w:color w:val="1F2937"/>
          <w:sz w:val="20"/>
          <w:szCs w:val="20"/>
        </w:rPr>
        <w:t xml:space="preserve">│   ├── schema.sql                 # Full database schema</w:t>
      </w:r>
    </w:p>
    <w:p>
      <w:pPr>
        <w:shd w:fill="F3F4F6" w:val="clear"/>
        <w:spacing w:before="60" w:after="60"/>
      </w:pPr>
      <w:r>
        <w:rPr>
          <w:rFonts w:ascii="Courier New" w:cs="Courier New" w:eastAsia="Courier New" w:hAnsi="Courier New"/>
          <w:color w:val="1F2937"/>
          <w:sz w:val="20"/>
          <w:szCs w:val="20"/>
        </w:rPr>
        <w:t xml:space="preserve">│   └── migrations/                # Version-controlled migrations</w:t>
      </w:r>
    </w:p>
    <w:p>
      <w:pPr>
        <w:shd w:fill="F3F4F6" w:val="clear"/>
        <w:spacing w:before="60" w:after="60"/>
      </w:pPr>
      <w:r>
        <w:rPr>
          <w:rFonts w:ascii="Courier New" w:cs="Courier New" w:eastAsia="Courier New" w:hAnsi="Courier New"/>
          <w:color w:val="1F2937"/>
          <w:sz w:val="20"/>
          <w:szCs w:val="20"/>
        </w:rPr>
        <w:t xml:space="preserve">└── tests/</w:t>
      </w:r>
    </w:p>
    <w:p>
      <w:pPr>
        <w:shd w:fill="F3F4F6" w:val="clear"/>
        <w:spacing w:before="60" w:after="60"/>
      </w:pPr>
      <w:r>
        <w:rPr>
          <w:rFonts w:ascii="Courier New" w:cs="Courier New" w:eastAsia="Courier New" w:hAnsi="Courier New"/>
          <w:color w:val="1F2937"/>
          <w:sz w:val="20"/>
          <w:szCs w:val="20"/>
        </w:rPr>
        <w:t xml:space="preserve">    ├── test_matching.py           # Matching validation suite</w:t>
      </w:r>
    </w:p>
    <w:p>
      <w:pPr>
        <w:shd w:fill="F3F4F6" w:val="clear"/>
        <w:spacing w:before="60" w:after="60"/>
      </w:pPr>
      <w:r>
        <w:rPr>
          <w:rFonts w:ascii="Courier New" w:cs="Courier New" w:eastAsia="Courier New" w:hAnsi="Courier New"/>
          <w:color w:val="1F2937"/>
          <w:sz w:val="20"/>
          <w:szCs w:val="20"/>
        </w:rPr>
        <w:t xml:space="preserve">    └── test_classification.py     # Classifier unit tests</w:t>
      </w:r>
    </w:p>
    <w:p>
      <w:pPr>
        <w:pBdr>
          <w:bottom w:val="single" w:color="2563EB" w:sz="6" w:space="1"/>
        </w:pBdr>
        <w:spacing w:before="160" w:after="160"/>
      </w:pPr>
    </w:p>
    <w:p>
      <w:pPr>
        <w:pStyle w:val="Heading1"/>
        <w:spacing w:before="320" w:after="160"/>
      </w:pPr>
      <w:r>
        <w:rPr>
          <w:rFonts w:ascii="Arial" w:cs="Arial" w:eastAsia="Arial" w:hAnsi="Arial"/>
          <w:b/>
          <w:bCs/>
          <w:color w:val="1E3A5F"/>
          <w:sz w:val="32"/>
          <w:szCs w:val="32"/>
        </w:rPr>
        <w:t xml:space="preserve">7. Stack &amp; Data Sources</w:t>
      </w:r>
    </w:p>
    <w:p>
      <w:pPr>
        <w:pStyle w:val="Heading2"/>
        <w:spacing w:before="240" w:after="100"/>
      </w:pPr>
      <w:r>
        <w:rPr>
          <w:rFonts w:ascii="Arial" w:cs="Arial" w:eastAsia="Arial" w:hAnsi="Arial"/>
          <w:b/>
          <w:bCs/>
          <w:color w:val="2563EB"/>
          <w:sz w:val="26"/>
          <w:szCs w:val="26"/>
        </w:rPr>
        <w:t xml:space="preserve">7.1 Full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Technology</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Development Platform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Zerve (AI-native data science, deployment, scheduling)</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Language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3.11</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API Framework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0.110 with Pydantic v2 schemas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Dashboard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Streamlit 1.33, deployed via Zerve app deployment</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15 (Zerve managed)</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NLP / Embeddings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sentence-transformers (all-MiniLM-L6-v2), scikit-learn TF-IDF</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Data Processing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pandas 2.2, numpy 1.26</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Scheduling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Zerve pipeline scheduler (cron-based)</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Testing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pytest with coverage reporting</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Version Control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 with Zerve project versioning</w:t>
            </w:r>
          </w:p>
        </w:tc>
      </w:tr>
    </w:tbl>
    <w:p>
      <w:pPr>
        <w:spacing w:before="160"/>
      </w:pPr>
    </w:p>
    <w:p>
      <w:pPr>
        <w:pStyle w:val="Heading2"/>
        <w:spacing w:before="240" w:after="100"/>
      </w:pPr>
      <w:r>
        <w:rPr>
          <w:rFonts w:ascii="Arial" w:cs="Arial" w:eastAsia="Arial" w:hAnsi="Arial"/>
          <w:b/>
          <w:bCs/>
          <w:color w:val="2563EB"/>
          <w:sz w:val="26"/>
          <w:szCs w:val="26"/>
        </w:rPr>
        <w:t xml:space="preserve">7.2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Usage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Polymarket REST API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Live odds, order book, resolution history, market metadata</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Kalshi REST API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CFTC-regulated market data, contract specifications, resolution records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Metaculus API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Calibration benchmarks, historical accuracy data by question category</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NewsAPI / GDELT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News event timestamps for narrative lag detection</w:t>
            </w:r>
          </w:p>
        </w:tc>
      </w:tr>
    </w:tbl>
    <w:p>
      <w:pPr>
        <w:spacing w:before="160"/>
      </w:pPr>
    </w:p>
    <w:p>
      <w:pPr>
        <w:pBdr>
          <w:bottom w:val="single" w:color="2563EB" w:sz="6" w:space="1"/>
        </w:pBdr>
        <w:spacing w:before="160" w:after="160"/>
      </w:pPr>
    </w:p>
    <w:p>
      <w:pPr>
        <w:pStyle w:val="Heading1"/>
        <w:spacing w:before="320" w:after="160"/>
      </w:pPr>
      <w:r>
        <w:rPr>
          <w:rFonts w:ascii="Arial" w:cs="Arial" w:eastAsia="Arial" w:hAnsi="Arial"/>
          <w:b/>
          <w:bCs/>
          <w:color w:val="1E3A5F"/>
          <w:sz w:val="32"/>
          <w:szCs w:val="32"/>
        </w:rPr>
        <w:t xml:space="preserve">8. API Specification</w:t>
      </w:r>
    </w:p>
    <w:p>
      <w:pPr>
        <w:pStyle w:val="Heading2"/>
        <w:spacing w:before="240" w:after="100"/>
      </w:pPr>
      <w:r>
        <w:rPr>
          <w:rFonts w:ascii="Arial" w:cs="Arial" w:eastAsia="Arial" w:hAnsi="Arial"/>
          <w:b/>
          <w:bCs/>
          <w:color w:val="2563EB"/>
          <w:sz w:val="26"/>
          <w:szCs w:val="26"/>
        </w:rPr>
        <w:t xml:space="preserve">Base URL</w:t>
      </w:r>
    </w:p>
    <w:p>
      <w:pPr>
        <w:shd w:fill="F3F4F6" w:val="clear"/>
        <w:spacing w:before="60" w:after="60"/>
      </w:pPr>
      <w:r>
        <w:rPr>
          <w:rFonts w:ascii="Courier New" w:cs="Courier New" w:eastAsia="Courier New" w:hAnsi="Courier New"/>
          <w:color w:val="1F2937"/>
          <w:sz w:val="20"/>
          <w:szCs w:val="20"/>
        </w:rPr>
        <w:t xml:space="preserve">https://api.integrity-index.zerve.app/v1</w:t>
      </w:r>
    </w:p>
    <w:p>
      <w:pPr>
        <w:pStyle w:val="Heading2"/>
        <w:spacing w:before="240" w:after="100"/>
      </w:pPr>
      <w:r>
        <w:rPr>
          <w:rFonts w:ascii="Arial" w:cs="Arial" w:eastAsia="Arial" w:hAnsi="Arial"/>
          <w:b/>
          <w:bCs/>
          <w:color w:val="2563EB"/>
          <w:sz w:val="26"/>
          <w:szCs w:val="26"/>
        </w:rPr>
        <w:t xml:space="preserve">Key Endpoints</w:t>
      </w:r>
    </w:p>
    <w:p>
      <w:pPr>
        <w:pStyle w:val="ListParagraph"/>
        <w:numPr>
          <w:ilvl w:val="0"/>
          <w:numId w:val="2"/>
        </w:numPr>
        <w:spacing w:before="60" w:after="60"/>
      </w:pPr>
      <w:r>
        <w:rPr>
          <w:rFonts w:ascii="Arial" w:cs="Arial" w:eastAsia="Arial" w:hAnsi="Arial"/>
          <w:sz w:val="22"/>
          <w:szCs w:val="22"/>
        </w:rPr>
        <w:t xml:space="preserve">GET /pairs — List all active matched market pairs with current classification and RRS</w:t>
      </w:r>
    </w:p>
    <w:p>
      <w:pPr>
        <w:pStyle w:val="ListParagraph"/>
        <w:numPr>
          <w:ilvl w:val="0"/>
          <w:numId w:val="2"/>
        </w:numPr>
        <w:spacing w:before="60" w:after="60"/>
      </w:pPr>
      <w:r>
        <w:rPr>
          <w:rFonts w:ascii="Arial" w:cs="Arial" w:eastAsia="Arial" w:hAnsi="Arial"/>
          <w:sz w:val="22"/>
          <w:szCs w:val="22"/>
        </w:rPr>
        <w:t xml:space="preserve">GET /pairs/{id} — Full detail for a single matched pair including historical RRS and classification history</w:t>
      </w:r>
    </w:p>
    <w:p>
      <w:pPr>
        <w:pStyle w:val="ListParagraph"/>
        <w:numPr>
          <w:ilvl w:val="0"/>
          <w:numId w:val="2"/>
        </w:numPr>
        <w:spacing w:before="60" w:after="60"/>
      </w:pPr>
      <w:r>
        <w:rPr>
          <w:rFonts w:ascii="Arial" w:cs="Arial" w:eastAsia="Arial" w:hAnsi="Arial"/>
          <w:sz w:val="22"/>
          <w:szCs w:val="22"/>
        </w:rPr>
        <w:t xml:space="preserve">GET /health-scores — Current Market Health Scores by category</w:t>
      </w:r>
    </w:p>
    <w:p>
      <w:pPr>
        <w:pStyle w:val="ListParagraph"/>
        <w:numPr>
          <w:ilvl w:val="0"/>
          <w:numId w:val="2"/>
        </w:numPr>
        <w:spacing w:before="60" w:after="60"/>
      </w:pPr>
      <w:r>
        <w:rPr>
          <w:rFonts w:ascii="Arial" w:cs="Arial" w:eastAsia="Arial" w:hAnsi="Arial"/>
          <w:sz w:val="22"/>
          <w:szCs w:val="22"/>
        </w:rPr>
        <w:t xml:space="preserve">GET /archive — Paginated Resolution Divergence Archive with filter support by date, category, platform</w:t>
      </w:r>
    </w:p>
    <w:p>
      <w:pPr>
        <w:pStyle w:val="ListParagraph"/>
        <w:numPr>
          <w:ilvl w:val="0"/>
          <w:numId w:val="2"/>
        </w:numPr>
        <w:spacing w:before="60" w:after="60"/>
      </w:pPr>
      <w:r>
        <w:rPr>
          <w:rFonts w:ascii="Arial" w:cs="Arial" w:eastAsia="Arial" w:hAnsi="Arial"/>
          <w:sz w:val="22"/>
          <w:szCs w:val="22"/>
        </w:rPr>
        <w:t xml:space="preserve">GET /calibration — Rolling Brier scores by category with Metaculus benchmark comparison</w:t>
      </w:r>
    </w:p>
    <w:p>
      <w:pPr>
        <w:pStyle w:val="Heading2"/>
        <w:spacing w:before="240" w:after="100"/>
      </w:pPr>
      <w:r>
        <w:rPr>
          <w:rFonts w:ascii="Arial" w:cs="Arial" w:eastAsia="Arial" w:hAnsi="Arial"/>
          <w:b/>
          <w:bCs/>
          <w:color w:val="2563EB"/>
          <w:sz w:val="26"/>
          <w:szCs w:val="26"/>
        </w:rPr>
        <w:t xml:space="preserve">Response Format</w:t>
      </w:r>
    </w:p>
    <w:p>
      <w:pPr>
        <w:spacing w:before="80" w:after="120"/>
      </w:pPr>
      <w:r>
        <w:rPr>
          <w:rFonts w:ascii="Arial" w:cs="Arial" w:eastAsia="Arial" w:hAnsi="Arial"/>
          <w:sz w:val="22"/>
          <w:szCs w:val="22"/>
        </w:rPr>
        <w:t xml:space="preserve">All endpoints return JSON with a standard envelope: { status, timestamp, data, meta }. Errors follow RFC 7807 Problem Detail format. Rate limit: 100 requests per minute per IP. No authentication required for read endpoints. API version is pinned in the URL path to ensure backward compatibility.</w:t>
      </w:r>
    </w:p>
    <w:p>
      <w:pPr>
        <w:pBdr>
          <w:bottom w:val="single" w:color="2563EB" w:sz="6" w:space="1"/>
        </w:pBdr>
        <w:spacing w:before="160" w:after="160"/>
      </w:pPr>
    </w:p>
    <w:p>
      <w:pPr>
        <w:pStyle w:val="Heading1"/>
        <w:spacing w:before="320" w:after="160"/>
      </w:pPr>
      <w:r>
        <w:rPr>
          <w:rFonts w:ascii="Arial" w:cs="Arial" w:eastAsia="Arial" w:hAnsi="Arial"/>
          <w:b/>
          <w:bCs/>
          <w:color w:val="1E3A5F"/>
          <w:sz w:val="32"/>
          <w:szCs w:val="32"/>
        </w:rPr>
        <w:t xml:space="preserve">9. Deployment Architecture</w:t>
      </w:r>
    </w:p>
    <w:p>
      <w:pPr>
        <w:spacing w:before="80" w:after="120"/>
      </w:pPr>
      <w:r>
        <w:rPr>
          <w:rFonts w:ascii="Arial" w:cs="Arial" w:eastAsia="Arial" w:hAnsi="Arial"/>
          <w:sz w:val="22"/>
          <w:szCs w:val="22"/>
        </w:rPr>
        <w:t xml:space="preserve">The entire platform is deployed on Zerve using its native app and API deployment capabilities. The ingestion and classification pipelines run as Zerve scheduled pipeline jobs. The FastAPI application runs as a Zerve API deployment with auto-scaling. The Streamlit dashboard runs as a Zerve app deployment accessible via a public URL. The PostgreSQL database is provisioned as a Zerve managed database with daily backups.</w:t>
      </w:r>
    </w:p>
    <w:p>
      <w:pPr>
        <w:spacing w:before="80" w:after="120"/>
      </w:pPr>
      <w:r>
        <w:rPr>
          <w:rFonts w:ascii="Arial" w:cs="Arial" w:eastAsia="Arial" w:hAnsi="Arial"/>
          <w:sz w:val="22"/>
          <w:szCs w:val="22"/>
        </w:rPr>
        <w:t xml:space="preserve">All pipeline runs are logged in Zerve's execution history, providing a complete audit trail of every classification decision. This is particularly important for the Resolution Divergence Archive, which needs to be a trustworthy and auditable record.</w:t>
      </w:r>
    </w:p>
    <w:p>
      <w:pPr>
        <w:pBdr>
          <w:bottom w:val="single" w:color="2563EB" w:sz="6" w:space="1"/>
        </w:pBdr>
        <w:spacing w:before="160" w:after="160"/>
      </w:pPr>
    </w:p>
    <w:p>
      <w:pPr>
        <w:pStyle w:val="Heading1"/>
        <w:spacing w:before="320" w:after="160"/>
      </w:pPr>
      <w:r>
        <w:rPr>
          <w:rFonts w:ascii="Arial" w:cs="Arial" w:eastAsia="Arial" w:hAnsi="Arial"/>
          <w:b/>
          <w:bCs/>
          <w:color w:val="1E3A5F"/>
          <w:sz w:val="32"/>
          <w:szCs w:val="32"/>
        </w:rPr>
        <w:t xml:space="preserve">10. Security &amp; Compliance Notes</w:t>
      </w:r>
    </w:p>
    <w:p>
      <w:pPr>
        <w:spacing w:before="80" w:after="120"/>
      </w:pPr>
      <w:r>
        <w:rPr>
          <w:rFonts w:ascii="Arial" w:cs="Arial" w:eastAsia="Arial" w:hAnsi="Arial"/>
          <w:sz w:val="22"/>
          <w:szCs w:val="22"/>
        </w:rPr>
        <w:t xml:space="preserve">All data sourced from public APIs under their respective terms of service. Polymarket and Kalshi data is used for analytical and research purposes only. No trading, order placement, or market manipulation of any kind is performed by any component of this system. The Resolution Divergence Archive records factual historical outcomes and does not attribute fault or legal liability to any platform. API responses do not constitute financial advice.</w:t>
      </w:r>
    </w:p>
    <w:p>
      <w:pPr>
        <w:spacing w:before="80" w:after="120"/>
      </w:pPr>
      <w:r>
        <w:rPr>
          <w:rFonts w:ascii="Arial" w:cs="Arial" w:eastAsia="Arial" w:hAnsi="Arial"/>
          <w:sz w:val="22"/>
          <w:szCs w:val="22"/>
        </w:rPr>
        <w:t xml:space="preserve">Personal data: none collected. The public API is read-only. No user accounts, no cookies, no tracking.</w:t>
      </w:r>
    </w:p>
    <w:p>
      <w:pPr>
        <w:spacing w:before="4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2026-02-27T03:25:42.948Z</dcterms:created>
  <dcterms:modified xsi:type="dcterms:W3CDTF">2026-02-27T03:25:42.949Z</dcterms:modified>
</cp:coreProperties>
</file>

<file path=docProps/custom.xml><?xml version="1.0" encoding="utf-8"?>
<Properties xmlns="http://schemas.openxmlformats.org/officeDocument/2006/custom-properties" xmlns:vt="http://schemas.openxmlformats.org/officeDocument/2006/docPropsVTypes"/>
</file>