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1AA6" w14:textId="77777777" w:rsidR="00120655" w:rsidRPr="00ED605A" w:rsidRDefault="00120655" w:rsidP="00120655">
      <w:pPr>
        <w:jc w:val="center"/>
      </w:pPr>
      <w:r w:rsidRPr="00ED605A">
        <w:t xml:space="preserve">Travail pratique </w:t>
      </w:r>
      <w:r>
        <w:t>2</w:t>
      </w:r>
    </w:p>
    <w:p w14:paraId="5F613150" w14:textId="5E84BA4C" w:rsidR="00120655" w:rsidRDefault="00120655" w:rsidP="00120655">
      <w:pPr>
        <w:jc w:val="center"/>
      </w:pPr>
      <w:r w:rsidRPr="00ED605A">
        <w:t>ACT-2009 - Proc</w:t>
      </w:r>
      <w:r w:rsidR="00D7550D">
        <w:t xml:space="preserve">essus Stochastiques – </w:t>
      </w:r>
      <w:r w:rsidR="00D028F1">
        <w:t>Automne 2020</w:t>
      </w:r>
    </w:p>
    <w:p w14:paraId="2EADB031" w14:textId="77777777" w:rsidR="00120655" w:rsidRPr="00ED605A" w:rsidRDefault="00120655" w:rsidP="00120655">
      <w:pPr>
        <w:jc w:val="center"/>
      </w:pPr>
    </w:p>
    <w:p w14:paraId="584D1161" w14:textId="2ACCC172" w:rsidR="00120655" w:rsidRDefault="00120655" w:rsidP="00120655">
      <w:pPr>
        <w:jc w:val="both"/>
      </w:pPr>
      <w:r w:rsidRPr="00751026">
        <w:t xml:space="preserve">Le présent travail pratique doit être remis </w:t>
      </w:r>
      <w:r w:rsidR="00A34D06">
        <w:t xml:space="preserve">dans la boite de dépôt </w:t>
      </w:r>
      <w:r w:rsidR="00B470DA">
        <w:t xml:space="preserve">attitrée </w:t>
      </w:r>
      <w:r w:rsidR="00A34D06">
        <w:t>sur le site de cours</w:t>
      </w:r>
      <w:r>
        <w:t xml:space="preserve"> avant le </w:t>
      </w:r>
      <w:r w:rsidR="00863AB3" w:rsidRPr="00863AB3">
        <w:rPr>
          <w:b/>
          <w:bCs/>
          <w:i/>
          <w:iCs/>
          <w:u w:val="single"/>
        </w:rPr>
        <w:t>20</w:t>
      </w:r>
      <w:r w:rsidR="00B470DA" w:rsidRPr="00863AB3">
        <w:rPr>
          <w:b/>
          <w:bCs/>
          <w:i/>
          <w:iCs/>
          <w:u w:val="single"/>
        </w:rPr>
        <w:t xml:space="preserve"> décembre</w:t>
      </w:r>
      <w:r w:rsidR="006311F1" w:rsidRPr="00863AB3">
        <w:rPr>
          <w:b/>
          <w:bCs/>
          <w:i/>
          <w:iCs/>
          <w:u w:val="single"/>
        </w:rPr>
        <w:t xml:space="preserve"> </w:t>
      </w:r>
      <w:r w:rsidR="00B470DA" w:rsidRPr="00863AB3">
        <w:rPr>
          <w:b/>
          <w:bCs/>
          <w:i/>
          <w:iCs/>
          <w:u w:val="single"/>
        </w:rPr>
        <w:t>2020</w:t>
      </w:r>
      <w:r w:rsidR="00D7550D" w:rsidRPr="00863AB3">
        <w:rPr>
          <w:b/>
          <w:bCs/>
          <w:i/>
          <w:iCs/>
          <w:u w:val="single"/>
        </w:rPr>
        <w:t xml:space="preserve"> à </w:t>
      </w:r>
      <w:r w:rsidR="00863AB3" w:rsidRPr="00863AB3">
        <w:rPr>
          <w:b/>
          <w:bCs/>
          <w:i/>
          <w:iCs/>
          <w:u w:val="single"/>
        </w:rPr>
        <w:t>23</w:t>
      </w:r>
      <w:r w:rsidRPr="00863AB3">
        <w:rPr>
          <w:b/>
          <w:bCs/>
          <w:i/>
          <w:iCs/>
          <w:u w:val="single"/>
        </w:rPr>
        <w:t>h</w:t>
      </w:r>
      <w:r w:rsidR="00863AB3" w:rsidRPr="00863AB3">
        <w:rPr>
          <w:b/>
          <w:bCs/>
          <w:i/>
          <w:iCs/>
          <w:u w:val="single"/>
        </w:rPr>
        <w:t>59</w:t>
      </w:r>
      <w:r>
        <w:t>. Un travail remis en retard se verra automatiquement accorder la note de 0. Le travail vaut pour 1</w:t>
      </w:r>
      <w:r w:rsidR="0049231A">
        <w:t>5</w:t>
      </w:r>
      <w:r>
        <w:t>% de la note finale. Un rapport complet doit être fait avec tableaux et/ou graphiques lorsque demandé dans l’énoncé du travail. Le code et/ou le programme utilisé doit être placé en annexe e</w:t>
      </w:r>
      <w:r w:rsidR="00FF35D3">
        <w:t>t en</w:t>
      </w:r>
      <w:r>
        <w:t xml:space="preserve"> pièce jointe </w:t>
      </w:r>
      <w:r w:rsidR="00FF35D3">
        <w:t>avec des indications claires pour pouvoir facilement identifier les sections de code</w:t>
      </w:r>
      <w:r w:rsidR="00216009">
        <w:t xml:space="preserve"> ou du programme qui ont servis à produire les résultats</w:t>
      </w:r>
      <w:r>
        <w:t>.</w:t>
      </w:r>
      <w:r w:rsidR="00216009">
        <w:t xml:space="preserve"> </w:t>
      </w:r>
      <w:r w:rsidR="00E04340">
        <w:t>Il est nécessaire de pouvoir facilement reproduire vos résultats avec ces indications.</w:t>
      </w:r>
      <w:r>
        <w:t xml:space="preserve"> Vous pouvez utiliser le langage de programmation de votre choix</w:t>
      </w:r>
      <w:r w:rsidR="008329C1">
        <w:t>, bien que R ou Excel/VBA soient recommandés</w:t>
      </w:r>
      <w:r>
        <w:t xml:space="preserve">. </w:t>
      </w:r>
    </w:p>
    <w:p w14:paraId="1FA09E51" w14:textId="5B64FE04" w:rsidR="00C666CD" w:rsidRPr="00C666CD" w:rsidRDefault="00C666CD" w:rsidP="00391B42">
      <w:pPr>
        <w:rPr>
          <w:bCs/>
        </w:rPr>
        <w:sectPr w:rsidR="00C666CD" w:rsidRPr="00C666CD" w:rsidSect="00770F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C666CD">
        <w:rPr>
          <w:bCs/>
        </w:rPr>
        <w:t>Le travail</w:t>
      </w:r>
      <w:r w:rsidR="00434334">
        <w:rPr>
          <w:bCs/>
        </w:rPr>
        <w:t xml:space="preserve"> comporte </w:t>
      </w:r>
      <w:r w:rsidR="004952DE">
        <w:rPr>
          <w:bCs/>
        </w:rPr>
        <w:t>deux</w:t>
      </w:r>
      <w:r w:rsidR="00434334">
        <w:rPr>
          <w:bCs/>
        </w:rPr>
        <w:t xml:space="preserve"> questions pour un total de </w:t>
      </w:r>
      <w:r w:rsidR="00A40155">
        <w:rPr>
          <w:bCs/>
        </w:rPr>
        <w:t>100</w:t>
      </w:r>
      <w:r w:rsidR="00434334">
        <w:rPr>
          <w:bCs/>
        </w:rPr>
        <w:t xml:space="preserve"> points</w:t>
      </w:r>
      <w:r w:rsidR="00D5630A">
        <w:rPr>
          <w:bCs/>
        </w:rPr>
        <w:t xml:space="preserve">. 5 points bonus sont réservés pour la qualité de la présentation et la qualité du français dans le rapport. </w:t>
      </w:r>
      <w:r w:rsidR="00FC3D30">
        <w:rPr>
          <w:bCs/>
        </w:rPr>
        <w:t xml:space="preserve">La note maximale est néanmoins de 100%. </w:t>
      </w:r>
    </w:p>
    <w:p w14:paraId="539012F8" w14:textId="3DE7D28E" w:rsidR="008E3782" w:rsidRDefault="004952DE" w:rsidP="00391B42">
      <w:pPr>
        <w:rPr>
          <w:b/>
          <w:u w:val="single"/>
        </w:rPr>
      </w:pPr>
      <w:r>
        <w:rPr>
          <w:b/>
          <w:u w:val="single"/>
        </w:rPr>
        <w:lastRenderedPageBreak/>
        <w:t>Premier</w:t>
      </w:r>
      <w:r w:rsidR="00391B42" w:rsidRPr="00391B42">
        <w:rPr>
          <w:b/>
          <w:u w:val="single"/>
        </w:rPr>
        <w:t xml:space="preserve"> cas</w:t>
      </w:r>
      <w:r w:rsidR="00391B42">
        <w:rPr>
          <w:b/>
          <w:u w:val="single"/>
        </w:rPr>
        <w:t> : modélisation d’un portefeuille</w:t>
      </w:r>
      <w:r w:rsidR="00BA23DC">
        <w:rPr>
          <w:b/>
          <w:u w:val="single"/>
        </w:rPr>
        <w:t xml:space="preserve"> (</w:t>
      </w:r>
      <w:r w:rsidR="00B90E2A">
        <w:rPr>
          <w:b/>
          <w:u w:val="single"/>
        </w:rPr>
        <w:t>5</w:t>
      </w:r>
      <w:r w:rsidR="00D5630A">
        <w:rPr>
          <w:b/>
          <w:u w:val="single"/>
        </w:rPr>
        <w:t>0</w:t>
      </w:r>
      <w:r w:rsidR="00D80937">
        <w:rPr>
          <w:b/>
          <w:u w:val="single"/>
        </w:rPr>
        <w:t xml:space="preserve"> points)</w:t>
      </w:r>
    </w:p>
    <w:p w14:paraId="593491C1" w14:textId="0270BC62" w:rsidR="00391B42" w:rsidRDefault="00391B42" w:rsidP="00A615F0">
      <w:pPr>
        <w:jc w:val="both"/>
      </w:pPr>
      <w:r>
        <w:t xml:space="preserve">Dans ce </w:t>
      </w:r>
      <w:r w:rsidR="008975C8">
        <w:t>premier</w:t>
      </w:r>
      <w:r>
        <w:t xml:space="preserve"> cas, on s’intéresse au processus de défaut pour un portefeuille de 100 </w:t>
      </w:r>
      <w:r w:rsidR="0027025B">
        <w:t>produits dérivés</w:t>
      </w:r>
      <w:r>
        <w:t xml:space="preserve">. On suppose que </w:t>
      </w:r>
      <w:r w:rsidR="00266779">
        <w:t>le nombre de</w:t>
      </w:r>
      <w:r>
        <w:t xml:space="preserve"> </w:t>
      </w:r>
      <w:r w:rsidR="00602082">
        <w:t>pertes</w:t>
      </w:r>
      <w:r>
        <w:t xml:space="preserve"> pour chaque contrat suit un processus de </w:t>
      </w:r>
      <w:r w:rsidR="006D7D84">
        <w:t>Poisson conditionnel (mixte)</w:t>
      </w:r>
      <w:r w:rsidR="00960D15">
        <w:t xml:space="preserve"> avec</w:t>
      </w:r>
      <w:r w:rsidR="002718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  <m:r>
          <w:rPr>
            <w:rFonts w:ascii="Cambria Math" w:eastAsiaTheme="minorEastAsia" w:hAnsi="Cambria Math"/>
          </w:rPr>
          <m:t>~Poisson(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71805">
        <w:rPr>
          <w:rFonts w:eastAsiaTheme="minorEastAsia"/>
        </w:rPr>
        <w:t xml:space="preserve"> et </w:t>
      </w:r>
      <w:r w:rsidR="00960D1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~F</m:t>
        </m:r>
      </m:oMath>
      <w:r w:rsidR="009D7870">
        <w:rPr>
          <w:rFonts w:eastAsiaTheme="minorEastAsia"/>
        </w:rPr>
        <w:t xml:space="preserve"> (</w:t>
      </w:r>
      <w:r w:rsidR="009D7870" w:rsidRPr="00ED399F">
        <w:rPr>
          <w:rFonts w:eastAsiaTheme="minorEastAsia"/>
          <w:b/>
          <w:bCs/>
          <w:i/>
          <w:iCs/>
        </w:rPr>
        <w:t>voir annexe</w:t>
      </w:r>
      <w:r w:rsidR="00EF2C65">
        <w:rPr>
          <w:rFonts w:eastAsiaTheme="minorEastAsia"/>
          <w:b/>
          <w:bCs/>
          <w:i/>
          <w:iCs/>
        </w:rPr>
        <w:t xml:space="preserve"> pour la loi </w:t>
      </w:r>
      <w:r w:rsidR="00FC0350">
        <w:rPr>
          <w:rFonts w:eastAsiaTheme="minorEastAsia"/>
          <w:b/>
          <w:bCs/>
          <w:i/>
          <w:iCs/>
        </w:rPr>
        <w:t xml:space="preserve">de la variable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9D7870">
        <w:rPr>
          <w:rFonts w:eastAsiaTheme="minorEastAsia"/>
        </w:rPr>
        <w:t>)</w:t>
      </w:r>
      <w:r>
        <w:t>.</w:t>
      </w:r>
      <w:r w:rsidR="00192D19">
        <w:t xml:space="preserve"> </w:t>
      </w:r>
      <w:r>
        <w:t>L</w:t>
      </w:r>
      <w:r w:rsidR="004D7CAD">
        <w:t>e montant de la</w:t>
      </w:r>
      <w:r>
        <w:t xml:space="preserve"> </w:t>
      </w:r>
      <w:r w:rsidR="00602082">
        <w:t>k</w:t>
      </w:r>
      <w:r w:rsidR="00602082">
        <w:rPr>
          <w:vertAlign w:val="superscript"/>
        </w:rPr>
        <w:t>ème</w:t>
      </w:r>
      <w:r w:rsidR="00602082">
        <w:t xml:space="preserve"> </w:t>
      </w:r>
      <w:r>
        <w:t xml:space="preserve">perte </w:t>
      </w:r>
      <w:r w:rsidR="00224500">
        <w:t>du i</w:t>
      </w:r>
      <w:r w:rsidR="00224500">
        <w:rPr>
          <w:vertAlign w:val="superscript"/>
        </w:rPr>
        <w:t>ème</w:t>
      </w:r>
      <w:r w:rsidR="00224500">
        <w:t xml:space="preserve"> contrat</w:t>
      </w:r>
      <w:r>
        <w:t xml:space="preserve"> est donnée par : </w:t>
      </w:r>
    </w:p>
    <w:p w14:paraId="50C874E6" w14:textId="1AAFAD2C" w:rsidR="00391B42" w:rsidRDefault="002E3FB3" w:rsidP="00A615F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</m:oMath>
      </m:oMathPara>
    </w:p>
    <w:p w14:paraId="353988F3" w14:textId="30149946" w:rsidR="0027025B" w:rsidRDefault="0027025B" w:rsidP="00A615F0">
      <w:pPr>
        <w:jc w:val="both"/>
        <w:rPr>
          <w:rFonts w:eastAsiaTheme="minorEastAsia"/>
        </w:rPr>
      </w:pPr>
      <w:r>
        <w:rPr>
          <w:rFonts w:eastAsiaTheme="minorEastAsia"/>
        </w:rPr>
        <w:t>Avec M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 w:rsidR="002C0A4C">
        <w:rPr>
          <w:rFonts w:eastAsiaTheme="minorEastAsia"/>
        </w:rPr>
        <w:t>un</w:t>
      </w:r>
      <w:r>
        <w:rPr>
          <w:rFonts w:eastAsiaTheme="minorEastAsia"/>
        </w:rPr>
        <w:t xml:space="preserve"> montant </w:t>
      </w:r>
      <w:r w:rsidR="00602082">
        <w:rPr>
          <w:rFonts w:eastAsiaTheme="minorEastAsia"/>
        </w:rPr>
        <w:t>associé au</w:t>
      </w:r>
      <w:r>
        <w:rPr>
          <w:rFonts w:eastAsiaTheme="minorEastAsia"/>
        </w:rPr>
        <w:t xml:space="preserve"> produit dérivé i et X</w:t>
      </w:r>
      <w:r>
        <w:rPr>
          <w:rFonts w:eastAsiaTheme="minorEastAsia"/>
          <w:vertAlign w:val="subscript"/>
        </w:rPr>
        <w:t>i</w:t>
      </w:r>
      <w:r w:rsidR="00224500">
        <w:rPr>
          <w:rFonts w:eastAsiaTheme="minorEastAsia"/>
          <w:vertAlign w:val="subscript"/>
        </w:rPr>
        <w:t>,k</w:t>
      </w:r>
      <w:r>
        <w:rPr>
          <w:rFonts w:eastAsiaTheme="minorEastAsia"/>
        </w:rPr>
        <w:t xml:space="preserve"> le pourcentage de la perte qu’on modélise avec une loi Beta(α</w:t>
      </w:r>
      <w:r w:rsidR="00F73AA4"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β</w:t>
      </w:r>
      <w:r w:rsidR="00F73AA4">
        <w:rPr>
          <w:rFonts w:eastAsiaTheme="minorEastAsia"/>
          <w:vertAlign w:val="subscript"/>
        </w:rPr>
        <w:t>i</w:t>
      </w:r>
      <w:r>
        <w:rPr>
          <w:rFonts w:eastAsiaTheme="minorEastAsia"/>
        </w:rPr>
        <w:t>). Les 100 produits dérivés sont indépendants et peuvent être classifié</w:t>
      </w:r>
      <w:r w:rsidR="00224500">
        <w:rPr>
          <w:rFonts w:eastAsiaTheme="minorEastAsia"/>
        </w:rPr>
        <w:t>s en trois catégories</w:t>
      </w:r>
      <w:r w:rsidR="00AB16D3">
        <w:rPr>
          <w:rFonts w:eastAsiaTheme="minorEastAsia"/>
        </w:rPr>
        <w:t xml:space="preserve"> i = 1, 2 et 3</w:t>
      </w:r>
      <w:r w:rsidR="00224500">
        <w:rPr>
          <w:rFonts w:eastAsiaTheme="minorEastAsia"/>
        </w:rPr>
        <w:t xml:space="preserve"> d</w:t>
      </w:r>
      <w:r>
        <w:rPr>
          <w:rFonts w:eastAsiaTheme="minorEastAsia"/>
        </w:rPr>
        <w:t>ont les caractéristiques sont les suivantes </w:t>
      </w:r>
      <w:r w:rsidR="00D35F1B">
        <w:rPr>
          <w:rFonts w:eastAsiaTheme="minorEastAsia"/>
        </w:rPr>
        <w:t>(</w:t>
      </w:r>
      <w:r w:rsidR="00D35F1B" w:rsidRPr="00D35F1B">
        <w:rPr>
          <w:rFonts w:eastAsiaTheme="minorEastAsia"/>
          <w:b/>
          <w:bCs/>
          <w:i/>
          <w:iCs/>
        </w:rPr>
        <w:t>voir annexe</w:t>
      </w:r>
      <w:r w:rsidR="00D35F1B">
        <w:rPr>
          <w:rFonts w:eastAsiaTheme="minorEastAsia"/>
        </w:rPr>
        <w:t xml:space="preserve">) </w:t>
      </w:r>
      <w:r>
        <w:rPr>
          <w:rFonts w:eastAsiaTheme="minorEastAsia"/>
        </w:rPr>
        <w:t xml:space="preserve">: </w:t>
      </w:r>
    </w:p>
    <w:tbl>
      <w:tblPr>
        <w:tblStyle w:val="TableauGrille2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59"/>
        <w:gridCol w:w="992"/>
        <w:gridCol w:w="992"/>
        <w:gridCol w:w="992"/>
        <w:gridCol w:w="993"/>
        <w:gridCol w:w="992"/>
      </w:tblGrid>
      <w:tr w:rsidR="00814956" w:rsidRPr="00956103" w14:paraId="5B1E48FB" w14:textId="77777777" w:rsidTr="006D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A23C69" w14:textId="2F00135E" w:rsidR="00814956" w:rsidRPr="00956103" w:rsidRDefault="00814956" w:rsidP="00D609D1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</w:t>
            </w:r>
            <w:proofErr w:type="gramEnd"/>
          </w:p>
        </w:tc>
        <w:tc>
          <w:tcPr>
            <w:tcW w:w="959" w:type="dxa"/>
          </w:tcPr>
          <w:p w14:paraId="2A9D5F6B" w14:textId="572BF6A7" w:rsidR="00814956" w:rsidRPr="00956103" w:rsidRDefault="00814956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proofErr w:type="gramStart"/>
            <w:r w:rsidRPr="00956103">
              <w:rPr>
                <w:sz w:val="20"/>
                <w:szCs w:val="20"/>
              </w:rPr>
              <w:t>n</w:t>
            </w:r>
            <w:r w:rsidRPr="00956103">
              <w:rPr>
                <w:sz w:val="20"/>
                <w:szCs w:val="20"/>
                <w:vertAlign w:val="subscript"/>
              </w:rPr>
              <w:t>i</w:t>
            </w:r>
            <w:proofErr w:type="gramEnd"/>
          </w:p>
        </w:tc>
        <w:tc>
          <w:tcPr>
            <w:tcW w:w="992" w:type="dxa"/>
          </w:tcPr>
          <w:p w14:paraId="72624E41" w14:textId="17A5BDA6" w:rsidR="00814956" w:rsidRPr="00956103" w:rsidRDefault="00814956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proofErr w:type="gramStart"/>
            <w:r w:rsidRPr="00956103">
              <w:rPr>
                <w:rFonts w:cstheme="minorHAnsi"/>
                <w:sz w:val="20"/>
                <w:szCs w:val="20"/>
              </w:rPr>
              <w:t>θ</w:t>
            </w:r>
            <w:proofErr w:type="gramEnd"/>
            <w:r w:rsidR="00E242A3">
              <w:rPr>
                <w:rFonts w:cstheme="minorHAnsi"/>
                <w:sz w:val="20"/>
                <w:szCs w:val="20"/>
                <w:vertAlign w:val="subscript"/>
              </w:rPr>
              <w:t>i</w:t>
            </w:r>
            <w:r w:rsidRPr="00956103">
              <w:rPr>
                <w:rFonts w:cstheme="minorHAnsi"/>
                <w:sz w:val="20"/>
                <w:szCs w:val="20"/>
              </w:rPr>
              <w:t>/a</w:t>
            </w:r>
            <w:r w:rsidR="00E242A3">
              <w:rPr>
                <w:rFonts w:cstheme="minorHAnsi"/>
                <w:sz w:val="20"/>
                <w:szCs w:val="20"/>
                <w:vertAlign w:val="subscript"/>
              </w:rPr>
              <w:t>i</w:t>
            </w:r>
            <w:r w:rsidRPr="00956103">
              <w:rPr>
                <w:rFonts w:cstheme="minorHAnsi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</w:tcPr>
          <w:p w14:paraId="40611145" w14:textId="65E072D2" w:rsidR="00814956" w:rsidRPr="00956103" w:rsidRDefault="00814956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τ</w:t>
            </w:r>
            <w:proofErr w:type="gramEnd"/>
            <w:r w:rsidR="00E242A3">
              <w:rPr>
                <w:rFonts w:cstheme="minorHAnsi"/>
                <w:sz w:val="20"/>
                <w:szCs w:val="20"/>
                <w:vertAlign w:val="subscript"/>
              </w:rPr>
              <w:t>i</w:t>
            </w:r>
            <w:r w:rsidRPr="00956103">
              <w:rPr>
                <w:sz w:val="20"/>
                <w:szCs w:val="20"/>
              </w:rPr>
              <w:t>/b</w:t>
            </w:r>
            <w:r w:rsidR="00E242A3">
              <w:rPr>
                <w:sz w:val="20"/>
                <w:szCs w:val="20"/>
                <w:vertAlign w:val="subscript"/>
              </w:rPr>
              <w:t>i</w:t>
            </w:r>
            <w:r w:rsidRPr="00956103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92" w:type="dxa"/>
          </w:tcPr>
          <w:p w14:paraId="66E04F11" w14:textId="04C8D33C" w:rsidR="00814956" w:rsidRPr="00E242A3" w:rsidRDefault="00814956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proofErr w:type="gramStart"/>
            <w:r w:rsidRPr="00956103">
              <w:rPr>
                <w:sz w:val="20"/>
                <w:szCs w:val="20"/>
              </w:rPr>
              <w:t>α</w:t>
            </w:r>
            <w:proofErr w:type="gramEnd"/>
            <w:r w:rsidR="00E242A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993" w:type="dxa"/>
          </w:tcPr>
          <w:p w14:paraId="4646388F" w14:textId="223909FC" w:rsidR="00814956" w:rsidRPr="00E242A3" w:rsidRDefault="00814956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proofErr w:type="gramStart"/>
            <w:r w:rsidRPr="00956103">
              <w:rPr>
                <w:sz w:val="20"/>
                <w:szCs w:val="20"/>
              </w:rPr>
              <w:t>β</w:t>
            </w:r>
            <w:proofErr w:type="gramEnd"/>
            <w:r w:rsidR="00E242A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0EF4A9AF" w14:textId="77777777" w:rsidR="00814956" w:rsidRPr="00956103" w:rsidRDefault="00814956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956103">
              <w:rPr>
                <w:sz w:val="20"/>
                <w:szCs w:val="20"/>
              </w:rPr>
              <w:t>M</w:t>
            </w:r>
            <w:r w:rsidRPr="00956103">
              <w:rPr>
                <w:sz w:val="20"/>
                <w:szCs w:val="20"/>
                <w:vertAlign w:val="subscript"/>
              </w:rPr>
              <w:t>i</w:t>
            </w:r>
          </w:p>
        </w:tc>
      </w:tr>
      <w:tr w:rsidR="00814956" w:rsidRPr="00956103" w14:paraId="2C63038F" w14:textId="77777777" w:rsidTr="006D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120922" w14:textId="3889FD01" w:rsidR="00814956" w:rsidRPr="00956103" w:rsidRDefault="00814956" w:rsidP="00D609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33E2BE0B" w14:textId="290A7AB4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CA18550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B841551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532BAAA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62FD782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46B8892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4956" w:rsidRPr="00956103" w14:paraId="065DF661" w14:textId="77777777" w:rsidTr="006D48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63F57E" w14:textId="20BBE229" w:rsidR="00814956" w:rsidRPr="00956103" w:rsidRDefault="00814956" w:rsidP="00D609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9" w:type="dxa"/>
          </w:tcPr>
          <w:p w14:paraId="6D8C5977" w14:textId="7C7591B6" w:rsidR="00814956" w:rsidRPr="00956103" w:rsidRDefault="00814956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C51263D" w14:textId="77777777" w:rsidR="00814956" w:rsidRPr="00956103" w:rsidRDefault="00814956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034BD51" w14:textId="77777777" w:rsidR="00814956" w:rsidRPr="00956103" w:rsidRDefault="00814956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24F8705" w14:textId="77777777" w:rsidR="00814956" w:rsidRPr="00956103" w:rsidRDefault="00814956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FFBA64E" w14:textId="77777777" w:rsidR="00814956" w:rsidRPr="00956103" w:rsidRDefault="00814956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427CFDD" w14:textId="77777777" w:rsidR="00814956" w:rsidRPr="00956103" w:rsidRDefault="00814956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4956" w:rsidRPr="00956103" w14:paraId="3597B940" w14:textId="77777777" w:rsidTr="006D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4C5859" w14:textId="62E00DB8" w:rsidR="00814956" w:rsidRPr="00956103" w:rsidRDefault="00814956" w:rsidP="00D609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59" w:type="dxa"/>
          </w:tcPr>
          <w:p w14:paraId="5DC19757" w14:textId="0B742216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6D7D5F8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138847B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03F200C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0BD637F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C9EDD2C" w14:textId="77777777" w:rsidR="00814956" w:rsidRPr="00956103" w:rsidRDefault="00814956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EADC0D0" w14:textId="18826D8D" w:rsidR="00D42007" w:rsidRPr="00B90E2A" w:rsidRDefault="00D42007" w:rsidP="00A615F0">
      <w:pPr>
        <w:jc w:val="both"/>
        <w:rPr>
          <w:i/>
          <w:iCs/>
          <w:sz w:val="20"/>
          <w:szCs w:val="20"/>
        </w:rPr>
      </w:pPr>
      <w:r w:rsidRPr="00B90E2A">
        <w:rPr>
          <w:i/>
          <w:iCs/>
          <w:sz w:val="20"/>
          <w:szCs w:val="20"/>
        </w:rPr>
        <w:t>*</w:t>
      </w:r>
      <w:r w:rsidRPr="00B90E2A">
        <w:rPr>
          <w:rFonts w:cstheme="minorHAnsi"/>
          <w:i/>
          <w:iCs/>
          <w:sz w:val="20"/>
          <w:szCs w:val="20"/>
        </w:rPr>
        <w:t xml:space="preserve"> </w:t>
      </w:r>
      <w:r w:rsidR="0086503A">
        <w:rPr>
          <w:rFonts w:cstheme="minorHAnsi"/>
          <w:i/>
          <w:iCs/>
          <w:sz w:val="20"/>
          <w:szCs w:val="20"/>
        </w:rPr>
        <w:t>L</w:t>
      </w:r>
      <w:r w:rsidRPr="00B90E2A">
        <w:rPr>
          <w:rFonts w:cstheme="minorHAnsi"/>
          <w:i/>
          <w:iCs/>
          <w:sz w:val="20"/>
          <w:szCs w:val="20"/>
        </w:rPr>
        <w:t xml:space="preserve">es colonnes </w:t>
      </w:r>
      <w:r w:rsidRPr="00B90E2A">
        <w:rPr>
          <w:rFonts w:cstheme="minorHAnsi"/>
          <w:sz w:val="20"/>
          <w:szCs w:val="20"/>
        </w:rPr>
        <w:t>« θ</w:t>
      </w:r>
      <w:r w:rsidR="0086503A">
        <w:rPr>
          <w:rFonts w:cstheme="minorHAnsi"/>
          <w:sz w:val="20"/>
          <w:szCs w:val="20"/>
          <w:vertAlign w:val="subscript"/>
        </w:rPr>
        <w:t>i</w:t>
      </w:r>
      <w:r w:rsidRPr="00B90E2A">
        <w:rPr>
          <w:rFonts w:cstheme="minorHAnsi"/>
          <w:sz w:val="20"/>
          <w:szCs w:val="20"/>
        </w:rPr>
        <w:t>/a</w:t>
      </w:r>
      <w:r w:rsidR="0086503A">
        <w:rPr>
          <w:rFonts w:cstheme="minorHAnsi"/>
          <w:sz w:val="20"/>
          <w:szCs w:val="20"/>
          <w:vertAlign w:val="subscript"/>
        </w:rPr>
        <w:t>i</w:t>
      </w:r>
      <w:r w:rsidRPr="00B90E2A">
        <w:rPr>
          <w:rFonts w:cstheme="minorHAnsi"/>
          <w:sz w:val="20"/>
          <w:szCs w:val="20"/>
        </w:rPr>
        <w:t> »</w:t>
      </w:r>
      <w:r w:rsidRPr="00B90E2A">
        <w:rPr>
          <w:rFonts w:cstheme="minorHAnsi"/>
          <w:i/>
          <w:iCs/>
          <w:sz w:val="20"/>
          <w:szCs w:val="20"/>
        </w:rPr>
        <w:t xml:space="preserve"> et </w:t>
      </w:r>
      <w:r w:rsidRPr="00B90E2A">
        <w:rPr>
          <w:rFonts w:cstheme="minorHAnsi"/>
          <w:sz w:val="20"/>
          <w:szCs w:val="20"/>
        </w:rPr>
        <w:t>« </w:t>
      </w:r>
      <w:r w:rsidR="00AB1056">
        <w:rPr>
          <w:rFonts w:cstheme="minorHAnsi"/>
          <w:sz w:val="20"/>
          <w:szCs w:val="20"/>
        </w:rPr>
        <w:t>τ</w:t>
      </w:r>
      <w:r w:rsidR="0086503A">
        <w:rPr>
          <w:rFonts w:cstheme="minorHAnsi"/>
          <w:sz w:val="20"/>
          <w:szCs w:val="20"/>
          <w:vertAlign w:val="subscript"/>
        </w:rPr>
        <w:t>i</w:t>
      </w:r>
      <w:r w:rsidRPr="00B90E2A">
        <w:rPr>
          <w:sz w:val="20"/>
          <w:szCs w:val="20"/>
        </w:rPr>
        <w:t>/b</w:t>
      </w:r>
      <w:r w:rsidR="0086503A">
        <w:rPr>
          <w:sz w:val="20"/>
          <w:szCs w:val="20"/>
          <w:vertAlign w:val="subscript"/>
        </w:rPr>
        <w:t>i</w:t>
      </w:r>
      <w:r w:rsidRPr="00B90E2A">
        <w:rPr>
          <w:sz w:val="20"/>
          <w:szCs w:val="20"/>
        </w:rPr>
        <w:t> »</w:t>
      </w:r>
      <w:r w:rsidR="004E5CDD" w:rsidRPr="00B90E2A">
        <w:rPr>
          <w:i/>
          <w:iCs/>
          <w:sz w:val="20"/>
          <w:szCs w:val="20"/>
        </w:rPr>
        <w:t xml:space="preserve"> représentent </w:t>
      </w:r>
      <w:r w:rsidR="0086503A">
        <w:rPr>
          <w:i/>
          <w:iCs/>
          <w:sz w:val="20"/>
          <w:szCs w:val="20"/>
        </w:rPr>
        <w:t>des</w:t>
      </w:r>
      <w:r w:rsidR="004E5CDD" w:rsidRPr="00B90E2A">
        <w:rPr>
          <w:i/>
          <w:iCs/>
          <w:sz w:val="20"/>
          <w:szCs w:val="20"/>
        </w:rPr>
        <w:t xml:space="preserve"> paramètre</w:t>
      </w:r>
      <w:r w:rsidR="0086503A">
        <w:rPr>
          <w:i/>
          <w:iCs/>
          <w:sz w:val="20"/>
          <w:szCs w:val="20"/>
        </w:rPr>
        <w:t>s</w:t>
      </w:r>
      <w:r w:rsidR="004E5CDD" w:rsidRPr="00B90E2A">
        <w:rPr>
          <w:i/>
          <w:iCs/>
          <w:sz w:val="20"/>
          <w:szCs w:val="20"/>
        </w:rPr>
        <w:t xml:space="preserve"> qui </w:t>
      </w:r>
      <w:r w:rsidR="0086503A">
        <w:rPr>
          <w:i/>
          <w:iCs/>
          <w:sz w:val="20"/>
          <w:szCs w:val="20"/>
        </w:rPr>
        <w:t>sont</w:t>
      </w:r>
      <w:r w:rsidR="004E5CDD" w:rsidRPr="00B90E2A">
        <w:rPr>
          <w:i/>
          <w:iCs/>
          <w:sz w:val="20"/>
          <w:szCs w:val="20"/>
        </w:rPr>
        <w:t xml:space="preserve"> différent</w:t>
      </w:r>
      <w:r w:rsidR="0086503A">
        <w:rPr>
          <w:i/>
          <w:iCs/>
          <w:sz w:val="20"/>
          <w:szCs w:val="20"/>
        </w:rPr>
        <w:t>s</w:t>
      </w:r>
      <w:r w:rsidR="004E5CDD" w:rsidRPr="00B90E2A">
        <w:rPr>
          <w:i/>
          <w:iCs/>
          <w:sz w:val="20"/>
          <w:szCs w:val="20"/>
        </w:rPr>
        <w:t xml:space="preserve"> d’une équipe à une autre. </w:t>
      </w:r>
    </w:p>
    <w:p w14:paraId="137259F3" w14:textId="4FD6CE1B" w:rsidR="009C3854" w:rsidRDefault="009C3854" w:rsidP="00A615F0">
      <w:pPr>
        <w:jc w:val="both"/>
      </w:pPr>
      <w:r>
        <w:t xml:space="preserve">La perte </w:t>
      </w:r>
      <w:r w:rsidR="00602082">
        <w:t xml:space="preserve">totale </w:t>
      </w:r>
      <w:r>
        <w:t xml:space="preserve">actualisée du </w:t>
      </w:r>
      <w:r w:rsidR="00224500">
        <w:t>i</w:t>
      </w:r>
      <w:r w:rsidR="00224500">
        <w:rPr>
          <w:vertAlign w:val="superscript"/>
        </w:rPr>
        <w:t>ème</w:t>
      </w:r>
      <w:r w:rsidR="00224500">
        <w:t xml:space="preserve"> </w:t>
      </w:r>
      <w:r>
        <w:t xml:space="preserve">contrat </w:t>
      </w:r>
      <w:r w:rsidR="004D2039">
        <w:t xml:space="preserve">pour un intervalle allant de 0 à t </w:t>
      </w:r>
      <w:r>
        <w:t xml:space="preserve">est donnée par : </w:t>
      </w:r>
    </w:p>
    <w:p w14:paraId="24F18D94" w14:textId="1DE9E712" w:rsidR="009C3854" w:rsidRDefault="002E3FB3" w:rsidP="00A615F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si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0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1D1397C" w14:textId="1C95FB9C" w:rsidR="009C3854" w:rsidRDefault="009C3854" w:rsidP="00A615F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Avec la force d’intérêt, ici de </w:t>
      </w:r>
      <w:r w:rsidR="00D35F1B">
        <w:rPr>
          <w:rFonts w:eastAsiaTheme="minorEastAsia" w:cstheme="minorHAnsi"/>
        </w:rPr>
        <w:t>δ</w:t>
      </w:r>
      <w:r>
        <w:rPr>
          <w:rFonts w:eastAsiaTheme="minorEastAsia"/>
        </w:rPr>
        <w:t>%</w:t>
      </w:r>
      <w:r w:rsidR="00D35F1B">
        <w:rPr>
          <w:rFonts w:eastAsiaTheme="minorEastAsia"/>
        </w:rPr>
        <w:t xml:space="preserve"> (</w:t>
      </w:r>
      <w:r w:rsidR="00D35F1B" w:rsidRPr="00D35F1B">
        <w:rPr>
          <w:rFonts w:eastAsiaTheme="minorEastAsia"/>
          <w:b/>
          <w:bCs/>
          <w:i/>
          <w:iCs/>
        </w:rPr>
        <w:t>voir annexe</w:t>
      </w:r>
      <w:r w:rsidR="00D35F1B">
        <w:rPr>
          <w:rFonts w:eastAsiaTheme="minorEastAsia"/>
        </w:rPr>
        <w:t>)</w:t>
      </w:r>
      <w:r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CD0D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le temps d’attente jusqu’à la survenance </w:t>
      </w:r>
      <w:r w:rsidR="00602082">
        <w:rPr>
          <w:rFonts w:eastAsiaTheme="minorEastAsia"/>
        </w:rPr>
        <w:t xml:space="preserve">de la </w:t>
      </w: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ème</w:t>
      </w:r>
      <w:r>
        <w:rPr>
          <w:rFonts w:eastAsiaTheme="minorEastAsia"/>
        </w:rPr>
        <w:t xml:space="preserve"> </w:t>
      </w:r>
      <w:r w:rsidR="00602082">
        <w:rPr>
          <w:rFonts w:eastAsiaTheme="minorEastAsia"/>
        </w:rPr>
        <w:t>perte</w:t>
      </w:r>
      <w:r>
        <w:rPr>
          <w:rFonts w:eastAsiaTheme="minorEastAsia"/>
        </w:rPr>
        <w:t xml:space="preserve"> au niveau du i</w:t>
      </w:r>
      <w:r>
        <w:rPr>
          <w:rFonts w:eastAsiaTheme="minorEastAsia"/>
          <w:vertAlign w:val="superscript"/>
        </w:rPr>
        <w:t>ème</w:t>
      </w:r>
      <w:r>
        <w:rPr>
          <w:rFonts w:eastAsiaTheme="minorEastAsia"/>
        </w:rPr>
        <w:t xml:space="preserve"> contrat. On définit le processus de la perte totale </w:t>
      </w:r>
      <w:r w:rsidR="004D2039">
        <w:rPr>
          <w:rFonts w:eastAsiaTheme="minorEastAsia"/>
        </w:rPr>
        <w:t xml:space="preserve">actualisée </w:t>
      </w:r>
      <w:r>
        <w:rPr>
          <w:rFonts w:eastAsiaTheme="minorEastAsia"/>
        </w:rPr>
        <w:t>du portefeuille comme suit</w:t>
      </w:r>
      <w:r w:rsidR="00583EBE">
        <w:rPr>
          <w:rFonts w:eastAsiaTheme="minorEastAsia"/>
        </w:rPr>
        <w:t xml:space="preserve"> à des fins de calcul de réserve</w:t>
      </w:r>
      <w:r>
        <w:rPr>
          <w:rFonts w:eastAsiaTheme="minorEastAsia"/>
        </w:rPr>
        <w:t xml:space="preserve"> : </w:t>
      </w:r>
    </w:p>
    <w:p w14:paraId="32973844" w14:textId="77777777" w:rsidR="009C3854" w:rsidRDefault="002E3FB3" w:rsidP="00A615F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20587E43" w14:textId="397F5316" w:rsidR="009C3854" w:rsidRDefault="009C3854" w:rsidP="003F7F90">
      <w:pPr>
        <w:pStyle w:val="Paragraphedeliste"/>
        <w:numPr>
          <w:ilvl w:val="0"/>
          <w:numId w:val="5"/>
        </w:numPr>
        <w:ind w:left="284"/>
        <w:jc w:val="both"/>
      </w:pPr>
      <w:r>
        <w:t>Évalue</w:t>
      </w:r>
      <w:r w:rsidR="00EE1BD8">
        <w:t>z</w:t>
      </w:r>
      <w:r>
        <w:t xml:space="preserve"> la moyenne </w:t>
      </w:r>
      <w:r w:rsidR="00692DF0">
        <w:t>théorique</w:t>
      </w:r>
      <w:r>
        <w:t xml:space="preserve"> de la perte </w:t>
      </w:r>
      <w:r w:rsidR="00AD5382">
        <w:t>totale actualisée</w:t>
      </w:r>
      <w:r w:rsidR="00A32B60">
        <w:t xml:space="preserve"> pour une période de longueur t</w:t>
      </w:r>
      <w:r w:rsidR="000D4A5A">
        <w:t xml:space="preserve"> en présumant une force d’intérêt nulle</w:t>
      </w:r>
      <w:r w:rsidR="00120655">
        <w:t xml:space="preserve"> (démarche complète exigée)</w:t>
      </w:r>
      <w:r>
        <w:t>.</w:t>
      </w:r>
      <w:r w:rsidR="00120655">
        <w:t xml:space="preserve"> </w:t>
      </w:r>
      <w:r>
        <w:t xml:space="preserve"> </w:t>
      </w:r>
      <w:r w:rsidR="00BA23DC" w:rsidRPr="00CD3B23">
        <w:rPr>
          <w:b/>
          <w:bCs/>
          <w:i/>
          <w:iCs/>
        </w:rPr>
        <w:t>(</w:t>
      </w:r>
      <w:r w:rsidR="00D5630A">
        <w:rPr>
          <w:b/>
          <w:bCs/>
          <w:i/>
          <w:iCs/>
        </w:rPr>
        <w:t>6</w:t>
      </w:r>
      <w:r w:rsidR="00BA23DC" w:rsidRPr="00CD3B23">
        <w:rPr>
          <w:b/>
          <w:bCs/>
          <w:i/>
          <w:iCs/>
        </w:rPr>
        <w:t xml:space="preserve"> points)</w:t>
      </w:r>
    </w:p>
    <w:p w14:paraId="0B3ED084" w14:textId="106C2B47" w:rsidR="00C54D90" w:rsidRDefault="00F00BE4" w:rsidP="003F7F90">
      <w:pPr>
        <w:pStyle w:val="Paragraphedeliste"/>
        <w:numPr>
          <w:ilvl w:val="0"/>
          <w:numId w:val="5"/>
        </w:numPr>
        <w:ind w:left="284"/>
        <w:jc w:val="both"/>
      </w:pPr>
      <w:r>
        <w:t xml:space="preserve">En simulant </w:t>
      </w:r>
      <w:r w:rsidR="00D221DF">
        <w:t>1</w:t>
      </w:r>
      <w:r>
        <w:t> 000 scénarios</w:t>
      </w:r>
      <w:r w:rsidR="009C3854">
        <w:t>, évalue</w:t>
      </w:r>
      <w:r w:rsidR="00EE1BD8">
        <w:t>z</w:t>
      </w:r>
      <w:r w:rsidR="009C3854">
        <w:t xml:space="preserve"> la distributio</w:t>
      </w:r>
      <w:r w:rsidR="00EE1BD8">
        <w:t>n de la perte totale</w:t>
      </w:r>
      <w:r w:rsidR="00602082">
        <w:t xml:space="preserve"> actualisée</w:t>
      </w:r>
      <w:r w:rsidR="00EE1BD8">
        <w:t xml:space="preserve"> sur les 10 prochain</w:t>
      </w:r>
      <w:r w:rsidR="00A32B60">
        <w:t>e</w:t>
      </w:r>
      <w:r w:rsidR="00EE1BD8">
        <w:t xml:space="preserve">s années (illustrez graphiquement). </w:t>
      </w:r>
      <w:r w:rsidR="00084FF7">
        <w:t xml:space="preserve">Avec </w:t>
      </w:r>
      <w:r>
        <w:t>cette</w:t>
      </w:r>
      <w:r w:rsidR="00084FF7">
        <w:t xml:space="preserve"> simulation, approximez</w:t>
      </w:r>
      <w:r w:rsidR="00EE1BD8">
        <w:t xml:space="preserve"> la moyenne </w:t>
      </w:r>
      <w:r w:rsidR="00602082">
        <w:t>et</w:t>
      </w:r>
      <w:r w:rsidR="00EE1BD8">
        <w:t xml:space="preserve"> la variance de la perte totale. Donnez une </w:t>
      </w:r>
      <w:r w:rsidR="006C68DE">
        <w:t>approximation</w:t>
      </w:r>
      <w:r w:rsidR="00EE1BD8">
        <w:t xml:space="preserve"> de la VaR</w:t>
      </w:r>
      <w:r w:rsidR="00236FF3">
        <w:t>(1-</w:t>
      </w:r>
      <w:r w:rsidR="00236FF3" w:rsidRPr="005E2E56">
        <w:rPr>
          <w:rFonts w:cstheme="minorHAnsi"/>
        </w:rPr>
        <w:t>α</w:t>
      </w:r>
      <w:r w:rsidR="00236FF3">
        <w:t>)</w:t>
      </w:r>
      <w:r w:rsidR="00EE1BD8">
        <w:t xml:space="preserve"> et de la TVaR</w:t>
      </w:r>
      <w:r w:rsidR="00236FF3">
        <w:t>(1-</w:t>
      </w:r>
      <w:r w:rsidR="00236FF3" w:rsidRPr="005E2E56">
        <w:rPr>
          <w:rFonts w:cstheme="minorHAnsi"/>
        </w:rPr>
        <w:t>α</w:t>
      </w:r>
      <w:r w:rsidR="00236FF3">
        <w:t>)</w:t>
      </w:r>
      <w:r w:rsidR="00EE1BD8">
        <w:t xml:space="preserve"> de la perte totale au</w:t>
      </w:r>
      <w:r w:rsidR="001427B0">
        <w:t>x</w:t>
      </w:r>
      <w:r w:rsidR="00EE1BD8">
        <w:t xml:space="preserve"> seuil</w:t>
      </w:r>
      <w:r w:rsidR="001427B0">
        <w:t>s</w:t>
      </w:r>
      <w:r w:rsidR="00EE1BD8">
        <w:t xml:space="preserve"> </w:t>
      </w:r>
      <w:r w:rsidR="00236FF3" w:rsidRPr="005E2E56">
        <w:rPr>
          <w:rFonts w:cstheme="minorHAnsi"/>
        </w:rPr>
        <w:t>α</w:t>
      </w:r>
      <w:r w:rsidR="00A01B3B" w:rsidRPr="005E2E56">
        <w:rPr>
          <w:rFonts w:cstheme="minorHAnsi"/>
        </w:rPr>
        <w:t xml:space="preserve"> </w:t>
      </w:r>
      <w:r w:rsidR="00236FF3" w:rsidRPr="005E2E56">
        <w:rPr>
          <w:rFonts w:cstheme="minorHAnsi"/>
        </w:rPr>
        <w:t>=</w:t>
      </w:r>
      <w:r w:rsidR="00A01B3B" w:rsidRPr="005E2E56">
        <w:rPr>
          <w:rFonts w:cstheme="minorHAnsi"/>
        </w:rPr>
        <w:t xml:space="preserve"> </w:t>
      </w:r>
      <w:r w:rsidR="00EE1BD8">
        <w:t>10%, 5% et 1%</w:t>
      </w:r>
      <w:r w:rsidR="006C68DE">
        <w:t xml:space="preserve"> en fonction de vo</w:t>
      </w:r>
      <w:r>
        <w:t>tre simulation</w:t>
      </w:r>
      <w:r w:rsidR="00EE1BD8">
        <w:t xml:space="preserve">. </w:t>
      </w:r>
      <w:r w:rsidR="00BA23DC" w:rsidRPr="005E2E56">
        <w:rPr>
          <w:b/>
          <w:bCs/>
          <w:i/>
          <w:iCs/>
        </w:rPr>
        <w:t>(</w:t>
      </w:r>
      <w:r w:rsidR="00D5630A">
        <w:rPr>
          <w:b/>
          <w:bCs/>
          <w:i/>
          <w:iCs/>
        </w:rPr>
        <w:t>22</w:t>
      </w:r>
      <w:r w:rsidR="00CD3B23" w:rsidRPr="005E2E56">
        <w:rPr>
          <w:b/>
          <w:bCs/>
          <w:i/>
          <w:iCs/>
        </w:rPr>
        <w:t xml:space="preserve"> </w:t>
      </w:r>
      <w:r w:rsidR="00BA23DC" w:rsidRPr="005E2E56">
        <w:rPr>
          <w:b/>
          <w:bCs/>
          <w:i/>
          <w:iCs/>
        </w:rPr>
        <w:t>points)</w:t>
      </w:r>
    </w:p>
    <w:p w14:paraId="5B8CCF71" w14:textId="72A1A2CC" w:rsidR="00B24C21" w:rsidRPr="00664EA3" w:rsidRDefault="00B24C21" w:rsidP="003F7F90">
      <w:pPr>
        <w:pStyle w:val="Paragraphedeliste"/>
        <w:numPr>
          <w:ilvl w:val="0"/>
          <w:numId w:val="5"/>
        </w:numPr>
        <w:ind w:left="284"/>
        <w:jc w:val="both"/>
      </w:pPr>
      <w:r>
        <w:t xml:space="preserve">Refaites </w:t>
      </w:r>
      <w:r w:rsidR="008C3D58">
        <w:t>le</w:t>
      </w:r>
      <w:r w:rsidR="00F00BE4">
        <w:t xml:space="preserve"> b)</w:t>
      </w:r>
      <w:r>
        <w:t xml:space="preserve"> en présumant dorénavant </w:t>
      </w:r>
      <w:r>
        <w:rPr>
          <w:rFonts w:eastAsiaTheme="minorEastAsia"/>
        </w:rPr>
        <w:t>un processus de renouvellement</w:t>
      </w:r>
      <w:r w:rsidR="00CD0DBD">
        <w:rPr>
          <w:rFonts w:eastAsiaTheme="minorEastAsia"/>
        </w:rPr>
        <w:t xml:space="preserve"> avec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~Gamma(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)</m:t>
        </m:r>
      </m:oMath>
      <w:r w:rsidR="00CD0DBD">
        <w:rPr>
          <w:rFonts w:eastAsiaTheme="minorEastAsia"/>
        </w:rPr>
        <w:t xml:space="preserve"> avec les nouveaux paramètres suivants</w:t>
      </w:r>
      <w:r w:rsidR="000336B5">
        <w:rPr>
          <w:rFonts w:eastAsiaTheme="minorEastAsia"/>
        </w:rPr>
        <w:t xml:space="preserve"> (</w:t>
      </w:r>
      <w:r w:rsidR="000336B5" w:rsidRPr="000336B5">
        <w:rPr>
          <w:rFonts w:eastAsiaTheme="minorEastAsia"/>
          <w:b/>
          <w:bCs/>
          <w:i/>
          <w:iCs/>
        </w:rPr>
        <w:t>voir annexe</w:t>
      </w:r>
      <w:r w:rsidR="000336B5">
        <w:rPr>
          <w:rFonts w:eastAsiaTheme="minorEastAsia"/>
        </w:rPr>
        <w:t>)</w:t>
      </w:r>
      <w:r w:rsidR="008E0F7D">
        <w:rPr>
          <w:rFonts w:eastAsiaTheme="minorEastAsia"/>
        </w:rPr>
        <w:t> </w:t>
      </w:r>
      <w:r w:rsidR="00CD0DBD">
        <w:rPr>
          <w:rFonts w:eastAsiaTheme="minorEastAsia"/>
        </w:rPr>
        <w:t xml:space="preserve">: </w:t>
      </w:r>
      <w:r w:rsidR="008E0F7D" w:rsidRPr="00CD3B23">
        <w:rPr>
          <w:rFonts w:eastAsiaTheme="minorEastAsia"/>
          <w:b/>
          <w:bCs/>
          <w:i/>
          <w:iCs/>
        </w:rPr>
        <w:t>(</w:t>
      </w:r>
      <w:r w:rsidR="00D5630A">
        <w:rPr>
          <w:rFonts w:eastAsiaTheme="minorEastAsia"/>
          <w:b/>
          <w:bCs/>
          <w:i/>
          <w:iCs/>
        </w:rPr>
        <w:t>22</w:t>
      </w:r>
      <w:r w:rsidR="008E0F7D" w:rsidRPr="00CD3B23">
        <w:rPr>
          <w:rFonts w:eastAsiaTheme="minorEastAsia"/>
          <w:b/>
          <w:bCs/>
          <w:i/>
          <w:iCs/>
        </w:rPr>
        <w:t xml:space="preserve"> poi</w:t>
      </w:r>
      <w:r w:rsidR="00632EC9" w:rsidRPr="00CD3B23">
        <w:rPr>
          <w:rFonts w:eastAsiaTheme="minorEastAsia"/>
          <w:b/>
          <w:bCs/>
          <w:i/>
          <w:iCs/>
        </w:rPr>
        <w:t>nts)</w:t>
      </w:r>
    </w:p>
    <w:tbl>
      <w:tblPr>
        <w:tblStyle w:val="TableauGrille2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2"/>
        <w:gridCol w:w="993"/>
        <w:gridCol w:w="992"/>
      </w:tblGrid>
      <w:tr w:rsidR="00CD0DBD" w:rsidRPr="009C3854" w14:paraId="6CE5B780" w14:textId="77777777" w:rsidTr="00D4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2E1057" w14:textId="77777777" w:rsidR="00CD0DBD" w:rsidRPr="009C3854" w:rsidRDefault="00CD0DBD" w:rsidP="00D609D1">
            <w:pPr>
              <w:jc w:val="both"/>
              <w:rPr>
                <w:vertAlign w:val="subscript"/>
              </w:rPr>
            </w:pPr>
            <w:proofErr w:type="gramStart"/>
            <w:r>
              <w:t>n</w:t>
            </w:r>
            <w:r>
              <w:rPr>
                <w:vertAlign w:val="subscript"/>
              </w:rPr>
              <w:t>i</w:t>
            </w:r>
            <w:proofErr w:type="gramEnd"/>
          </w:p>
        </w:tc>
        <w:tc>
          <w:tcPr>
            <w:tcW w:w="992" w:type="dxa"/>
          </w:tcPr>
          <w:p w14:paraId="3212A132" w14:textId="073AC2A4" w:rsidR="00CD0DBD" w:rsidRPr="00E242A3" w:rsidRDefault="00AC34BD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>
              <w:rPr>
                <w:rFonts w:cstheme="minorHAnsi"/>
              </w:rPr>
              <w:t>θ</w:t>
            </w:r>
            <w:proofErr w:type="gramEnd"/>
            <w:r w:rsidR="00E242A3">
              <w:rPr>
                <w:rFonts w:cstheme="minorHAnsi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50359792" w14:textId="15259F3C" w:rsidR="00CD0DBD" w:rsidRPr="00E242A3" w:rsidRDefault="00CD0DBD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>
              <w:t>λ</w:t>
            </w:r>
            <w:proofErr w:type="gramEnd"/>
            <w:r w:rsidR="00E242A3">
              <w:rPr>
                <w:vertAlign w:val="subscript"/>
              </w:rPr>
              <w:t>i</w:t>
            </w:r>
          </w:p>
        </w:tc>
        <w:tc>
          <w:tcPr>
            <w:tcW w:w="992" w:type="dxa"/>
          </w:tcPr>
          <w:p w14:paraId="33049E32" w14:textId="5790C9C3" w:rsidR="00CD0DBD" w:rsidRPr="00E242A3" w:rsidRDefault="00CD0DBD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>
              <w:t>α</w:t>
            </w:r>
            <w:proofErr w:type="gramEnd"/>
            <w:r w:rsidR="00E242A3">
              <w:rPr>
                <w:vertAlign w:val="subscript"/>
              </w:rPr>
              <w:t>i</w:t>
            </w:r>
          </w:p>
        </w:tc>
        <w:tc>
          <w:tcPr>
            <w:tcW w:w="993" w:type="dxa"/>
          </w:tcPr>
          <w:p w14:paraId="5335BC0E" w14:textId="6689EBC1" w:rsidR="00CD0DBD" w:rsidRPr="00E242A3" w:rsidRDefault="00CD0DBD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>
              <w:t>β</w:t>
            </w:r>
            <w:proofErr w:type="gramEnd"/>
            <w:r w:rsidR="00E242A3">
              <w:rPr>
                <w:vertAlign w:val="subscript"/>
              </w:rPr>
              <w:t>i</w:t>
            </w:r>
          </w:p>
        </w:tc>
        <w:tc>
          <w:tcPr>
            <w:tcW w:w="992" w:type="dxa"/>
          </w:tcPr>
          <w:p w14:paraId="4F7C4166" w14:textId="77777777" w:rsidR="00CD0DBD" w:rsidRPr="009C3854" w:rsidRDefault="00CD0DBD" w:rsidP="00D6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i</w:t>
            </w:r>
          </w:p>
        </w:tc>
      </w:tr>
      <w:tr w:rsidR="00CD0DBD" w14:paraId="5C53730C" w14:textId="77777777" w:rsidTr="00D42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BD9459" w14:textId="0BFD9327" w:rsidR="00CD0DBD" w:rsidRDefault="00CD0DBD" w:rsidP="00D609D1">
            <w:pPr>
              <w:jc w:val="both"/>
            </w:pPr>
          </w:p>
        </w:tc>
        <w:tc>
          <w:tcPr>
            <w:tcW w:w="992" w:type="dxa"/>
          </w:tcPr>
          <w:p w14:paraId="479C44D7" w14:textId="5C177C04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AF0F512" w14:textId="5B6C12BB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8F68C1A" w14:textId="113C8FFA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569B61C" w14:textId="00888AAC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37C22E4" w14:textId="0C003F49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0DBD" w14:paraId="25C560F6" w14:textId="77777777" w:rsidTr="00D42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71749F" w14:textId="0BBC9944" w:rsidR="00CD0DBD" w:rsidRDefault="00CD0DBD" w:rsidP="00D609D1">
            <w:pPr>
              <w:jc w:val="both"/>
            </w:pPr>
          </w:p>
        </w:tc>
        <w:tc>
          <w:tcPr>
            <w:tcW w:w="992" w:type="dxa"/>
          </w:tcPr>
          <w:p w14:paraId="6625D6C8" w14:textId="225E0398" w:rsidR="00CD0DBD" w:rsidRDefault="00CD0DBD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393A266" w14:textId="5BDF58C9" w:rsidR="00CD0DBD" w:rsidRDefault="00CD0DBD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1C9E417" w14:textId="766355CC" w:rsidR="00CD0DBD" w:rsidRDefault="00CD0DBD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94039AB" w14:textId="7DB07AC8" w:rsidR="00CD0DBD" w:rsidRDefault="00CD0DBD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FF143DE" w14:textId="1A02EFA6" w:rsidR="00CD0DBD" w:rsidRDefault="00CD0DBD" w:rsidP="00D6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DBD" w14:paraId="354C72AC" w14:textId="77777777" w:rsidTr="00D42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257185" w14:textId="0E8E1C1F" w:rsidR="00CD0DBD" w:rsidRDefault="00CD0DBD" w:rsidP="00D609D1">
            <w:pPr>
              <w:jc w:val="both"/>
            </w:pPr>
          </w:p>
        </w:tc>
        <w:tc>
          <w:tcPr>
            <w:tcW w:w="992" w:type="dxa"/>
          </w:tcPr>
          <w:p w14:paraId="1F7E848E" w14:textId="7F44D436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780BEFA" w14:textId="709AD75C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12B577D" w14:textId="1D80C88F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6C801A4" w14:textId="74092296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1F3E95C" w14:textId="5D507E46" w:rsidR="00CD0DBD" w:rsidRDefault="00CD0DBD" w:rsidP="00D609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0573B4" w14:textId="720C7FCD" w:rsidR="00C54D90" w:rsidRDefault="008C5801" w:rsidP="00C54D90">
      <w:pPr>
        <w:rPr>
          <w:b/>
          <w:u w:val="single"/>
        </w:rPr>
      </w:pPr>
      <w:r>
        <w:rPr>
          <w:b/>
          <w:u w:val="single"/>
        </w:rPr>
        <w:lastRenderedPageBreak/>
        <w:t>Deuxième</w:t>
      </w:r>
      <w:r w:rsidR="00C54D90">
        <w:rPr>
          <w:b/>
          <w:u w:val="single"/>
        </w:rPr>
        <w:t xml:space="preserve"> cas : </w:t>
      </w:r>
      <w:r w:rsidR="00A615F0">
        <w:rPr>
          <w:b/>
          <w:u w:val="single"/>
        </w:rPr>
        <w:t>calcul d’options</w:t>
      </w:r>
      <w:r w:rsidR="002F58A7">
        <w:rPr>
          <w:b/>
          <w:u w:val="single"/>
        </w:rPr>
        <w:t xml:space="preserve"> et temps d’attente</w:t>
      </w:r>
      <w:r w:rsidR="00BA23DC">
        <w:rPr>
          <w:b/>
          <w:u w:val="single"/>
        </w:rPr>
        <w:t xml:space="preserve"> (</w:t>
      </w:r>
      <w:r w:rsidR="00A01B3B">
        <w:rPr>
          <w:b/>
          <w:u w:val="single"/>
        </w:rPr>
        <w:t>50</w:t>
      </w:r>
      <w:r w:rsidR="00BA23DC">
        <w:rPr>
          <w:b/>
          <w:u w:val="single"/>
        </w:rPr>
        <w:t xml:space="preserve"> points)</w:t>
      </w:r>
    </w:p>
    <w:p w14:paraId="3DBDAF4C" w14:textId="6C93F338" w:rsidR="004D77B6" w:rsidRDefault="00E94B27" w:rsidP="004324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vous demande d’établir la valeur </w:t>
      </w:r>
      <w:r w:rsidR="00227B8B">
        <w:rPr>
          <w:rFonts w:eastAsiaTheme="minorEastAsia"/>
        </w:rPr>
        <w:t xml:space="preserve">d’une </w:t>
      </w:r>
      <w:r w:rsidR="00227B8B" w:rsidRPr="00A410E2">
        <w:rPr>
          <w:rFonts w:eastAsiaTheme="minorEastAsia"/>
          <w:u w:val="single"/>
        </w:rPr>
        <w:t>option d’achat</w:t>
      </w:r>
      <w:r w:rsidR="00E41D22" w:rsidRPr="00A410E2">
        <w:rPr>
          <w:rFonts w:eastAsiaTheme="minorEastAsia"/>
          <w:u w:val="single"/>
        </w:rPr>
        <w:t xml:space="preserve"> européenne</w:t>
      </w:r>
      <w:r w:rsidR="00B3523B">
        <w:rPr>
          <w:rFonts w:eastAsiaTheme="minorEastAsia"/>
        </w:rPr>
        <w:t xml:space="preserve"> sur une action de valeur initiale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=100$</m:t>
        </m:r>
      </m:oMath>
      <w:r w:rsidR="00B3523B">
        <w:rPr>
          <w:rFonts w:eastAsiaTheme="minorEastAsia"/>
        </w:rPr>
        <w:t xml:space="preserve"> et</w:t>
      </w:r>
      <w:r w:rsidR="00432436">
        <w:rPr>
          <w:rFonts w:eastAsiaTheme="minorEastAsia"/>
        </w:rPr>
        <w:t xml:space="preserve"> dont l’évolution de la valeur suit un mouvement brownien géométrique</w:t>
      </w:r>
      <w:r w:rsidR="00EB4A20">
        <w:rPr>
          <w:rFonts w:eastAsiaTheme="minorEastAsia"/>
        </w:rPr>
        <w:t xml:space="preserve"> tel que</w:t>
      </w:r>
      <w:r w:rsidR="000336B5">
        <w:rPr>
          <w:rFonts w:eastAsiaTheme="minorEastAsia"/>
        </w:rPr>
        <w:t xml:space="preserve"> (</w:t>
      </w:r>
      <w:r w:rsidR="000336B5" w:rsidRPr="000336B5">
        <w:rPr>
          <w:rFonts w:eastAsiaTheme="minorEastAsia"/>
          <w:b/>
          <w:bCs/>
          <w:i/>
          <w:iCs/>
        </w:rPr>
        <w:t>voir annexe</w:t>
      </w:r>
      <w:r w:rsidR="000336B5">
        <w:rPr>
          <w:rFonts w:eastAsiaTheme="minorEastAsia"/>
        </w:rPr>
        <w:t>)</w:t>
      </w:r>
      <w:r w:rsidR="00EB4A20">
        <w:rPr>
          <w:rFonts w:eastAsiaTheme="minorEastAsia"/>
        </w:rPr>
        <w:t xml:space="preserve"> : </w:t>
      </w:r>
    </w:p>
    <w:p w14:paraId="643943A9" w14:textId="35DEF511" w:rsidR="00C552CC" w:rsidRPr="00E67A9A" w:rsidRDefault="002E3FB3" w:rsidP="00C552C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μt+σZ(t)</m:t>
              </m:r>
            </m:sup>
          </m:sSup>
        </m:oMath>
      </m:oMathPara>
    </w:p>
    <w:p w14:paraId="02E69D9D" w14:textId="25AF1A82" w:rsidR="00C552CC" w:rsidRDefault="00C552CC" w:rsidP="00432436">
      <w:pPr>
        <w:jc w:val="both"/>
        <w:rPr>
          <w:rFonts w:eastAsiaTheme="minorEastAsia"/>
        </w:rPr>
      </w:pPr>
      <w:r>
        <w:rPr>
          <w:rFonts w:eastAsiaTheme="minorEastAsia"/>
        </w:rPr>
        <w:t>Ou encore, pour des</w:t>
      </w:r>
      <w:r w:rsidR="00E24BB2">
        <w:rPr>
          <w:rFonts w:eastAsiaTheme="minorEastAsia"/>
        </w:rPr>
        <w:t xml:space="preserve"> sauts d’une période de temps d’une année : </w:t>
      </w:r>
    </w:p>
    <w:p w14:paraId="1F2ECEEB" w14:textId="417266FD" w:rsidR="00EB4A20" w:rsidRPr="00E67A9A" w:rsidRDefault="002E3FB3" w:rsidP="004324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μ+σ 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(Z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lim>
              </m:limUpp>
            </m:sup>
          </m:sSup>
        </m:oMath>
      </m:oMathPara>
    </w:p>
    <w:p w14:paraId="77073A36" w14:textId="4B99AFC5" w:rsidR="00A537AE" w:rsidRDefault="004230A9" w:rsidP="00432436">
      <w:pPr>
        <w:jc w:val="both"/>
      </w:pPr>
      <w:r>
        <w:t>Avec Z(t) qu</w:t>
      </w:r>
      <w:r w:rsidR="00A537AE">
        <w:t xml:space="preserve">i suit un mouvement brownien standard. </w:t>
      </w:r>
    </w:p>
    <w:p w14:paraId="2A3CB7DE" w14:textId="7402CCF8" w:rsidR="00292957" w:rsidRDefault="007A7745" w:rsidP="00432436">
      <w:pPr>
        <w:jc w:val="both"/>
        <w:rPr>
          <w:rFonts w:eastAsiaTheme="minorEastAsia"/>
        </w:rPr>
      </w:pPr>
      <w:r w:rsidRPr="007A7745">
        <w:rPr>
          <w:u w:val="single"/>
        </w:rPr>
        <w:t>Au sujet de l’option d’achat européenne</w:t>
      </w:r>
      <w:r>
        <w:t> : u</w:t>
      </w:r>
      <w:r w:rsidR="00EF6898">
        <w:t>ne option d’achat</w:t>
      </w:r>
      <w:r w:rsidR="00A6507B">
        <w:t xml:space="preserve"> européenne</w:t>
      </w:r>
      <w:r w:rsidR="00EF6898">
        <w:t xml:space="preserve"> (aussi appelée </w:t>
      </w:r>
      <w:r w:rsidR="00A6507B" w:rsidRPr="00A6507B">
        <w:rPr>
          <w:i/>
          <w:iCs/>
        </w:rPr>
        <w:t>European</w:t>
      </w:r>
      <w:r w:rsidR="00A6507B">
        <w:t xml:space="preserve"> </w:t>
      </w:r>
      <w:r w:rsidR="00EF6898" w:rsidRPr="00EF6898">
        <w:rPr>
          <w:i/>
          <w:iCs/>
        </w:rPr>
        <w:t>Call option</w:t>
      </w:r>
      <w:r w:rsidR="00EF6898">
        <w:t xml:space="preserve">) est un contrat qui permet </w:t>
      </w:r>
      <w:r w:rsidR="009F31B8">
        <w:t>au détenteur</w:t>
      </w:r>
      <w:r w:rsidR="00EF6898">
        <w:t xml:space="preserve"> de l’option d’acheter </w:t>
      </w:r>
      <w:r w:rsidR="009F31B8">
        <w:t>l</w:t>
      </w:r>
      <w:r w:rsidR="00382281">
        <w:t xml:space="preserve">e titre </w:t>
      </w:r>
      <w:r w:rsidR="00E41D22">
        <w:t>concerné</w:t>
      </w:r>
      <w:r w:rsidR="00382281">
        <w:t xml:space="preserve"> </w:t>
      </w:r>
      <w:r w:rsidR="00664703">
        <w:t xml:space="preserve">par le contrat </w:t>
      </w:r>
      <w:r w:rsidR="00382281">
        <w:t>(</w:t>
      </w:r>
      <w:r w:rsidR="00664703">
        <w:t xml:space="preserve">qu’on appelle le </w:t>
      </w:r>
      <w:r w:rsidR="00664703" w:rsidRPr="00840B87">
        <w:rPr>
          <w:b/>
          <w:bCs/>
          <w:i/>
          <w:iCs/>
        </w:rPr>
        <w:t>sous-jacent</w:t>
      </w:r>
      <w:r w:rsidR="00664703">
        <w:t xml:space="preserve">, dans le cas présent une action) </w:t>
      </w:r>
      <w:r w:rsidR="00EF6898">
        <w:t xml:space="preserve">à un prix fixé d’avance (prix d’exercice = </w:t>
      </w:r>
      <w:r w:rsidR="00EF6898">
        <w:rPr>
          <w:rFonts w:ascii="Cambria Math" w:hAnsi="Cambria Math" w:cs="Cambria Math"/>
        </w:rPr>
        <w:t>𝑲</w:t>
      </w:r>
      <w:r w:rsidR="00EF6898">
        <w:t>) à une date d’échéance T peu importe la valeur marchande d</w:t>
      </w:r>
      <w:r w:rsidR="0013746C">
        <w:t>u titre sous-jacent</w:t>
      </w:r>
      <w:r w:rsidR="00EF6898">
        <w:t xml:space="preserve"> une fois rendu à cette date</w:t>
      </w:r>
      <w:r w:rsidR="0087312E">
        <w:t xml:space="preserve">. </w:t>
      </w:r>
      <w:r w:rsidR="00DC6DA9">
        <w:t>Le détenteur de l’option n’a pas l’obligation d’exercer son option et effectuera l’achat</w:t>
      </w:r>
      <w:r w:rsidR="00000346">
        <w:t xml:space="preserve"> d</w:t>
      </w:r>
      <w:r w:rsidR="0013746C">
        <w:t>u sous-jacent</w:t>
      </w:r>
      <w:r w:rsidR="00000346">
        <w:t xml:space="preserve"> au temps T uniquement s’il le désire, ou </w:t>
      </w:r>
      <w:r w:rsidR="00CD0DBD">
        <w:t>autrement dit</w:t>
      </w:r>
      <w:r w:rsidR="00000346">
        <w:t xml:space="preserve"> uniquement si la transaction lui est profitable (si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&gt;K</m:t>
        </m:r>
      </m:oMath>
      <w:r w:rsidR="00000346">
        <w:rPr>
          <w:rFonts w:eastAsiaTheme="minorEastAsia"/>
        </w:rPr>
        <w:t xml:space="preserve">). </w:t>
      </w:r>
      <w:r w:rsidR="00292957">
        <w:rPr>
          <w:rFonts w:eastAsiaTheme="minorEastAsia"/>
        </w:rPr>
        <w:t xml:space="preserve">Le gain au temps T pour le détenteur de l’option est donc réputé être : </w:t>
      </w:r>
    </w:p>
    <w:p w14:paraId="0E943D26" w14:textId="6B512A6B" w:rsidR="00850470" w:rsidRPr="00A537AE" w:rsidRDefault="00292957" w:rsidP="00292957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Gain au temps T</m:t>
          </m:r>
          <m:r>
            <w:rPr>
              <w:rFonts w:ascii="Cambria Math" w:hAnsi="Cambria Math"/>
              <w:lang w:val="en-CA"/>
            </w:rPr>
            <m:t>=Max(0;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-K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3D52E01" w14:textId="536C7854" w:rsidR="00A537AE" w:rsidRDefault="003D562B" w:rsidP="000F5A6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À noter que ce gain ne considère pas le prix payé initialement pour obtenir l’option</w:t>
      </w:r>
      <w:r w:rsidR="00DA57F5">
        <w:rPr>
          <w:rFonts w:eastAsiaTheme="minorEastAsia"/>
          <w:iCs/>
        </w:rPr>
        <w:t>, ni un quelconque facteur d’actualisation à t = 0 ; il s’agit uniquement du gain de l’option selon qu’elle soit exercée ou non</w:t>
      </w:r>
      <w:r w:rsidR="001D046A">
        <w:rPr>
          <w:rFonts w:eastAsiaTheme="minorEastAsia"/>
          <w:iCs/>
        </w:rPr>
        <w:t xml:space="preserve"> au moment T</w:t>
      </w:r>
      <w:r w:rsidR="00DA57F5">
        <w:rPr>
          <w:rFonts w:eastAsiaTheme="minorEastAsia"/>
          <w:iCs/>
        </w:rPr>
        <w:t xml:space="preserve">. </w:t>
      </w:r>
      <w:r w:rsidR="00A537AE">
        <w:rPr>
          <w:rFonts w:eastAsiaTheme="minorEastAsia"/>
          <w:iCs/>
        </w:rPr>
        <w:t xml:space="preserve">Le prix </w:t>
      </w:r>
      <w:r w:rsidR="00F74D79">
        <w:rPr>
          <w:rFonts w:eastAsiaTheme="minorEastAsia"/>
          <w:iCs/>
        </w:rPr>
        <w:t xml:space="preserve">d’une option </w:t>
      </w:r>
      <w:r w:rsidR="00005755">
        <w:rPr>
          <w:rFonts w:eastAsiaTheme="minorEastAsia"/>
          <w:iCs/>
        </w:rPr>
        <w:t>(de tout genre)</w:t>
      </w:r>
      <w:r w:rsidR="00F74D79">
        <w:rPr>
          <w:rFonts w:eastAsiaTheme="minorEastAsia"/>
          <w:iCs/>
        </w:rPr>
        <w:t xml:space="preserve"> est la valeur espérée du gain au temps T actualisé au temps 0</w:t>
      </w:r>
      <w:r w:rsidR="00A64147">
        <w:rPr>
          <w:rFonts w:eastAsiaTheme="minorEastAsia"/>
          <w:iCs/>
        </w:rPr>
        <w:t xml:space="preserve"> (au moment de l’achat de l’option)</w:t>
      </w:r>
      <w:r w:rsidR="00F74D79">
        <w:rPr>
          <w:rFonts w:eastAsiaTheme="minorEastAsia"/>
          <w:iCs/>
        </w:rPr>
        <w:t xml:space="preserve"> avec un</w:t>
      </w:r>
      <w:r w:rsidR="000D6123">
        <w:rPr>
          <w:rFonts w:eastAsiaTheme="minorEastAsia"/>
          <w:iCs/>
        </w:rPr>
        <w:t>e</w:t>
      </w:r>
      <w:r w:rsidR="00F74D79">
        <w:rPr>
          <w:rFonts w:eastAsiaTheme="minorEastAsia"/>
          <w:iCs/>
        </w:rPr>
        <w:t xml:space="preserve"> </w:t>
      </w:r>
      <w:r w:rsidR="000D6123">
        <w:rPr>
          <w:rFonts w:eastAsiaTheme="minorEastAsia"/>
          <w:iCs/>
        </w:rPr>
        <w:t>force</w:t>
      </w:r>
      <w:r w:rsidR="00F74D79">
        <w:rPr>
          <w:rFonts w:eastAsiaTheme="minorEastAsia"/>
          <w:iCs/>
        </w:rPr>
        <w:t xml:space="preserve"> d’intérêt </w:t>
      </w:r>
      <w:r w:rsidR="000D6123">
        <w:rPr>
          <w:rFonts w:eastAsiaTheme="minorEastAsia"/>
          <w:iCs/>
        </w:rPr>
        <w:t>dite « </w:t>
      </w:r>
      <w:r w:rsidR="00F74D79">
        <w:rPr>
          <w:rFonts w:eastAsiaTheme="minorEastAsia"/>
          <w:iCs/>
        </w:rPr>
        <w:t>sans risque</w:t>
      </w:r>
      <w:r w:rsidR="000D6123">
        <w:rPr>
          <w:rFonts w:eastAsiaTheme="minorEastAsia"/>
          <w:iCs/>
        </w:rPr>
        <w:t> »</w:t>
      </w:r>
      <w:r w:rsidR="00F74D79">
        <w:rPr>
          <w:rFonts w:eastAsiaTheme="minorEastAsia"/>
          <w:iCs/>
        </w:rPr>
        <w:t xml:space="preserve"> </w:t>
      </w:r>
      <w:r w:rsidR="000D6123">
        <w:rPr>
          <w:rFonts w:eastAsiaTheme="minorEastAsia" w:cstheme="minorHAnsi"/>
          <w:iCs/>
        </w:rPr>
        <w:t>δ</w:t>
      </w:r>
      <w:r w:rsidR="00F74D79">
        <w:rPr>
          <w:rFonts w:eastAsiaTheme="minorEastAsia"/>
          <w:iCs/>
        </w:rPr>
        <w:t xml:space="preserve">. </w:t>
      </w:r>
    </w:p>
    <w:p w14:paraId="7D799772" w14:textId="635B4B80" w:rsidR="00DC53E7" w:rsidRDefault="00DC53E7" w:rsidP="000F5A6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Une </w:t>
      </w:r>
      <w:r w:rsidRPr="00A410E2">
        <w:rPr>
          <w:rFonts w:eastAsiaTheme="minorEastAsia"/>
          <w:iCs/>
          <w:u w:val="single"/>
        </w:rPr>
        <w:t>option d’achat exotique</w:t>
      </w:r>
      <w:r>
        <w:rPr>
          <w:rFonts w:eastAsiaTheme="minorEastAsia"/>
          <w:iCs/>
        </w:rPr>
        <w:t xml:space="preserve"> est également</w:t>
      </w:r>
      <w:r w:rsidR="00C56043">
        <w:rPr>
          <w:rFonts w:eastAsiaTheme="minorEastAsia"/>
          <w:iCs/>
        </w:rPr>
        <w:t xml:space="preserve"> considérée. Cette option a la particularité de calculer le gain en fonction </w:t>
      </w:r>
      <w:r w:rsidR="001D046A">
        <w:rPr>
          <w:rFonts w:eastAsiaTheme="minorEastAsia"/>
          <w:iCs/>
        </w:rPr>
        <w:t xml:space="preserve">d’une combinaison </w:t>
      </w:r>
      <w:r w:rsidR="00640D8C">
        <w:rPr>
          <w:rFonts w:eastAsiaTheme="minorEastAsia"/>
          <w:iCs/>
        </w:rPr>
        <w:t xml:space="preserve">du prix </w:t>
      </w:r>
      <w:r w:rsidR="00C22E4C">
        <w:rPr>
          <w:rFonts w:eastAsiaTheme="minorEastAsia"/>
          <w:iCs/>
        </w:rPr>
        <w:t>du sous-jacent</w:t>
      </w:r>
      <w:r w:rsidR="00640D8C">
        <w:rPr>
          <w:rFonts w:eastAsiaTheme="minorEastAsia"/>
          <w:iCs/>
        </w:rPr>
        <w:t xml:space="preserve"> à deux dates différentes tel que : </w:t>
      </w:r>
    </w:p>
    <w:p w14:paraId="662745F2" w14:textId="1561A33C" w:rsidR="00640D8C" w:rsidRPr="00C57119" w:rsidRDefault="00640D8C" w:rsidP="00640D8C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Gain au temps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=Max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lang w:val="en-CA"/>
            </w:rPr>
            <m:t>Max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B428F9E" w14:textId="5300AFFA" w:rsidR="00C57119" w:rsidRDefault="00C57119" w:rsidP="000F5A6E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À noter que le gain est établi au temps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bien que </w:t>
      </w:r>
      <w:r w:rsidR="00F52E2B">
        <w:rPr>
          <w:rFonts w:eastAsiaTheme="minorEastAsia"/>
          <w:iCs/>
        </w:rPr>
        <w:t xml:space="preserve">la valeur de l’action au temps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52E2B">
        <w:rPr>
          <w:rFonts w:eastAsiaTheme="minorEastAsia"/>
        </w:rPr>
        <w:t xml:space="preserve"> </w:t>
      </w:r>
      <w:r w:rsidR="00B75147">
        <w:rPr>
          <w:rFonts w:eastAsiaTheme="minorEastAsia"/>
        </w:rPr>
        <w:t xml:space="preserve">influence le calcul du gain effectué. </w:t>
      </w:r>
      <w:r w:rsidR="00AD3109">
        <w:rPr>
          <w:rFonts w:eastAsiaTheme="minorEastAsia"/>
        </w:rPr>
        <w:t xml:space="preserve">Encore une fois, le prix de l’option n’est pas considéré dans ce calcul de gain et aucun facteur d’actualisation ou d’accumulation n’est appliqué. </w:t>
      </w:r>
    </w:p>
    <w:p w14:paraId="234BE9DA" w14:textId="128FE548" w:rsidR="00497769" w:rsidRDefault="000F5A6E" w:rsidP="000F5A6E">
      <w:pPr>
        <w:pStyle w:val="Paragraphedeliste"/>
        <w:numPr>
          <w:ilvl w:val="0"/>
          <w:numId w:val="8"/>
        </w:numPr>
        <w:ind w:left="42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À l’aide de 1000 simulations, </w:t>
      </w:r>
      <w:r w:rsidR="00AA2B82">
        <w:rPr>
          <w:rFonts w:eastAsiaTheme="minorEastAsia"/>
          <w:iCs/>
        </w:rPr>
        <w:t>approximez</w:t>
      </w:r>
      <w:r>
        <w:rPr>
          <w:rFonts w:eastAsiaTheme="minorEastAsia"/>
          <w:iCs/>
        </w:rPr>
        <w:t xml:space="preserve"> le prix de</w:t>
      </w:r>
      <w:r w:rsidR="00CC6BE9">
        <w:rPr>
          <w:rFonts w:eastAsiaTheme="minorEastAsia"/>
          <w:iCs/>
        </w:rPr>
        <w:t xml:space="preserve"> </w:t>
      </w:r>
      <w:r w:rsidR="00163878">
        <w:rPr>
          <w:rFonts w:eastAsiaTheme="minorEastAsia"/>
          <w:iCs/>
        </w:rPr>
        <w:t>l’option européenne</w:t>
      </w:r>
      <w:r w:rsidR="00CC6BE9">
        <w:rPr>
          <w:rFonts w:eastAsiaTheme="minorEastAsia"/>
          <w:iCs/>
        </w:rPr>
        <w:t xml:space="preserve"> avec des prix d’exercice de </w:t>
      </w:r>
      <w:r w:rsidR="00B13A57">
        <w:rPr>
          <w:rFonts w:eastAsiaTheme="minorEastAsia"/>
          <w:iCs/>
        </w:rPr>
        <w:t>K</w:t>
      </w:r>
      <w:r w:rsidR="00B13A57">
        <w:rPr>
          <w:rFonts w:eastAsiaTheme="minorEastAsia"/>
          <w:iCs/>
          <w:vertAlign w:val="subscript"/>
        </w:rPr>
        <w:t>1</w:t>
      </w:r>
      <w:r w:rsidR="00B13A57">
        <w:rPr>
          <w:rFonts w:eastAsiaTheme="minorEastAsia"/>
          <w:iCs/>
        </w:rPr>
        <w:t xml:space="preserve"> </w:t>
      </w:r>
      <w:r w:rsidR="00CC6BE9">
        <w:rPr>
          <w:rFonts w:eastAsiaTheme="minorEastAsia"/>
          <w:iCs/>
        </w:rPr>
        <w:t xml:space="preserve">et </w:t>
      </w:r>
      <w:r w:rsidR="00B13A57">
        <w:rPr>
          <w:rFonts w:eastAsiaTheme="minorEastAsia"/>
          <w:iCs/>
        </w:rPr>
        <w:t>K</w:t>
      </w:r>
      <w:r w:rsidR="00B13A57">
        <w:rPr>
          <w:rFonts w:eastAsiaTheme="minorEastAsia"/>
          <w:iCs/>
          <w:vertAlign w:val="subscript"/>
        </w:rPr>
        <w:t>2</w:t>
      </w:r>
      <w:r w:rsidR="00B13A57">
        <w:rPr>
          <w:rFonts w:eastAsiaTheme="minorEastAsia"/>
          <w:iCs/>
        </w:rPr>
        <w:t xml:space="preserve"> </w:t>
      </w:r>
      <w:r w:rsidR="008D25E2">
        <w:rPr>
          <w:rFonts w:eastAsiaTheme="minorEastAsia"/>
          <w:iCs/>
        </w:rPr>
        <w:t>(</w:t>
      </w:r>
      <w:r w:rsidR="008D25E2" w:rsidRPr="008D25E2">
        <w:rPr>
          <w:rFonts w:eastAsiaTheme="minorEastAsia"/>
          <w:b/>
          <w:bCs/>
          <w:i/>
        </w:rPr>
        <w:t>voir annexe</w:t>
      </w:r>
      <w:r w:rsidR="008D25E2">
        <w:rPr>
          <w:rFonts w:eastAsiaTheme="minorEastAsia"/>
          <w:iCs/>
        </w:rPr>
        <w:t xml:space="preserve">) </w:t>
      </w:r>
      <w:r w:rsidR="00272E70">
        <w:rPr>
          <w:rFonts w:eastAsiaTheme="minorEastAsia"/>
          <w:iCs/>
        </w:rPr>
        <w:t xml:space="preserve">et des temps </w:t>
      </w:r>
      <w:r w:rsidR="008D25E2">
        <w:rPr>
          <w:rFonts w:eastAsiaTheme="minorEastAsia"/>
          <w:iCs/>
        </w:rPr>
        <w:t>T</w:t>
      </w:r>
      <w:r w:rsidR="008D25E2">
        <w:rPr>
          <w:rFonts w:eastAsiaTheme="minorEastAsia"/>
          <w:iCs/>
          <w:vertAlign w:val="subscript"/>
        </w:rPr>
        <w:t>1</w:t>
      </w:r>
      <w:r w:rsidR="008D25E2">
        <w:rPr>
          <w:rFonts w:eastAsiaTheme="minorEastAsia"/>
          <w:iCs/>
        </w:rPr>
        <w:t xml:space="preserve"> </w:t>
      </w:r>
      <w:r w:rsidR="00440D8C">
        <w:rPr>
          <w:rFonts w:eastAsiaTheme="minorEastAsia"/>
          <w:iCs/>
        </w:rPr>
        <w:t>et T</w:t>
      </w:r>
      <w:r w:rsidR="00440D8C">
        <w:rPr>
          <w:rFonts w:eastAsiaTheme="minorEastAsia"/>
          <w:iCs/>
          <w:vertAlign w:val="subscript"/>
        </w:rPr>
        <w:t>2</w:t>
      </w:r>
      <w:r w:rsidR="0030525C">
        <w:rPr>
          <w:rFonts w:eastAsiaTheme="minorEastAsia"/>
          <w:iCs/>
        </w:rPr>
        <w:t xml:space="preserve"> (</w:t>
      </w:r>
      <w:r w:rsidR="00440D8C" w:rsidRPr="00440D8C">
        <w:rPr>
          <w:rFonts w:eastAsiaTheme="minorEastAsia"/>
          <w:b/>
          <w:bCs/>
          <w:i/>
        </w:rPr>
        <w:t>voir annexe</w:t>
      </w:r>
      <w:r w:rsidR="00440D8C">
        <w:rPr>
          <w:rFonts w:eastAsiaTheme="minorEastAsia"/>
          <w:iCs/>
        </w:rPr>
        <w:t xml:space="preserve">, et donc </w:t>
      </w:r>
      <w:r w:rsidR="0030525C">
        <w:rPr>
          <w:rFonts w:eastAsiaTheme="minorEastAsia"/>
          <w:iCs/>
        </w:rPr>
        <w:t>4 prix au total)</w:t>
      </w:r>
      <w:r w:rsidR="00272E70">
        <w:rPr>
          <w:rFonts w:eastAsiaTheme="minorEastAsia"/>
          <w:iCs/>
        </w:rPr>
        <w:t>.</w:t>
      </w:r>
      <w:r w:rsidR="0030525C">
        <w:rPr>
          <w:rFonts w:eastAsiaTheme="minorEastAsia"/>
          <w:iCs/>
        </w:rPr>
        <w:t xml:space="preserve"> Pour </w:t>
      </w:r>
      <w:r w:rsidR="004822A1">
        <w:rPr>
          <w:rFonts w:eastAsiaTheme="minorEastAsia"/>
          <w:iCs/>
        </w:rPr>
        <w:t>l’option exotique</w:t>
      </w:r>
      <w:r w:rsidR="006065BB">
        <w:rPr>
          <w:rFonts w:eastAsiaTheme="minorEastAsia"/>
          <w:iCs/>
        </w:rPr>
        <w:t xml:space="preserve">, on présumera </w:t>
      </w:r>
      <w:r w:rsidR="00D0423F">
        <w:rPr>
          <w:rFonts w:eastAsiaTheme="minorEastAsia"/>
          <w:iCs/>
        </w:rPr>
        <w:t>deux prix différents de K</w:t>
      </w:r>
      <w:r w:rsidR="00D0423F">
        <w:rPr>
          <w:rFonts w:eastAsiaTheme="minorEastAsia"/>
          <w:iCs/>
          <w:vertAlign w:val="subscript"/>
        </w:rPr>
        <w:t>1</w:t>
      </w:r>
      <w:r w:rsidR="00D0423F">
        <w:rPr>
          <w:rFonts w:eastAsiaTheme="minorEastAsia"/>
          <w:iCs/>
        </w:rPr>
        <w:t xml:space="preserve"> </w:t>
      </w:r>
      <w:r w:rsidR="00E63417">
        <w:rPr>
          <w:rFonts w:eastAsiaTheme="minorEastAsia"/>
          <w:iCs/>
        </w:rPr>
        <w:t>et</w:t>
      </w:r>
      <w:r w:rsidR="00D0423F">
        <w:rPr>
          <w:rFonts w:eastAsiaTheme="minorEastAsia"/>
          <w:iCs/>
        </w:rPr>
        <w:t xml:space="preserve"> K</w:t>
      </w:r>
      <w:r w:rsidR="00D0423F">
        <w:rPr>
          <w:rFonts w:eastAsiaTheme="minorEastAsia"/>
          <w:iCs/>
          <w:vertAlign w:val="subscript"/>
        </w:rPr>
        <w:t>2</w:t>
      </w:r>
      <w:r w:rsidR="00E63417">
        <w:rPr>
          <w:rFonts w:eastAsiaTheme="minorEastAsia"/>
          <w:iCs/>
        </w:rPr>
        <w:t xml:space="preserve"> et avec</w:t>
      </w:r>
      <w:r w:rsidR="00CC6BE9">
        <w:rPr>
          <w:rFonts w:eastAsiaTheme="minorEastAsia"/>
          <w:iCs/>
        </w:rPr>
        <w:t xml:space="preserve"> des</w:t>
      </w:r>
      <w:r w:rsidR="0044364D">
        <w:rPr>
          <w:rFonts w:eastAsiaTheme="minorEastAsia"/>
          <w:iCs/>
        </w:rPr>
        <w:t xml:space="preserve"> dates d’échéance </w:t>
      </w:r>
      <w:r w:rsidR="006065BB">
        <w:rPr>
          <w:rFonts w:eastAsiaTheme="minorEastAsia"/>
          <w:iCs/>
        </w:rPr>
        <w:t xml:space="preserve">de </w:t>
      </w:r>
      <w:r w:rsidR="008718AA">
        <w:rPr>
          <w:rFonts w:eastAsiaTheme="minorEastAsia"/>
          <w:iCs/>
        </w:rPr>
        <w:t>T</w:t>
      </w:r>
      <w:r w:rsidR="008718AA">
        <w:rPr>
          <w:rFonts w:eastAsiaTheme="minorEastAsia"/>
          <w:iCs/>
          <w:vertAlign w:val="subscript"/>
        </w:rPr>
        <w:t>1</w:t>
      </w:r>
      <w:r w:rsidR="008718AA">
        <w:rPr>
          <w:rFonts w:eastAsiaTheme="minorEastAsia"/>
          <w:iCs/>
        </w:rPr>
        <w:t xml:space="preserve"> et T</w:t>
      </w:r>
      <w:r w:rsidR="008718AA">
        <w:rPr>
          <w:rFonts w:eastAsiaTheme="minorEastAsia"/>
          <w:iCs/>
          <w:vertAlign w:val="subscript"/>
        </w:rPr>
        <w:t>2</w:t>
      </w:r>
      <w:r w:rsidR="008718AA">
        <w:rPr>
          <w:rFonts w:eastAsiaTheme="minorEastAsia"/>
          <w:iCs/>
        </w:rPr>
        <w:t xml:space="preserve"> </w:t>
      </w:r>
      <w:r w:rsidR="0002087B">
        <w:rPr>
          <w:rFonts w:eastAsiaTheme="minorEastAsia"/>
          <w:iCs/>
        </w:rPr>
        <w:t>(</w:t>
      </w:r>
      <w:r w:rsidR="000C3B53">
        <w:rPr>
          <w:rFonts w:eastAsiaTheme="minorEastAsia"/>
          <w:iCs/>
        </w:rPr>
        <w:t>mêmes paramètres qu’avec l’option européenne, mais pour un seul prix ici)</w:t>
      </w:r>
      <w:r w:rsidR="0044364D">
        <w:rPr>
          <w:rFonts w:eastAsiaTheme="minorEastAsia"/>
          <w:iCs/>
        </w:rPr>
        <w:t xml:space="preserve">. </w:t>
      </w:r>
      <w:r w:rsidR="004A5AA0" w:rsidRPr="00061BCD">
        <w:rPr>
          <w:rFonts w:eastAsiaTheme="minorEastAsia"/>
          <w:b/>
          <w:bCs/>
          <w:i/>
        </w:rPr>
        <w:t>(15 points)</w:t>
      </w:r>
    </w:p>
    <w:p w14:paraId="0785138E" w14:textId="4120B2AA" w:rsidR="003172DD" w:rsidRDefault="008D6657" w:rsidP="000F5A6E">
      <w:pPr>
        <w:pStyle w:val="Paragraphedeliste"/>
        <w:numPr>
          <w:ilvl w:val="0"/>
          <w:numId w:val="8"/>
        </w:numPr>
        <w:ind w:left="42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Toujours avec les </w:t>
      </w:r>
      <w:r w:rsidR="003125B4">
        <w:rPr>
          <w:rFonts w:eastAsiaTheme="minorEastAsia"/>
          <w:iCs/>
        </w:rPr>
        <w:t>simulations effectuées en a)</w:t>
      </w:r>
      <w:r>
        <w:rPr>
          <w:rFonts w:eastAsiaTheme="minorEastAsia"/>
          <w:iCs/>
        </w:rPr>
        <w:t>, c</w:t>
      </w:r>
      <w:r w:rsidR="00522511">
        <w:rPr>
          <w:rFonts w:eastAsiaTheme="minorEastAsia"/>
          <w:iCs/>
        </w:rPr>
        <w:t xml:space="preserve">alculez la </w:t>
      </w:r>
      <w:r w:rsidR="00CB71CE">
        <w:rPr>
          <w:rFonts w:eastAsiaTheme="minorEastAsia"/>
          <w:iCs/>
        </w:rPr>
        <w:t>VaR(95)</w:t>
      </w:r>
      <w:r w:rsidR="00975367">
        <w:rPr>
          <w:rFonts w:eastAsiaTheme="minorEastAsia"/>
          <w:iCs/>
        </w:rPr>
        <w:t xml:space="preserve"> ainsi que la</w:t>
      </w:r>
      <w:r w:rsidR="00B018AE">
        <w:rPr>
          <w:rFonts w:eastAsiaTheme="minorEastAsia"/>
          <w:iCs/>
        </w:rPr>
        <w:t xml:space="preserve"> VaR(5)</w:t>
      </w:r>
      <w:r w:rsidR="00CB71CE">
        <w:rPr>
          <w:rFonts w:eastAsiaTheme="minorEastAsia"/>
          <w:iCs/>
        </w:rPr>
        <w:t xml:space="preserve"> </w:t>
      </w:r>
      <w:r w:rsidR="004040D8">
        <w:rPr>
          <w:rFonts w:eastAsiaTheme="minorEastAsia"/>
          <w:iCs/>
        </w:rPr>
        <w:t xml:space="preserve">du profit lié à </w:t>
      </w:r>
      <w:r w:rsidR="00C76B7E">
        <w:rPr>
          <w:rFonts w:eastAsiaTheme="minorEastAsia"/>
          <w:iCs/>
        </w:rPr>
        <w:t>la première option européenne (avec K</w:t>
      </w:r>
      <w:r w:rsidR="00C76B7E">
        <w:rPr>
          <w:rFonts w:eastAsiaTheme="minorEastAsia"/>
          <w:iCs/>
          <w:vertAlign w:val="subscript"/>
        </w:rPr>
        <w:t>1</w:t>
      </w:r>
      <w:r w:rsidR="00C76B7E">
        <w:rPr>
          <w:rFonts w:eastAsiaTheme="minorEastAsia"/>
          <w:iCs/>
        </w:rPr>
        <w:t xml:space="preserve"> t T</w:t>
      </w:r>
      <w:r w:rsidR="00C76B7E">
        <w:rPr>
          <w:rFonts w:eastAsiaTheme="minorEastAsia"/>
          <w:iCs/>
          <w:vertAlign w:val="subscript"/>
        </w:rPr>
        <w:t>1</w:t>
      </w:r>
      <w:r w:rsidR="00C76B7E">
        <w:rPr>
          <w:rFonts w:eastAsiaTheme="minorEastAsia"/>
          <w:iCs/>
        </w:rPr>
        <w:t>) et avec l’</w:t>
      </w:r>
      <w:r w:rsidR="001449EB">
        <w:rPr>
          <w:rFonts w:eastAsiaTheme="minorEastAsia"/>
          <w:iCs/>
        </w:rPr>
        <w:t>option exotique</w:t>
      </w:r>
      <w:r w:rsidR="004040D8">
        <w:rPr>
          <w:rFonts w:eastAsiaTheme="minorEastAsia"/>
          <w:iCs/>
        </w:rPr>
        <w:t xml:space="preserve"> avec la définition suivante</w:t>
      </w:r>
      <w:r w:rsidR="003172DD">
        <w:rPr>
          <w:rFonts w:eastAsiaTheme="minorEastAsia"/>
          <w:iCs/>
        </w:rPr>
        <w:t xml:space="preserve"> : </w:t>
      </w:r>
    </w:p>
    <w:p w14:paraId="1BE566C7" w14:textId="77777777" w:rsidR="00190550" w:rsidRDefault="00190550" w:rsidP="00190550">
      <w:pPr>
        <w:pStyle w:val="Paragraphedeliste"/>
        <w:ind w:left="426"/>
        <w:jc w:val="both"/>
        <w:rPr>
          <w:rFonts w:eastAsiaTheme="minorEastAsia"/>
          <w:iCs/>
        </w:rPr>
      </w:pPr>
    </w:p>
    <w:p w14:paraId="5A93761E" w14:textId="6AC7C306" w:rsidR="00640D8C" w:rsidRDefault="00497769" w:rsidP="004040D8">
      <w:pPr>
        <w:pStyle w:val="Paragraphedeliste"/>
        <w:ind w:left="426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Profit=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valeur actualisée à t=0 du </m:t>
            </m:r>
            <m:r>
              <w:rPr>
                <w:rFonts w:ascii="Cambria Math" w:hAnsi="Cambria Math"/>
              </w:rPr>
              <m:t>Gain au temps 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-(prix d'achat)</m:t>
        </m:r>
      </m:oMath>
      <w:r w:rsidR="004A5AA0" w:rsidRPr="004A5AA0">
        <w:rPr>
          <w:rFonts w:eastAsiaTheme="minorEastAsia"/>
        </w:rPr>
        <w:t xml:space="preserve"> </w:t>
      </w:r>
    </w:p>
    <w:p w14:paraId="2764D956" w14:textId="4C2700DA" w:rsidR="004040D8" w:rsidRPr="007A6FF6" w:rsidRDefault="004040D8" w:rsidP="001449EB">
      <w:pPr>
        <w:ind w:left="426"/>
        <w:jc w:val="both"/>
        <w:rPr>
          <w:rFonts w:eastAsiaTheme="minorEastAsia"/>
          <w:i/>
          <w:iCs/>
        </w:rPr>
      </w:pPr>
      <w:r w:rsidRPr="007A6FF6">
        <w:rPr>
          <w:rFonts w:eastAsiaTheme="minorEastAsia"/>
          <w:i/>
          <w:iCs/>
        </w:rPr>
        <w:t>*On utilise la force d’intérêt sans risque</w:t>
      </w:r>
      <w:r w:rsidR="007A6FF6" w:rsidRPr="007A6FF6">
        <w:rPr>
          <w:rFonts w:eastAsiaTheme="minorEastAsia"/>
          <w:i/>
          <w:iCs/>
        </w:rPr>
        <w:t xml:space="preserve"> </w:t>
      </w:r>
      <w:r w:rsidR="007A6FF6" w:rsidRPr="007A6FF6">
        <w:rPr>
          <w:rFonts w:eastAsiaTheme="minorEastAsia" w:cstheme="minorHAnsi"/>
          <w:i/>
          <w:iCs/>
        </w:rPr>
        <w:t>δ</w:t>
      </w:r>
      <w:r w:rsidRPr="007A6FF6">
        <w:rPr>
          <w:rFonts w:eastAsiaTheme="minorEastAsia"/>
          <w:i/>
          <w:iCs/>
        </w:rPr>
        <w:t xml:space="preserve"> pour actualiser le gain dans l’équation précédente</w:t>
      </w:r>
      <w:r w:rsidR="00E514F0">
        <w:rPr>
          <w:rFonts w:eastAsiaTheme="minorEastAsia"/>
          <w:i/>
          <w:iCs/>
        </w:rPr>
        <w:t xml:space="preserve">. </w:t>
      </w:r>
    </w:p>
    <w:p w14:paraId="2DE97C08" w14:textId="42F74B24" w:rsidR="003125B4" w:rsidRDefault="004A0746" w:rsidP="00E514F0">
      <w:pPr>
        <w:pStyle w:val="Paragraphedeliste"/>
        <w:spacing w:line="240" w:lineRule="auto"/>
        <w:ind w:left="426"/>
        <w:jc w:val="both"/>
        <w:rPr>
          <w:rFonts w:eastAsiaTheme="minorEastAsia"/>
        </w:rPr>
      </w:pPr>
      <w:r>
        <w:rPr>
          <w:rFonts w:eastAsiaTheme="minorEastAsia"/>
        </w:rPr>
        <w:t>Présentez les mesures de VaR demandées dans les histogrammes des distributions de chaque simulation</w:t>
      </w:r>
      <w:r w:rsidR="002A4A30">
        <w:rPr>
          <w:rFonts w:eastAsiaTheme="minorEastAsia"/>
        </w:rPr>
        <w:t xml:space="preserve"> en plus de la moyenne de chaque simulation. </w:t>
      </w:r>
      <w:r w:rsidR="00831BA1">
        <w:rPr>
          <w:rFonts w:eastAsiaTheme="minorEastAsia"/>
        </w:rPr>
        <w:t>Vous pouvez vous inspirer de la page 146 de l’annexe VI d</w:t>
      </w:r>
      <w:r w:rsidR="0047489A">
        <w:rPr>
          <w:rFonts w:eastAsiaTheme="minorEastAsia"/>
        </w:rPr>
        <w:t xml:space="preserve">e l’évaluation actuarielle du Régime de rentes du Québec disponible avec le lien suivant : </w:t>
      </w:r>
      <w:r w:rsidR="001449EB" w:rsidRPr="001449EB">
        <w:rPr>
          <w:rFonts w:eastAsiaTheme="minorEastAsia"/>
          <w:b/>
          <w:bCs/>
          <w:i/>
          <w:iCs/>
        </w:rPr>
        <w:t>(10 points)</w:t>
      </w:r>
    </w:p>
    <w:p w14:paraId="74187E02" w14:textId="77777777" w:rsidR="003125B4" w:rsidRDefault="003125B4" w:rsidP="00E514F0">
      <w:pPr>
        <w:pStyle w:val="Paragraphedeliste"/>
        <w:spacing w:line="240" w:lineRule="auto"/>
        <w:ind w:left="426"/>
        <w:jc w:val="both"/>
        <w:rPr>
          <w:rFonts w:eastAsiaTheme="minorEastAsia"/>
        </w:rPr>
      </w:pPr>
    </w:p>
    <w:p w14:paraId="62598D12" w14:textId="0864E822" w:rsidR="001D38B1" w:rsidRPr="003125B4" w:rsidRDefault="002E3FB3" w:rsidP="00E514F0">
      <w:pPr>
        <w:pStyle w:val="Paragraphedeliste"/>
        <w:spacing w:line="240" w:lineRule="auto"/>
        <w:ind w:left="426"/>
        <w:jc w:val="both"/>
        <w:rPr>
          <w:rFonts w:eastAsiaTheme="minorEastAsia"/>
          <w:i/>
          <w:iCs/>
        </w:rPr>
      </w:pPr>
      <w:hyperlink r:id="rId6" w:history="1">
        <w:r w:rsidR="003125B4" w:rsidRPr="001D7076">
          <w:rPr>
            <w:rStyle w:val="Lienhypertexte"/>
            <w:rFonts w:eastAsiaTheme="minorEastAsia"/>
            <w:i/>
            <w:iCs/>
          </w:rPr>
          <w:t>https://www.rrq.gouv.qc.ca/SiteCollectionDocuments/www.rrq.gouv.qc/Francais/publications/regime_rentes/1004f-evaluation-actuarielle-rrq-2018.pdf</w:t>
        </w:r>
      </w:hyperlink>
      <w:r w:rsidR="0047489A" w:rsidRPr="003125B4">
        <w:rPr>
          <w:rFonts w:eastAsiaTheme="minorEastAsia"/>
          <w:i/>
          <w:iCs/>
        </w:rPr>
        <w:t xml:space="preserve"> </w:t>
      </w:r>
    </w:p>
    <w:p w14:paraId="453BA72F" w14:textId="77777777" w:rsidR="003125B4" w:rsidRDefault="003125B4" w:rsidP="00CD1BBC">
      <w:pPr>
        <w:jc w:val="both"/>
        <w:rPr>
          <w:rFonts w:eastAsiaTheme="minorEastAsia"/>
          <w:i/>
          <w:iCs/>
        </w:rPr>
      </w:pPr>
    </w:p>
    <w:p w14:paraId="2F0086E1" w14:textId="50F801D1" w:rsidR="00CD1BBC" w:rsidRDefault="00AC23E3" w:rsidP="00CD1BBC">
      <w:pPr>
        <w:jc w:val="both"/>
        <w:rPr>
          <w:rFonts w:eastAsiaTheme="minorEastAsia"/>
        </w:rPr>
      </w:pPr>
      <w:r w:rsidRPr="001449EB">
        <w:rPr>
          <w:rFonts w:eastAsiaTheme="minorEastAsia"/>
        </w:rPr>
        <w:t>On</w:t>
      </w:r>
      <w:r w:rsidRPr="003125B4">
        <w:rPr>
          <w:rFonts w:eastAsiaTheme="minorEastAsia"/>
          <w:i/>
          <w:iCs/>
        </w:rPr>
        <w:t xml:space="preserve"> </w:t>
      </w:r>
      <w:r w:rsidR="008B712D" w:rsidRPr="00F52CDF">
        <w:rPr>
          <w:rFonts w:eastAsiaTheme="minorEastAsia"/>
        </w:rPr>
        <w:t>p</w:t>
      </w:r>
      <w:r>
        <w:rPr>
          <w:rFonts w:eastAsiaTheme="minorEastAsia"/>
        </w:rPr>
        <w:t xml:space="preserve">résume dorénavant un modèle semblable pour l’évolution de la valeur de l’action mais en incorporant un processus de choc tel que : </w:t>
      </w:r>
    </w:p>
    <w:p w14:paraId="51710869" w14:textId="3841D427" w:rsidR="005D3B3A" w:rsidRPr="0048017F" w:rsidRDefault="002E3FB3" w:rsidP="005D3B3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+σ</m:t>
              </m:r>
              <m:r>
                <w:rPr>
                  <w:rFonts w:ascii="Cambria Math" w:hAnsi="Cambria Math"/>
                </w:rPr>
                <m:t>Z(t)</m:t>
              </m:r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N(t)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μ+σ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(Z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(1)</m:t>
                  </m:r>
                </m:lim>
              </m:limUp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</w:rPr>
                    <m:t>N(t-1)</m:t>
                  </m:r>
                </m:sub>
                <m:sup>
                  <m:r>
                    <w:rPr>
                      <w:rFonts w:ascii="Cambria Math" w:hAnsi="Cambria Math"/>
                    </w:rPr>
                    <m:t>N(t)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7148B590" w14:textId="785C8A7E" w:rsidR="00AC23E3" w:rsidRPr="0048017F" w:rsidRDefault="00AC23E3" w:rsidP="00AC23E3">
      <w:pPr>
        <w:jc w:val="both"/>
        <w:rPr>
          <w:rFonts w:eastAsiaTheme="minorEastAsia"/>
        </w:rPr>
      </w:pPr>
    </w:p>
    <w:p w14:paraId="23D21B0F" w14:textId="1DAC4E10" w:rsidR="0048017F" w:rsidRDefault="0048017F" w:rsidP="00AC23E3">
      <w:pPr>
        <w:jc w:val="both"/>
        <w:rPr>
          <w:rFonts w:eastAsiaTheme="minorEastAsia"/>
        </w:rPr>
      </w:pPr>
      <w:r>
        <w:rPr>
          <w:rFonts w:eastAsiaTheme="minorEastAsia"/>
        </w:rPr>
        <w:t>Avec</w:t>
      </w:r>
      <w:r w:rsidR="005D114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D114B">
        <w:rPr>
          <w:rFonts w:eastAsiaTheme="minorEastAsia"/>
        </w:rPr>
        <w:t xml:space="preserve"> qui suit un processus de Poisson homogène de paramètre </w:t>
      </w:r>
      <w:r w:rsidR="005D114B">
        <w:rPr>
          <w:rFonts w:eastAsiaTheme="minorEastAsia" w:cstheme="minorHAnsi"/>
        </w:rPr>
        <w:t>λ</w:t>
      </w:r>
      <w:r w:rsidR="008B712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 xml:space="preserve"> ~ Unif(0,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α</m:t>
        </m:r>
        <m:r>
          <w:rPr>
            <w:rFonts w:ascii="Cambria Math" w:hAnsi="Cambria Math"/>
          </w:rPr>
          <m:t>)</m:t>
        </m:r>
      </m:oMath>
      <w:r w:rsidR="00CD5AB6">
        <w:rPr>
          <w:rFonts w:eastAsiaTheme="minorEastAsia"/>
        </w:rPr>
        <w:t xml:space="preserve"> </w:t>
      </w:r>
      <w:r w:rsidR="006A7692">
        <w:rPr>
          <w:rFonts w:eastAsiaTheme="minorEastAsia"/>
        </w:rPr>
        <w:t xml:space="preserve">qui sont i.i.d. 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N(t)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="006A7692">
        <w:rPr>
          <w:rFonts w:eastAsiaTheme="minorEastAsia"/>
        </w:rPr>
        <w:t xml:space="preserve"> si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8B712D">
        <w:rPr>
          <w:rFonts w:eastAsiaTheme="minorEastAsia"/>
        </w:rPr>
        <w:t xml:space="preserve"> (</w:t>
      </w:r>
      <w:r w:rsidR="008B712D" w:rsidRPr="00CD5AB6">
        <w:rPr>
          <w:rFonts w:eastAsiaTheme="minorEastAsia"/>
          <w:b/>
          <w:bCs/>
          <w:i/>
          <w:iCs/>
        </w:rPr>
        <w:t>voir annexe</w:t>
      </w:r>
      <w:r w:rsidR="008B712D">
        <w:rPr>
          <w:rFonts w:eastAsiaTheme="minorEastAsia"/>
        </w:rPr>
        <w:t>)</w:t>
      </w:r>
      <w:r w:rsidR="006A7692">
        <w:rPr>
          <w:rFonts w:eastAsiaTheme="minorEastAsia"/>
        </w:rPr>
        <w:t xml:space="preserve">. </w:t>
      </w:r>
      <w:r w:rsidR="00F17E72">
        <w:rPr>
          <w:rFonts w:eastAsiaTheme="minorEastAsia"/>
        </w:rPr>
        <w:t>L’idée est de conserver le même modèle en temps continu pour l’évolution du prix de l’action mais en incorporant des chocs qui viennent ponctuellement altérer la valeur de l’action</w:t>
      </w:r>
      <w:r w:rsidR="007D245B">
        <w:rPr>
          <w:rFonts w:eastAsiaTheme="minorEastAsia"/>
        </w:rPr>
        <w:t xml:space="preserve">. </w:t>
      </w:r>
      <w:r w:rsidR="00B66CF8">
        <w:rPr>
          <w:rFonts w:eastAsiaTheme="minorEastAsia"/>
        </w:rPr>
        <w:t xml:space="preserve">À noter que si le paramètre </w:t>
      </w:r>
      <w:r w:rsidR="00B66CF8">
        <w:rPr>
          <w:rFonts w:eastAsiaTheme="minorEastAsia" w:cstheme="minorHAnsi"/>
        </w:rPr>
        <w:t>α</w:t>
      </w:r>
      <w:r w:rsidR="00D47DAF">
        <w:rPr>
          <w:rFonts w:eastAsiaTheme="minorEastAsia" w:cstheme="minorHAnsi"/>
        </w:rPr>
        <w:t xml:space="preserve"> </w:t>
      </w:r>
      <w:r w:rsidR="00B66CF8">
        <w:rPr>
          <w:rFonts w:eastAsiaTheme="minorEastAsia" w:cstheme="minorHAnsi"/>
        </w:rPr>
        <w:t xml:space="preserve">est négatif,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~Unif(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α,0)</m:t>
        </m:r>
      </m:oMath>
      <w:r w:rsidR="0035420D">
        <w:rPr>
          <w:rFonts w:eastAsiaTheme="minorEastAsia" w:cstheme="minorHAnsi"/>
        </w:rPr>
        <w:t>, ce q</w:t>
      </w:r>
      <w:r w:rsidR="00C777A9">
        <w:rPr>
          <w:rFonts w:eastAsiaTheme="minorEastAsia" w:cstheme="minorHAnsi"/>
        </w:rPr>
        <w:t xml:space="preserve">ui serait le cas pour incorporer des chocs négatifs. </w:t>
      </w:r>
    </w:p>
    <w:p w14:paraId="4E3EDBB2" w14:textId="5CB49672" w:rsidR="005E28A4" w:rsidRDefault="004B0191" w:rsidP="008C5801">
      <w:pPr>
        <w:pStyle w:val="Paragraphedeliste"/>
        <w:numPr>
          <w:ilvl w:val="0"/>
          <w:numId w:val="8"/>
        </w:numPr>
        <w:ind w:left="426"/>
        <w:jc w:val="both"/>
        <w:rPr>
          <w:rFonts w:eastAsiaTheme="minorEastAsia"/>
        </w:rPr>
      </w:pPr>
      <w:r>
        <w:rPr>
          <w:rFonts w:eastAsiaTheme="minorEastAsia"/>
        </w:rPr>
        <w:t>Trouvez la valeur</w:t>
      </w:r>
      <w:r w:rsidR="009A3750">
        <w:rPr>
          <w:rFonts w:eastAsiaTheme="minorEastAsia"/>
        </w:rPr>
        <w:t xml:space="preserve"> théorique</w:t>
      </w:r>
      <w:r>
        <w:rPr>
          <w:rFonts w:eastAsiaTheme="minorEastAsia"/>
        </w:rPr>
        <w:t xml:space="preserve"> du paramètre </w:t>
      </w:r>
      <w:r w:rsidR="007908DD">
        <w:rPr>
          <w:rFonts w:eastAsiaTheme="minorEastAsia" w:cstheme="minorHAnsi"/>
        </w:rPr>
        <w:t>α</w:t>
      </w:r>
      <w:r w:rsidR="007E1ECC">
        <w:rPr>
          <w:rFonts w:eastAsiaTheme="minorEastAsia"/>
        </w:rPr>
        <w:t xml:space="preserve"> </w:t>
      </w:r>
      <w:r w:rsidR="00075869">
        <w:rPr>
          <w:rFonts w:eastAsiaTheme="minorEastAsia"/>
        </w:rPr>
        <w:t>de manière</w:t>
      </w:r>
      <w:r w:rsidR="00E62EA4">
        <w:rPr>
          <w:rFonts w:eastAsiaTheme="minorEastAsia"/>
        </w:rPr>
        <w:t xml:space="preserve"> que le processus de la valeur de l’action suive une Martingal</w:t>
      </w:r>
      <w:r w:rsidR="00075869">
        <w:rPr>
          <w:rFonts w:eastAsiaTheme="minorEastAsia"/>
        </w:rPr>
        <w:t xml:space="preserve">e. </w:t>
      </w:r>
      <w:r w:rsidR="007974BC" w:rsidRPr="00061BCD">
        <w:rPr>
          <w:rFonts w:eastAsiaTheme="minorEastAsia"/>
          <w:b/>
          <w:bCs/>
          <w:i/>
          <w:iCs/>
        </w:rPr>
        <w:t>(5 points)</w:t>
      </w:r>
    </w:p>
    <w:p w14:paraId="6109EBEC" w14:textId="4486128D" w:rsidR="00F635C8" w:rsidRPr="005E28A4" w:rsidRDefault="009A3750" w:rsidP="008C5801">
      <w:pPr>
        <w:pStyle w:val="Paragraphedeliste"/>
        <w:numPr>
          <w:ilvl w:val="0"/>
          <w:numId w:val="8"/>
        </w:numPr>
        <w:ind w:left="426"/>
        <w:jc w:val="both"/>
        <w:rPr>
          <w:rFonts w:eastAsiaTheme="minorEastAsia"/>
        </w:rPr>
      </w:pPr>
      <w:r w:rsidRPr="005E28A4">
        <w:rPr>
          <w:rFonts w:eastAsiaTheme="minorEastAsia"/>
        </w:rPr>
        <w:t xml:space="preserve">Trouvez la valeur théorique du paramètre </w:t>
      </w:r>
      <w:r w:rsidRPr="005E28A4">
        <w:rPr>
          <w:rFonts w:eastAsiaTheme="minorEastAsia" w:cstheme="minorHAnsi"/>
        </w:rPr>
        <w:t>α</w:t>
      </w:r>
      <w:r w:rsidRPr="005E28A4">
        <w:rPr>
          <w:rFonts w:eastAsiaTheme="minorEastAsia"/>
        </w:rPr>
        <w:t xml:space="preserve"> de manière que</w:t>
      </w:r>
      <w:r w:rsidR="00065FFB" w:rsidRPr="005E28A4">
        <w:rPr>
          <w:rFonts w:eastAsiaTheme="minorEastAsia"/>
        </w:rPr>
        <w:t xml:space="preserve"> le processus de la valeur de l’action suive une sous-Martingale avec un rendement annuel espéré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r>
          <w:rPr>
            <w:rFonts w:ascii="Cambria Math" w:hAnsi="Cambria Math"/>
          </w:rPr>
          <m:t>-1</m:t>
        </m:r>
      </m:oMath>
      <w:r w:rsidR="00065FFB" w:rsidRPr="005E28A4">
        <w:rPr>
          <w:rFonts w:eastAsiaTheme="minorEastAsia"/>
        </w:rPr>
        <w:t>, ou en d’autres termes, de manière</w:t>
      </w:r>
      <w:r w:rsidR="00D84A2E" w:rsidRPr="005E28A4">
        <w:rPr>
          <w:rFonts w:eastAsiaTheme="minorEastAsia"/>
        </w:rPr>
        <w:t xml:space="preserve"> que</w:t>
      </w:r>
      <w:r w:rsidR="007A7528">
        <w:rPr>
          <w:rFonts w:eastAsiaTheme="minorEastAsia"/>
        </w:rPr>
        <w:t xml:space="preserve"> : </w:t>
      </w:r>
      <w:r w:rsidR="007974BC" w:rsidRPr="00061BCD">
        <w:rPr>
          <w:rFonts w:eastAsiaTheme="minorEastAsia"/>
          <w:b/>
          <w:bCs/>
          <w:i/>
          <w:iCs/>
        </w:rPr>
        <w:t>(5 points)</w:t>
      </w:r>
    </w:p>
    <w:p w14:paraId="2775EAFC" w14:textId="2272649A" w:rsidR="00F635C8" w:rsidRPr="007A7528" w:rsidRDefault="005551AE" w:rsidP="008C5801">
      <w:pPr>
        <w:ind w:left="426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</m:oMath>
      </m:oMathPara>
    </w:p>
    <w:p w14:paraId="23403547" w14:textId="646CDD17" w:rsidR="00AC23E3" w:rsidRPr="007A6FF6" w:rsidRDefault="00640229" w:rsidP="00CD1BBC">
      <w:pPr>
        <w:pStyle w:val="Paragraphedeliste"/>
        <w:numPr>
          <w:ilvl w:val="0"/>
          <w:numId w:val="8"/>
        </w:numPr>
        <w:ind w:left="426"/>
        <w:jc w:val="both"/>
        <w:rPr>
          <w:rFonts w:eastAsiaTheme="minorEastAsia"/>
        </w:rPr>
      </w:pPr>
      <w:r>
        <w:rPr>
          <w:rFonts w:eastAsiaTheme="minorEastAsia"/>
        </w:rPr>
        <w:t xml:space="preserve">Avec le résultat et le paramètre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trouvé en d), </w:t>
      </w:r>
      <w:r w:rsidR="00712C47">
        <w:rPr>
          <w:rFonts w:eastAsiaTheme="minorEastAsia"/>
        </w:rPr>
        <w:t>effectuez une simulation de 1000 scénarios du temps nécessaire</w:t>
      </w:r>
      <w:r w:rsidR="006E273E">
        <w:rPr>
          <w:rFonts w:eastAsiaTheme="minorEastAsia"/>
        </w:rPr>
        <w:t xml:space="preserve"> avant que l’action </w:t>
      </w:r>
      <w:r w:rsidR="00A805E1">
        <w:rPr>
          <w:rFonts w:eastAsiaTheme="minorEastAsia"/>
        </w:rPr>
        <w:t xml:space="preserve">augmente de </w:t>
      </w:r>
      <w:r w:rsidR="00A805E1">
        <w:rPr>
          <w:rFonts w:eastAsiaTheme="minorEastAsia" w:cstheme="minorHAnsi"/>
        </w:rPr>
        <w:t>β</w:t>
      </w:r>
      <w:r w:rsidR="00A805E1">
        <w:rPr>
          <w:rFonts w:eastAsiaTheme="minorEastAsia"/>
        </w:rPr>
        <w:t>% de valeur (</w:t>
      </w:r>
      <w:r w:rsidR="00A805E1" w:rsidRPr="00A805E1">
        <w:rPr>
          <w:rFonts w:eastAsiaTheme="minorEastAsia"/>
          <w:b/>
          <w:bCs/>
          <w:i/>
          <w:iCs/>
        </w:rPr>
        <w:t>voir annexe</w:t>
      </w:r>
      <w:r w:rsidR="00A805E1">
        <w:rPr>
          <w:rFonts w:eastAsiaTheme="minorEastAsia"/>
        </w:rPr>
        <w:t>)</w:t>
      </w:r>
      <w:r w:rsidR="006E273E">
        <w:rPr>
          <w:rFonts w:eastAsiaTheme="minorEastAsia"/>
        </w:rPr>
        <w:t xml:space="preserve">. Illustrez graphiquement </w:t>
      </w:r>
      <w:r w:rsidR="00595FD7">
        <w:rPr>
          <w:rFonts w:eastAsiaTheme="minorEastAsia"/>
        </w:rPr>
        <w:t>avec un histogramme la distribution issue de cette simulation en précisant la moyenne, l’écart-type ainsi que les 1</w:t>
      </w:r>
      <w:r w:rsidR="00595FD7" w:rsidRPr="00595FD7">
        <w:rPr>
          <w:rFonts w:eastAsiaTheme="minorEastAsia"/>
          <w:vertAlign w:val="superscript"/>
        </w:rPr>
        <w:t>er</w:t>
      </w:r>
      <w:r w:rsidR="00595FD7">
        <w:rPr>
          <w:rFonts w:eastAsiaTheme="minorEastAsia"/>
        </w:rPr>
        <w:t>, 5</w:t>
      </w:r>
      <w:r w:rsidR="00595FD7" w:rsidRPr="00595FD7">
        <w:rPr>
          <w:rFonts w:eastAsiaTheme="minorEastAsia"/>
          <w:vertAlign w:val="superscript"/>
        </w:rPr>
        <w:t>ème</w:t>
      </w:r>
      <w:r w:rsidR="00595FD7">
        <w:rPr>
          <w:rFonts w:eastAsiaTheme="minorEastAsia"/>
        </w:rPr>
        <w:t>, 10</w:t>
      </w:r>
      <w:r w:rsidR="00595FD7" w:rsidRPr="00595FD7">
        <w:rPr>
          <w:rFonts w:eastAsiaTheme="minorEastAsia"/>
          <w:vertAlign w:val="superscript"/>
        </w:rPr>
        <w:t>ème</w:t>
      </w:r>
      <w:r w:rsidR="00595FD7">
        <w:rPr>
          <w:rFonts w:eastAsiaTheme="minorEastAsia"/>
        </w:rPr>
        <w:t>, 90</w:t>
      </w:r>
      <w:r w:rsidR="00595FD7" w:rsidRPr="00595FD7">
        <w:rPr>
          <w:rFonts w:eastAsiaTheme="minorEastAsia"/>
          <w:vertAlign w:val="superscript"/>
        </w:rPr>
        <w:t>ème</w:t>
      </w:r>
      <w:r w:rsidR="00595FD7">
        <w:rPr>
          <w:rFonts w:eastAsiaTheme="minorEastAsia"/>
        </w:rPr>
        <w:t>, 95</w:t>
      </w:r>
      <w:r w:rsidR="00595FD7" w:rsidRPr="00595FD7">
        <w:rPr>
          <w:rFonts w:eastAsiaTheme="minorEastAsia"/>
          <w:vertAlign w:val="superscript"/>
        </w:rPr>
        <w:t>ème</w:t>
      </w:r>
      <w:r w:rsidR="00595FD7">
        <w:rPr>
          <w:rFonts w:eastAsiaTheme="minorEastAsia"/>
        </w:rPr>
        <w:t xml:space="preserve"> et 99</w:t>
      </w:r>
      <w:r w:rsidR="00595FD7" w:rsidRPr="00595FD7">
        <w:rPr>
          <w:rFonts w:eastAsiaTheme="minorEastAsia"/>
          <w:vertAlign w:val="superscript"/>
        </w:rPr>
        <w:t>ème</w:t>
      </w:r>
      <w:r w:rsidR="00595FD7">
        <w:rPr>
          <w:rFonts w:eastAsiaTheme="minorEastAsia"/>
        </w:rPr>
        <w:t xml:space="preserve"> percentiles de la distribution</w:t>
      </w:r>
      <w:r w:rsidR="00A72E04">
        <w:rPr>
          <w:rFonts w:eastAsiaTheme="minorEastAsia"/>
        </w:rPr>
        <w:t xml:space="preserve"> du temps requis</w:t>
      </w:r>
      <w:r w:rsidR="00595FD7">
        <w:rPr>
          <w:rFonts w:eastAsiaTheme="minorEastAsia"/>
        </w:rPr>
        <w:t xml:space="preserve">. </w:t>
      </w:r>
      <w:r w:rsidR="007974BC" w:rsidRPr="00061BCD">
        <w:rPr>
          <w:rFonts w:eastAsiaTheme="minorEastAsia"/>
          <w:b/>
          <w:bCs/>
          <w:i/>
          <w:iCs/>
        </w:rPr>
        <w:t>(15 points)</w:t>
      </w:r>
    </w:p>
    <w:sectPr w:rsidR="00AC23E3" w:rsidRPr="007A6FF6" w:rsidSect="00770F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758B6"/>
    <w:multiLevelType w:val="hybridMultilevel"/>
    <w:tmpl w:val="12C2D95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736F"/>
    <w:multiLevelType w:val="hybridMultilevel"/>
    <w:tmpl w:val="22ACA31C"/>
    <w:lvl w:ilvl="0" w:tplc="1EC4C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E6DAD"/>
    <w:multiLevelType w:val="hybridMultilevel"/>
    <w:tmpl w:val="C554D898"/>
    <w:lvl w:ilvl="0" w:tplc="0C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20F1E"/>
    <w:multiLevelType w:val="hybridMultilevel"/>
    <w:tmpl w:val="BB3208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917"/>
    <w:multiLevelType w:val="hybridMultilevel"/>
    <w:tmpl w:val="B376647C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43DE3"/>
    <w:multiLevelType w:val="hybridMultilevel"/>
    <w:tmpl w:val="1CFAF310"/>
    <w:lvl w:ilvl="0" w:tplc="75800EF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69BF"/>
    <w:multiLevelType w:val="hybridMultilevel"/>
    <w:tmpl w:val="07B053E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64317"/>
    <w:multiLevelType w:val="hybridMultilevel"/>
    <w:tmpl w:val="DD00EB36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BEE"/>
    <w:rsid w:val="00000346"/>
    <w:rsid w:val="00005411"/>
    <w:rsid w:val="00005755"/>
    <w:rsid w:val="0002087B"/>
    <w:rsid w:val="00024A5F"/>
    <w:rsid w:val="000336B5"/>
    <w:rsid w:val="00034D66"/>
    <w:rsid w:val="00044E0A"/>
    <w:rsid w:val="000528B3"/>
    <w:rsid w:val="0005723F"/>
    <w:rsid w:val="00061BCD"/>
    <w:rsid w:val="00065FFB"/>
    <w:rsid w:val="00075869"/>
    <w:rsid w:val="00084FF7"/>
    <w:rsid w:val="00090F8C"/>
    <w:rsid w:val="000A1D98"/>
    <w:rsid w:val="000A4388"/>
    <w:rsid w:val="000B6A67"/>
    <w:rsid w:val="000C1C5B"/>
    <w:rsid w:val="000C3B53"/>
    <w:rsid w:val="000C6EBE"/>
    <w:rsid w:val="000D4A5A"/>
    <w:rsid w:val="000D6123"/>
    <w:rsid w:val="000D78CF"/>
    <w:rsid w:val="000F5A6E"/>
    <w:rsid w:val="00100B5E"/>
    <w:rsid w:val="0010252C"/>
    <w:rsid w:val="00107433"/>
    <w:rsid w:val="0011389F"/>
    <w:rsid w:val="00120655"/>
    <w:rsid w:val="00121117"/>
    <w:rsid w:val="001306BE"/>
    <w:rsid w:val="00131605"/>
    <w:rsid w:val="0013746C"/>
    <w:rsid w:val="001427B0"/>
    <w:rsid w:val="001449EB"/>
    <w:rsid w:val="00151278"/>
    <w:rsid w:val="00163878"/>
    <w:rsid w:val="00175ECE"/>
    <w:rsid w:val="00176352"/>
    <w:rsid w:val="00190550"/>
    <w:rsid w:val="001919C0"/>
    <w:rsid w:val="00192D19"/>
    <w:rsid w:val="001A02FF"/>
    <w:rsid w:val="001B4BC8"/>
    <w:rsid w:val="001D046A"/>
    <w:rsid w:val="001D2793"/>
    <w:rsid w:val="001D38B1"/>
    <w:rsid w:val="001D3EA2"/>
    <w:rsid w:val="00202E4A"/>
    <w:rsid w:val="0020537E"/>
    <w:rsid w:val="00211A52"/>
    <w:rsid w:val="00216009"/>
    <w:rsid w:val="002216B8"/>
    <w:rsid w:val="00224500"/>
    <w:rsid w:val="00227B8B"/>
    <w:rsid w:val="00227EF5"/>
    <w:rsid w:val="00234E99"/>
    <w:rsid w:val="00236FF3"/>
    <w:rsid w:val="00237D88"/>
    <w:rsid w:val="0024099A"/>
    <w:rsid w:val="002611D4"/>
    <w:rsid w:val="00266779"/>
    <w:rsid w:val="0027025B"/>
    <w:rsid w:val="00271805"/>
    <w:rsid w:val="00272E70"/>
    <w:rsid w:val="0027566B"/>
    <w:rsid w:val="00275EA0"/>
    <w:rsid w:val="00286DFF"/>
    <w:rsid w:val="00292957"/>
    <w:rsid w:val="002A4A30"/>
    <w:rsid w:val="002B18A3"/>
    <w:rsid w:val="002C0A4C"/>
    <w:rsid w:val="002D08D6"/>
    <w:rsid w:val="002E3FB3"/>
    <w:rsid w:val="002F58A7"/>
    <w:rsid w:val="0030525C"/>
    <w:rsid w:val="003125B4"/>
    <w:rsid w:val="003144ED"/>
    <w:rsid w:val="00314D91"/>
    <w:rsid w:val="003172DD"/>
    <w:rsid w:val="00320F71"/>
    <w:rsid w:val="00335DBF"/>
    <w:rsid w:val="003444B8"/>
    <w:rsid w:val="0035420D"/>
    <w:rsid w:val="00365C3B"/>
    <w:rsid w:val="00375258"/>
    <w:rsid w:val="00382281"/>
    <w:rsid w:val="00382BEA"/>
    <w:rsid w:val="00384816"/>
    <w:rsid w:val="00391B42"/>
    <w:rsid w:val="00393FCA"/>
    <w:rsid w:val="0039724E"/>
    <w:rsid w:val="003A4663"/>
    <w:rsid w:val="003A5D64"/>
    <w:rsid w:val="003B329F"/>
    <w:rsid w:val="003C1CF8"/>
    <w:rsid w:val="003D562B"/>
    <w:rsid w:val="003D76A9"/>
    <w:rsid w:val="003F7F90"/>
    <w:rsid w:val="00401244"/>
    <w:rsid w:val="004040D8"/>
    <w:rsid w:val="00406FA0"/>
    <w:rsid w:val="00412D1A"/>
    <w:rsid w:val="00413BEC"/>
    <w:rsid w:val="00420849"/>
    <w:rsid w:val="004230A9"/>
    <w:rsid w:val="004256A9"/>
    <w:rsid w:val="00432436"/>
    <w:rsid w:val="00434334"/>
    <w:rsid w:val="00440D8C"/>
    <w:rsid w:val="0044364D"/>
    <w:rsid w:val="00443CF2"/>
    <w:rsid w:val="00461C21"/>
    <w:rsid w:val="004734C7"/>
    <w:rsid w:val="0047489A"/>
    <w:rsid w:val="0048017F"/>
    <w:rsid w:val="004822A1"/>
    <w:rsid w:val="004826BC"/>
    <w:rsid w:val="0049231A"/>
    <w:rsid w:val="00492C1F"/>
    <w:rsid w:val="004952DE"/>
    <w:rsid w:val="00495BB4"/>
    <w:rsid w:val="00496CCF"/>
    <w:rsid w:val="00497769"/>
    <w:rsid w:val="004A0746"/>
    <w:rsid w:val="004A1AC3"/>
    <w:rsid w:val="004A5AA0"/>
    <w:rsid w:val="004A64A8"/>
    <w:rsid w:val="004B0191"/>
    <w:rsid w:val="004B3CEF"/>
    <w:rsid w:val="004C7B6C"/>
    <w:rsid w:val="004D2039"/>
    <w:rsid w:val="004D77B6"/>
    <w:rsid w:val="004D7CAD"/>
    <w:rsid w:val="004E5CDD"/>
    <w:rsid w:val="004E671E"/>
    <w:rsid w:val="004F76AA"/>
    <w:rsid w:val="00516BF2"/>
    <w:rsid w:val="00522511"/>
    <w:rsid w:val="00524E3A"/>
    <w:rsid w:val="00530B55"/>
    <w:rsid w:val="00533B3D"/>
    <w:rsid w:val="00537BDB"/>
    <w:rsid w:val="005435E2"/>
    <w:rsid w:val="00544823"/>
    <w:rsid w:val="00545808"/>
    <w:rsid w:val="005461A7"/>
    <w:rsid w:val="005550C4"/>
    <w:rsid w:val="005551AE"/>
    <w:rsid w:val="00555F4B"/>
    <w:rsid w:val="00562F08"/>
    <w:rsid w:val="00571735"/>
    <w:rsid w:val="00583EBE"/>
    <w:rsid w:val="00595FD7"/>
    <w:rsid w:val="005A24EB"/>
    <w:rsid w:val="005B11C7"/>
    <w:rsid w:val="005D114B"/>
    <w:rsid w:val="005D3B3A"/>
    <w:rsid w:val="005D5DC3"/>
    <w:rsid w:val="005D5E54"/>
    <w:rsid w:val="005E28A4"/>
    <w:rsid w:val="005E2E56"/>
    <w:rsid w:val="005F5188"/>
    <w:rsid w:val="00600FC9"/>
    <w:rsid w:val="00601DCC"/>
    <w:rsid w:val="00602082"/>
    <w:rsid w:val="006065BB"/>
    <w:rsid w:val="00607EC9"/>
    <w:rsid w:val="00614A8B"/>
    <w:rsid w:val="006311F1"/>
    <w:rsid w:val="00632EC9"/>
    <w:rsid w:val="006330FD"/>
    <w:rsid w:val="00636731"/>
    <w:rsid w:val="00636FC4"/>
    <w:rsid w:val="00637037"/>
    <w:rsid w:val="00640229"/>
    <w:rsid w:val="00640D8C"/>
    <w:rsid w:val="00664703"/>
    <w:rsid w:val="00664EA3"/>
    <w:rsid w:val="006823BD"/>
    <w:rsid w:val="00691338"/>
    <w:rsid w:val="00692DF0"/>
    <w:rsid w:val="00697091"/>
    <w:rsid w:val="006A4160"/>
    <w:rsid w:val="006A7692"/>
    <w:rsid w:val="006B1B8F"/>
    <w:rsid w:val="006B312E"/>
    <w:rsid w:val="006B3889"/>
    <w:rsid w:val="006C3A7A"/>
    <w:rsid w:val="006C68DE"/>
    <w:rsid w:val="006D7D84"/>
    <w:rsid w:val="006E273E"/>
    <w:rsid w:val="006E3DE6"/>
    <w:rsid w:val="006F0C38"/>
    <w:rsid w:val="006F4CC8"/>
    <w:rsid w:val="00712C47"/>
    <w:rsid w:val="0071763B"/>
    <w:rsid w:val="0072328E"/>
    <w:rsid w:val="00732F42"/>
    <w:rsid w:val="0074600A"/>
    <w:rsid w:val="007508E2"/>
    <w:rsid w:val="00750C8F"/>
    <w:rsid w:val="00754FC9"/>
    <w:rsid w:val="00757AAE"/>
    <w:rsid w:val="007636CB"/>
    <w:rsid w:val="00770FB4"/>
    <w:rsid w:val="007908DD"/>
    <w:rsid w:val="007974BC"/>
    <w:rsid w:val="007A6D4F"/>
    <w:rsid w:val="007A6FF6"/>
    <w:rsid w:val="007A70E0"/>
    <w:rsid w:val="007A7528"/>
    <w:rsid w:val="007A7745"/>
    <w:rsid w:val="007B2D01"/>
    <w:rsid w:val="007C14AD"/>
    <w:rsid w:val="007C595D"/>
    <w:rsid w:val="007D0851"/>
    <w:rsid w:val="007D245B"/>
    <w:rsid w:val="007E15FC"/>
    <w:rsid w:val="007E16D7"/>
    <w:rsid w:val="007E1ECC"/>
    <w:rsid w:val="007E50BE"/>
    <w:rsid w:val="00805C9E"/>
    <w:rsid w:val="00813218"/>
    <w:rsid w:val="00814956"/>
    <w:rsid w:val="00823BEE"/>
    <w:rsid w:val="008270F9"/>
    <w:rsid w:val="00831BA1"/>
    <w:rsid w:val="008329C1"/>
    <w:rsid w:val="00833CBE"/>
    <w:rsid w:val="00835ECC"/>
    <w:rsid w:val="00837CDF"/>
    <w:rsid w:val="00840B87"/>
    <w:rsid w:val="00844409"/>
    <w:rsid w:val="00846655"/>
    <w:rsid w:val="00850470"/>
    <w:rsid w:val="00854D85"/>
    <w:rsid w:val="00863AB3"/>
    <w:rsid w:val="0086503A"/>
    <w:rsid w:val="008718AA"/>
    <w:rsid w:val="0087312E"/>
    <w:rsid w:val="00892DBF"/>
    <w:rsid w:val="008975C8"/>
    <w:rsid w:val="008A20C2"/>
    <w:rsid w:val="008B390D"/>
    <w:rsid w:val="008B4311"/>
    <w:rsid w:val="008B712D"/>
    <w:rsid w:val="008C3D58"/>
    <w:rsid w:val="008C5801"/>
    <w:rsid w:val="008D2169"/>
    <w:rsid w:val="008D25E2"/>
    <w:rsid w:val="008D2C11"/>
    <w:rsid w:val="008D6657"/>
    <w:rsid w:val="008E0F7D"/>
    <w:rsid w:val="008E3782"/>
    <w:rsid w:val="008E458E"/>
    <w:rsid w:val="008E626C"/>
    <w:rsid w:val="0092665D"/>
    <w:rsid w:val="009269DC"/>
    <w:rsid w:val="00933702"/>
    <w:rsid w:val="0094727D"/>
    <w:rsid w:val="00956103"/>
    <w:rsid w:val="00957475"/>
    <w:rsid w:val="00960D15"/>
    <w:rsid w:val="0096642C"/>
    <w:rsid w:val="00971E0A"/>
    <w:rsid w:val="00975367"/>
    <w:rsid w:val="00977731"/>
    <w:rsid w:val="0098065D"/>
    <w:rsid w:val="009A04C8"/>
    <w:rsid w:val="009A3750"/>
    <w:rsid w:val="009B2600"/>
    <w:rsid w:val="009C3854"/>
    <w:rsid w:val="009D7870"/>
    <w:rsid w:val="009E0F77"/>
    <w:rsid w:val="009F31B8"/>
    <w:rsid w:val="00A01B3B"/>
    <w:rsid w:val="00A1126A"/>
    <w:rsid w:val="00A23EFC"/>
    <w:rsid w:val="00A32B60"/>
    <w:rsid w:val="00A34D06"/>
    <w:rsid w:val="00A40155"/>
    <w:rsid w:val="00A410E2"/>
    <w:rsid w:val="00A42C88"/>
    <w:rsid w:val="00A52BA2"/>
    <w:rsid w:val="00A537AE"/>
    <w:rsid w:val="00A539E8"/>
    <w:rsid w:val="00A611F7"/>
    <w:rsid w:val="00A615F0"/>
    <w:rsid w:val="00A64147"/>
    <w:rsid w:val="00A6507B"/>
    <w:rsid w:val="00A72E04"/>
    <w:rsid w:val="00A805E1"/>
    <w:rsid w:val="00A82691"/>
    <w:rsid w:val="00A9461C"/>
    <w:rsid w:val="00A97B62"/>
    <w:rsid w:val="00AA1872"/>
    <w:rsid w:val="00AA2B82"/>
    <w:rsid w:val="00AA71BD"/>
    <w:rsid w:val="00AB1056"/>
    <w:rsid w:val="00AB16D3"/>
    <w:rsid w:val="00AC148A"/>
    <w:rsid w:val="00AC1F3D"/>
    <w:rsid w:val="00AC23E3"/>
    <w:rsid w:val="00AC34BD"/>
    <w:rsid w:val="00AC51F0"/>
    <w:rsid w:val="00AD3109"/>
    <w:rsid w:val="00AD5382"/>
    <w:rsid w:val="00B018AE"/>
    <w:rsid w:val="00B13A57"/>
    <w:rsid w:val="00B176B1"/>
    <w:rsid w:val="00B21CA0"/>
    <w:rsid w:val="00B2316A"/>
    <w:rsid w:val="00B24C21"/>
    <w:rsid w:val="00B27D7F"/>
    <w:rsid w:val="00B3436E"/>
    <w:rsid w:val="00B3523B"/>
    <w:rsid w:val="00B3704D"/>
    <w:rsid w:val="00B43FB8"/>
    <w:rsid w:val="00B470DA"/>
    <w:rsid w:val="00B53EAC"/>
    <w:rsid w:val="00B5690F"/>
    <w:rsid w:val="00B63F81"/>
    <w:rsid w:val="00B66CF8"/>
    <w:rsid w:val="00B75147"/>
    <w:rsid w:val="00B75CD4"/>
    <w:rsid w:val="00B80595"/>
    <w:rsid w:val="00B80644"/>
    <w:rsid w:val="00B82F41"/>
    <w:rsid w:val="00B90E2A"/>
    <w:rsid w:val="00B91E28"/>
    <w:rsid w:val="00BA23DC"/>
    <w:rsid w:val="00BA6023"/>
    <w:rsid w:val="00BB34F5"/>
    <w:rsid w:val="00BB66A1"/>
    <w:rsid w:val="00BC3C9D"/>
    <w:rsid w:val="00BC4DC1"/>
    <w:rsid w:val="00BE44A3"/>
    <w:rsid w:val="00BF0589"/>
    <w:rsid w:val="00C16275"/>
    <w:rsid w:val="00C22E4C"/>
    <w:rsid w:val="00C24504"/>
    <w:rsid w:val="00C323A0"/>
    <w:rsid w:val="00C52BB9"/>
    <w:rsid w:val="00C54D90"/>
    <w:rsid w:val="00C552CC"/>
    <w:rsid w:val="00C556A0"/>
    <w:rsid w:val="00C56043"/>
    <w:rsid w:val="00C56697"/>
    <w:rsid w:val="00C57119"/>
    <w:rsid w:val="00C60E46"/>
    <w:rsid w:val="00C656A8"/>
    <w:rsid w:val="00C666CD"/>
    <w:rsid w:val="00C76B7E"/>
    <w:rsid w:val="00C777A9"/>
    <w:rsid w:val="00C80E20"/>
    <w:rsid w:val="00C96B8A"/>
    <w:rsid w:val="00CA0235"/>
    <w:rsid w:val="00CB71CE"/>
    <w:rsid w:val="00CC6BE9"/>
    <w:rsid w:val="00CD0DBD"/>
    <w:rsid w:val="00CD1BBC"/>
    <w:rsid w:val="00CD3B23"/>
    <w:rsid w:val="00CD448F"/>
    <w:rsid w:val="00CD5AB6"/>
    <w:rsid w:val="00CD6D57"/>
    <w:rsid w:val="00CD7424"/>
    <w:rsid w:val="00CE49C7"/>
    <w:rsid w:val="00CF0596"/>
    <w:rsid w:val="00CF57EC"/>
    <w:rsid w:val="00CF757C"/>
    <w:rsid w:val="00D028F1"/>
    <w:rsid w:val="00D0423F"/>
    <w:rsid w:val="00D04275"/>
    <w:rsid w:val="00D0747D"/>
    <w:rsid w:val="00D16001"/>
    <w:rsid w:val="00D16F02"/>
    <w:rsid w:val="00D20749"/>
    <w:rsid w:val="00D221DF"/>
    <w:rsid w:val="00D30D84"/>
    <w:rsid w:val="00D35F1B"/>
    <w:rsid w:val="00D375D1"/>
    <w:rsid w:val="00D42007"/>
    <w:rsid w:val="00D4649A"/>
    <w:rsid w:val="00D47DAF"/>
    <w:rsid w:val="00D5630A"/>
    <w:rsid w:val="00D7550D"/>
    <w:rsid w:val="00D80937"/>
    <w:rsid w:val="00D818BC"/>
    <w:rsid w:val="00D84A2E"/>
    <w:rsid w:val="00D90F3A"/>
    <w:rsid w:val="00D91D81"/>
    <w:rsid w:val="00D97D74"/>
    <w:rsid w:val="00DA57F5"/>
    <w:rsid w:val="00DC53E7"/>
    <w:rsid w:val="00DC6DA9"/>
    <w:rsid w:val="00DE1D9F"/>
    <w:rsid w:val="00DF41EC"/>
    <w:rsid w:val="00E04340"/>
    <w:rsid w:val="00E10D26"/>
    <w:rsid w:val="00E15D0D"/>
    <w:rsid w:val="00E242A3"/>
    <w:rsid w:val="00E246FF"/>
    <w:rsid w:val="00E24BB2"/>
    <w:rsid w:val="00E25024"/>
    <w:rsid w:val="00E34215"/>
    <w:rsid w:val="00E41D22"/>
    <w:rsid w:val="00E514F0"/>
    <w:rsid w:val="00E534AB"/>
    <w:rsid w:val="00E53E8D"/>
    <w:rsid w:val="00E62EA4"/>
    <w:rsid w:val="00E63417"/>
    <w:rsid w:val="00E656E4"/>
    <w:rsid w:val="00E67A9A"/>
    <w:rsid w:val="00E73A8C"/>
    <w:rsid w:val="00E94B27"/>
    <w:rsid w:val="00E96071"/>
    <w:rsid w:val="00E96494"/>
    <w:rsid w:val="00EA022E"/>
    <w:rsid w:val="00EA4ABB"/>
    <w:rsid w:val="00EB2F53"/>
    <w:rsid w:val="00EB4A20"/>
    <w:rsid w:val="00EC0097"/>
    <w:rsid w:val="00EC35C1"/>
    <w:rsid w:val="00ED399F"/>
    <w:rsid w:val="00ED4D56"/>
    <w:rsid w:val="00ED6F73"/>
    <w:rsid w:val="00ED70AD"/>
    <w:rsid w:val="00ED7EE8"/>
    <w:rsid w:val="00EE1BD8"/>
    <w:rsid w:val="00EE1EF3"/>
    <w:rsid w:val="00EF2C65"/>
    <w:rsid w:val="00EF6898"/>
    <w:rsid w:val="00F00BE4"/>
    <w:rsid w:val="00F07CA4"/>
    <w:rsid w:val="00F17E72"/>
    <w:rsid w:val="00F25C83"/>
    <w:rsid w:val="00F416B3"/>
    <w:rsid w:val="00F46A9F"/>
    <w:rsid w:val="00F52CDF"/>
    <w:rsid w:val="00F52E2B"/>
    <w:rsid w:val="00F5344A"/>
    <w:rsid w:val="00F608E7"/>
    <w:rsid w:val="00F635C8"/>
    <w:rsid w:val="00F63913"/>
    <w:rsid w:val="00F70200"/>
    <w:rsid w:val="00F73AA4"/>
    <w:rsid w:val="00F74D79"/>
    <w:rsid w:val="00F8695C"/>
    <w:rsid w:val="00F927D9"/>
    <w:rsid w:val="00F97277"/>
    <w:rsid w:val="00FA6157"/>
    <w:rsid w:val="00FA671B"/>
    <w:rsid w:val="00FC0350"/>
    <w:rsid w:val="00FC1C66"/>
    <w:rsid w:val="00FC3D30"/>
    <w:rsid w:val="00FD3D99"/>
    <w:rsid w:val="00FD3DC6"/>
    <w:rsid w:val="00FE32E6"/>
    <w:rsid w:val="00FF35D3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D35D"/>
  <w15:docId w15:val="{3EBD6AAA-1F45-4380-A7C3-E350F1D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3B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41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C4DC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4DC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20655"/>
    <w:rPr>
      <w:color w:val="0000FF" w:themeColor="hyperlink"/>
      <w:u w:val="single"/>
    </w:rPr>
  </w:style>
  <w:style w:type="table" w:styleId="TableauGrille2">
    <w:name w:val="Grid Table 2"/>
    <w:basedOn w:val="TableauNormal"/>
    <w:uiPriority w:val="47"/>
    <w:rsid w:val="009664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474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rq.gouv.qc.ca/SiteCollectionDocuments/www.rrq.gouv.qc/Francais/publications/regime_rentes/1004f-evaluation-actuarielle-rrq-201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9FCBB7-DB8E-487D-8B04-219767A9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4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96</cp:revision>
  <cp:lastPrinted>2014-01-04T06:09:00Z</cp:lastPrinted>
  <dcterms:created xsi:type="dcterms:W3CDTF">2020-11-04T01:44:00Z</dcterms:created>
  <dcterms:modified xsi:type="dcterms:W3CDTF">2020-12-05T12:20:00Z</dcterms:modified>
</cp:coreProperties>
</file>