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b/>
          <w:color w:val="17365D"/>
          <w:sz w:val="40"/>
        </w:rPr>
        <w:t>CA1 Scenario 22: Regional Delivery Coordination Service</w:t>
      </w:r>
    </w:p>
    <w:p>
      <w:pPr>
        <w:spacing w:after="140"/>
        <w:jc w:val="center"/>
      </w:pPr>
      <w:r>
        <w:rPr>
          <w:b/>
          <w:color w:val="008A84"/>
        </w:rPr>
        <w:t>Scenario CA1-22-RDCS  |  Kerry Regional Distribution Network</w:t>
      </w:r>
    </w:p>
    <w:tbl>
      <w:tblPr>
        <w:tblW w:type="auto" w:w="0"/>
        <w:tblLook w:firstColumn="1" w:firstRow="1" w:lastColumn="0" w:lastRow="0" w:noHBand="0" w:noVBand="1" w:val="04A0"/>
      </w:tblPr>
      <w:tblGrid>
        <w:gridCol w:w="9866"/>
      </w:tblGrid>
      <w:tr>
        <w:tc>
          <w:tcPr>
            <w:tcW w:type="dxa" w:w="9866"/>
            <w:shd w:fill="EAF2F8"/>
            <w:tcMar>
              <w:top w:w="150" w:type="dxa"/>
              <w:start w:w="150" w:type="dxa"/>
              <w:bottom w:w="150" w:type="dxa"/>
              <w:end w:w="150" w:type="dxa"/>
            </w:tcMar>
          </w:tcPr>
          <w:p>
            <w:r>
              <w:rPr>
                <w:b/>
                <w:color w:val="17365D"/>
              </w:rPr>
              <w:t xml:space="preserve">How to use this scenario  </w:t>
            </w:r>
            <w:r>
              <w:t>This document provides the case evidence for your assigned CA1 analysis. Complete the work and submission described in the main CA1 specification. Where evidence is incomplete or inconsistent, identify the uncertainty rather than inventing a confirmed policy.</w:t>
            </w:r>
          </w:p>
        </w:tc>
      </w:tr>
    </w:tbl>
    <w:p>
      <w:pPr>
        <w:pStyle w:val="Heading2"/>
      </w:pPr>
      <w:r>
        <w:t>Organisation and current service</w:t>
      </w:r>
    </w:p>
    <w:p>
      <w:r>
        <w:t>Kerry Regional Distribution Network coordinates scheduled deliveries for several small producers and retailers. Goods are collected from local suppliers, consolidated at a depot and delivered to shops, hospitality businesses and community customers.</w:t>
      </w:r>
    </w:p>
    <w:p>
      <w:r>
        <w:t>Orders, collection notes, vehicle schedules and delivery outcomes are spread across spreadsheets, messages and paper manifests. Changes to quantities, addresses and timing are not always reflected in every copy.</w:t>
      </w:r>
    </w:p>
    <w:p>
      <w:pPr>
        <w:pStyle w:val="Heading2"/>
      </w:pPr>
      <w:r>
        <w:t>Delivery requests and consignments</w:t>
      </w:r>
    </w:p>
    <w:p>
      <w:r>
        <w:t>A delivery request identifies the customer, collection point, destination, goods, quantity, service date and any handling or timing requirement. One customer order may create several consignments, while one consignment may contain goods from several orders.</w:t>
      </w:r>
    </w:p>
    <w:p>
      <w:r>
        <w:t>Goods differ in size, weight, fragility and temperature needs. Information supplied by producers is sometimes incomplete until collection.</w:t>
      </w:r>
    </w:p>
    <w:p>
      <w:r>
        <w:t>Requests may be provisional while stock, customer availability or collection time is confirmed. Staff disagree when a provisional request should reserve vehicle capacity.</w:t>
      </w:r>
    </w:p>
    <w:p>
      <w:pPr>
        <w:pStyle w:val="Heading2"/>
      </w:pPr>
      <w:r>
        <w:t>Vehicles, drivers and route planning</w:t>
      </w:r>
    </w:p>
    <w:p>
      <w:r>
        <w:t>Vehicles have different capacity, access and temperature capabilities. Drivers have availability, licence and local-access constraints. A suitable vehicle can be free while no suitable driver is available.</w:t>
      </w:r>
    </w:p>
    <w:p>
      <w:r>
        <w:t>Routes combine collections and deliveries. Sequence depends on time windows, handling, vehicle loading and depot operations, not only distance. Late collection can disrupt several later stops.</w:t>
      </w:r>
    </w:p>
    <w:p>
      <w:r>
        <w:t>A route may be republished after changes, but drivers using printed manifests may retain an outdated version. Connectivity is unreliable in some rural areas.</w:t>
      </w:r>
    </w:p>
    <w:p>
      <w:pPr>
        <w:pStyle w:val="Heading2"/>
      </w:pPr>
      <w:r>
        <w:t>Depot handling and dispatch</w:t>
      </w:r>
    </w:p>
    <w:p>
      <w:r>
        <w:t>At collection or depot receipt, staff confirm the consignment, quantity, condition and labels. A difference may be accepted, held for clarification or rejected.</w:t>
      </w:r>
    </w:p>
    <w:p>
      <w:r>
        <w:t>Goods are assigned to a route and loading position. Similar consignments can be mixed, and an item can appear at the depot while still awaiting checking or route assignment.</w:t>
      </w:r>
    </w:p>
    <w:p>
      <w:r>
        <w:t>Before dispatch, staff confirm vehicle, driver, route, load and required documents. A route can be planned but not operationally ready.</w:t>
      </w:r>
    </w:p>
    <w:p>
      <w:pPr>
        <w:pStyle w:val="Heading2"/>
      </w:pPr>
      <w:r>
        <w:t>Disruption, delivery and follow-up</w:t>
      </w:r>
    </w:p>
    <w:p>
      <w:r>
        <w:t>Road closures, breakdowns, failed collections and unavailable recipients may cause resequencing, transfer, delay or return to depot. Staff need consistent status information for customers and producers.</w:t>
      </w:r>
    </w:p>
    <w:p>
      <w:r>
        <w:t>Drivers record delivery, partial delivery, refusal, damage or failed attempt. Returned goods may require inspection or producer instructions before another attempt.</w:t>
      </w:r>
    </w:p>
    <w:p>
      <w:r>
        <w:t>The coordinator needs information about provisional requests, capacity conflicts, late collections, route readiness, failed deliveries and returned goods. Live vehicle tracking, payments and fleet maintenance are outside scope.</w:t>
      </w:r>
    </w:p>
    <w:p>
      <w:pPr>
        <w:pStyle w:val="Heading2"/>
      </w:pPr>
      <w:r>
        <w:t>Stakeholder evidence</w:t>
      </w:r>
    </w:p>
    <w:p>
      <w:pPr>
        <w:pStyle w:val="ListBullet"/>
      </w:pPr>
      <w:r>
        <w:t>Route coordinator: “The shortest route is not always the workable loading and delivery sequence.”</w:t>
      </w:r>
    </w:p>
    <w:p>
      <w:pPr>
        <w:pStyle w:val="ListBullet"/>
      </w:pPr>
      <w:r>
        <w:t>Driver: “A printed manifest becomes risky when changes are made after departure.”</w:t>
      </w:r>
    </w:p>
    <w:p>
      <w:pPr>
        <w:pStyle w:val="ListBullet"/>
      </w:pPr>
      <w:r>
        <w:t>Producer: “The exact quantity may change before collection, but the vehicle still needs enough space.”</w:t>
      </w:r>
    </w:p>
    <w:p>
      <w:pPr>
        <w:pStyle w:val="ListBullet"/>
      </w:pPr>
      <w:r>
        <w:t>Depot worker: “At the depot does not mean checked and assigned to a route.”</w:t>
      </w:r>
    </w:p>
    <w:p>
      <w:pPr>
        <w:pStyle w:val="ListBullet"/>
      </w:pPr>
      <w:r>
        <w:t>Customer: “Tell me whether the delivery is delayed, transferred or returning another day.”</w:t>
      </w:r>
    </w:p>
    <w:p>
      <w:pPr>
        <w:pStyle w:val="ListBullet"/>
      </w:pPr>
      <w:r>
        <w:t>Fleet planner: “Vehicle availability and driver suitability must be considered together.”</w:t>
      </w:r>
    </w:p>
    <w:p>
      <w:pPr>
        <w:pStyle w:val="Heading2"/>
      </w:pPr>
      <w:r>
        <w:t>Unresolved matters</w:t>
      </w:r>
    </w:p>
    <w:p>
      <w:r>
        <w:t>The scenario does not confirm every policy or decision. Clarification may be required about:</w:t>
      </w:r>
    </w:p>
    <w:p>
      <w:pPr>
        <w:pStyle w:val="ListBullet"/>
      </w:pPr>
      <w:r>
        <w:t>when provisional requests reserve vehicle capacity;</w:t>
      </w:r>
    </w:p>
    <w:p>
      <w:pPr>
        <w:pStyle w:val="ListBullet"/>
      </w:pPr>
      <w:r>
        <w:t>which goods and handling information is required before planning;</w:t>
      </w:r>
    </w:p>
    <w:p>
      <w:pPr>
        <w:pStyle w:val="ListBullet"/>
      </w:pPr>
      <w:r>
        <w:t>how route versions should be controlled;</w:t>
      </w:r>
    </w:p>
    <w:p>
      <w:pPr>
        <w:pStyle w:val="ListBullet"/>
      </w:pPr>
      <w:r>
        <w:t>who may accept quantity or condition differences at collection;</w:t>
      </w:r>
    </w:p>
    <w:p>
      <w:pPr>
        <w:pStyle w:val="ListBullet"/>
      </w:pPr>
      <w:r>
        <w:t>when a planned route is ready for dispatch;</w:t>
      </w:r>
    </w:p>
    <w:p>
      <w:pPr>
        <w:pStyle w:val="ListBullet"/>
      </w:pPr>
      <w:r>
        <w:t>how failed and partial deliveries should be handled;</w:t>
      </w:r>
    </w:p>
    <w:p>
      <w:pPr>
        <w:pStyle w:val="ListBullet"/>
      </w:pPr>
      <w:r>
        <w:t>which order, producer and customer information drivers may see.</w:t>
      </w:r>
    </w:p>
    <w:tbl>
      <w:tblPr>
        <w:tblW w:type="auto" w:w="0"/>
        <w:tblLook w:firstColumn="1" w:firstRow="1" w:lastColumn="0" w:lastRow="0" w:noHBand="0" w:noVBand="1" w:val="04A0"/>
      </w:tblPr>
      <w:tblGrid>
        <w:gridCol w:w="9866"/>
      </w:tblGrid>
      <w:tr>
        <w:tc>
          <w:tcPr>
            <w:tcW w:type="dxa" w:w="9866"/>
            <w:shd w:fill="E8F5F3"/>
            <w:tcMar>
              <w:top w:w="150" w:type="dxa"/>
              <w:start w:w="150" w:type="dxa"/>
              <w:bottom w:w="150" w:type="dxa"/>
              <w:end w:w="150" w:type="dxa"/>
            </w:tcMar>
          </w:tcPr>
          <w:p>
            <w:r>
              <w:rPr>
                <w:b/>
                <w:color w:val="17365D"/>
              </w:rPr>
              <w:t xml:space="preserve">Important  </w:t>
            </w:r>
            <w:r>
              <w:t>Use scenario evidence, state temporary assumptions clearly, and identify questions or risks where stakeholder confirmation is required.</w:t>
            </w:r>
          </w:p>
        </w:tc>
      </w:tr>
    </w:tbl>
    <w:sectPr w:rsidR="00FC693F" w:rsidRPr="0006063C" w:rsidSect="00034616">
      <w:headerReference w:type="default" r:id="rId9"/>
      <w:footerReference w:type="default" r:id="rId10"/>
      <w:pgSz w:w="11906" w:h="16838"/>
      <w:pgMar w:top="850"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Scenario 22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SAAD71000  |  CA1 Scenario 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008A8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SAAD71000 CA1 Scenario 22: Regional Delivery Coordination Service</dc:title>
  <dc:subject/>
  <dc:creator>Andrew Shields</dc:creator>
  <keywords/>
  <dc:description>generated by python-docx</dc:description>
  <lastModifiedBy>Andrew Shields</lastModifiedBy>
  <revision>1</revision>
  <dcterms:created xsi:type="dcterms:W3CDTF">2026-10-02T21:32:24.0963600Z</dcterms:created>
  <dcterms:modified xsi:type="dcterms:W3CDTF">2026-10-02T21:32:24.0963600Z</dcterms:modified>
  <category/>
</coreProperties>
</file>