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011C" w:rsidRPr="00EA011C" w:rsidRDefault="00EA011C" w:rsidP="00EA011C">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0" w:name="_GoBack"/>
      <w:proofErr w:type="spellStart"/>
      <w:r w:rsidRPr="00EA011C">
        <w:rPr>
          <w:rFonts w:ascii="Times New Roman" w:eastAsia="Times New Roman" w:hAnsi="Times New Roman" w:cs="Times New Roman"/>
          <w:b/>
          <w:bCs/>
          <w:kern w:val="36"/>
          <w:sz w:val="48"/>
          <w:szCs w:val="48"/>
        </w:rPr>
        <w:t>Botium</w:t>
      </w:r>
      <w:proofErr w:type="spellEnd"/>
      <w:r w:rsidRPr="00EA011C">
        <w:rPr>
          <w:rFonts w:ascii="Times New Roman" w:eastAsia="Times New Roman" w:hAnsi="Times New Roman" w:cs="Times New Roman"/>
          <w:b/>
          <w:bCs/>
          <w:kern w:val="36"/>
          <w:sz w:val="48"/>
          <w:szCs w:val="48"/>
        </w:rPr>
        <w:t xml:space="preserve"> Toys – Final Security Audit Report</w:t>
      </w:r>
    </w:p>
    <w:bookmarkEnd w:id="0"/>
    <w:p w:rsidR="008E1F43" w:rsidRPr="00EA011C" w:rsidRDefault="00EA011C" w:rsidP="00EA011C">
      <w:pPr>
        <w:spacing w:before="100" w:beforeAutospacing="1" w:after="100" w:afterAutospacing="1" w:line="240" w:lineRule="auto"/>
        <w:rPr>
          <w:rFonts w:ascii="Times New Roman" w:eastAsia="Times New Roman" w:hAnsi="Times New Roman" w:cs="Times New Roman"/>
          <w:sz w:val="24"/>
          <w:szCs w:val="24"/>
        </w:rPr>
      </w:pPr>
      <w:r w:rsidRPr="00EA011C">
        <w:rPr>
          <w:rFonts w:ascii="Times New Roman" w:eastAsia="Times New Roman" w:hAnsi="Times New Roman" w:cs="Times New Roman"/>
          <w:b/>
          <w:bCs/>
          <w:sz w:val="24"/>
          <w:szCs w:val="24"/>
        </w:rPr>
        <w:t>Prepared by:</w:t>
      </w:r>
      <w:r w:rsidRPr="00EA011C">
        <w:rPr>
          <w:rFonts w:ascii="Times New Roman" w:eastAsia="Times New Roman" w:hAnsi="Times New Roman" w:cs="Times New Roman"/>
          <w:sz w:val="24"/>
          <w:szCs w:val="24"/>
        </w:rPr>
        <w:t xml:space="preserve"> </w:t>
      </w:r>
      <w:proofErr w:type="spellStart"/>
      <w:r w:rsidRPr="00EA011C">
        <w:rPr>
          <w:rFonts w:ascii="Times New Roman" w:eastAsia="Times New Roman" w:hAnsi="Times New Roman" w:cs="Times New Roman"/>
          <w:sz w:val="24"/>
          <w:szCs w:val="24"/>
        </w:rPr>
        <w:t>Tsegbemi</w:t>
      </w:r>
      <w:proofErr w:type="spellEnd"/>
      <w:r w:rsidRPr="00EA011C">
        <w:rPr>
          <w:rFonts w:ascii="Times New Roman" w:eastAsia="Times New Roman" w:hAnsi="Times New Roman" w:cs="Times New Roman"/>
          <w:sz w:val="24"/>
          <w:szCs w:val="24"/>
        </w:rPr>
        <w:t xml:space="preserve"> </w:t>
      </w:r>
      <w:proofErr w:type="spellStart"/>
      <w:r w:rsidRPr="00EA011C">
        <w:rPr>
          <w:rFonts w:ascii="Times New Roman" w:eastAsia="Times New Roman" w:hAnsi="Times New Roman" w:cs="Times New Roman"/>
          <w:sz w:val="24"/>
          <w:szCs w:val="24"/>
        </w:rPr>
        <w:t>Oghenetega</w:t>
      </w:r>
      <w:proofErr w:type="spellEnd"/>
      <w:r w:rsidRPr="00EA011C">
        <w:rPr>
          <w:rFonts w:ascii="Times New Roman" w:eastAsia="Times New Roman" w:hAnsi="Times New Roman" w:cs="Times New Roman"/>
          <w:sz w:val="24"/>
          <w:szCs w:val="24"/>
        </w:rPr>
        <w:t xml:space="preserve"> Ukubeyinje</w:t>
      </w:r>
      <w:r w:rsidRPr="00EA011C">
        <w:rPr>
          <w:rFonts w:ascii="Times New Roman" w:eastAsia="Times New Roman" w:hAnsi="Times New Roman" w:cs="Times New Roman"/>
          <w:sz w:val="24"/>
          <w:szCs w:val="24"/>
        </w:rPr>
        <w:br/>
      </w:r>
      <w:r w:rsidRPr="00EA011C">
        <w:rPr>
          <w:rFonts w:ascii="Times New Roman" w:eastAsia="Times New Roman" w:hAnsi="Times New Roman" w:cs="Times New Roman"/>
          <w:b/>
          <w:bCs/>
          <w:sz w:val="24"/>
          <w:szCs w:val="24"/>
        </w:rPr>
        <w:t>Date:</w:t>
      </w:r>
      <w:r w:rsidRPr="00EA011C">
        <w:rPr>
          <w:rFonts w:ascii="Times New Roman" w:eastAsia="Times New Roman" w:hAnsi="Times New Roman" w:cs="Times New Roman"/>
          <w:sz w:val="24"/>
          <w:szCs w:val="24"/>
        </w:rPr>
        <w:t xml:space="preserve"> April 23, 2025</w:t>
      </w:r>
    </w:p>
    <w:p w:rsidR="00EA011C" w:rsidRDefault="00EA011C" w:rsidP="00EA011C">
      <w:pPr>
        <w:pStyle w:val="Heading2"/>
      </w:pPr>
      <w:r>
        <w:rPr>
          <w:rStyle w:val="Strong"/>
          <w:b w:val="0"/>
          <w:bCs w:val="0"/>
        </w:rPr>
        <w:t>Executive Summary</w:t>
      </w:r>
    </w:p>
    <w:p w:rsidR="00EA011C" w:rsidRDefault="00EA011C" w:rsidP="00EA011C">
      <w:pPr>
        <w:spacing w:before="100" w:beforeAutospacing="1" w:after="100" w:afterAutospacing="1"/>
      </w:pPr>
      <w:r>
        <w:t xml:space="preserve">Following a recent security audit of </w:t>
      </w:r>
      <w:proofErr w:type="spellStart"/>
      <w:r>
        <w:t>Botium</w:t>
      </w:r>
      <w:proofErr w:type="spellEnd"/>
      <w:r>
        <w:t xml:space="preserve"> Toys, several critical gaps were identified in the company’s technical controls and compliance practices. This report outlines prioritized recommendations aligned with frameworks such as NIST CSF, PCI DSS, GDPR, and SOC 2. Timely implementation of these measures is essential to reduce organizational risk, prevent data breaches, and maintain regulatory compliance.</w:t>
      </w:r>
    </w:p>
    <w:p w:rsidR="00EA011C" w:rsidRDefault="00EA011C" w:rsidP="00EA011C">
      <w:pPr>
        <w:spacing w:after="0"/>
      </w:pPr>
      <w:r>
        <w:pict>
          <v:rect id="_x0000_i1025" style="width:0;height:1.5pt" o:hralign="center" o:hrstd="t" o:hr="t" fillcolor="#a0a0a0" stroked="f"/>
        </w:pict>
      </w:r>
    </w:p>
    <w:p w:rsidR="00EA011C" w:rsidRDefault="00EA011C" w:rsidP="00EA011C">
      <w:pPr>
        <w:pStyle w:val="Heading2"/>
      </w:pPr>
      <w:r>
        <w:rPr>
          <w:rStyle w:val="Strong"/>
          <w:b w:val="0"/>
          <w:bCs w:val="0"/>
        </w:rPr>
        <w:t>Scope and Goals</w:t>
      </w:r>
    </w:p>
    <w:p w:rsidR="00EA011C" w:rsidRDefault="00EA011C" w:rsidP="00EA011C">
      <w:pPr>
        <w:spacing w:before="100" w:beforeAutospacing="1" w:after="100" w:afterAutospacing="1"/>
      </w:pPr>
      <w:r>
        <w:rPr>
          <w:rStyle w:val="Strong"/>
        </w:rPr>
        <w:t>Scope:</w:t>
      </w:r>
      <w:r>
        <w:br/>
        <w:t xml:space="preserve">The scope of this audit encompasses </w:t>
      </w:r>
      <w:proofErr w:type="spellStart"/>
      <w:r>
        <w:t>Botium</w:t>
      </w:r>
      <w:proofErr w:type="spellEnd"/>
      <w:r>
        <w:t xml:space="preserve"> Toys’ entire security program, including IT-managed assets, internal systems, </w:t>
      </w:r>
      <w:proofErr w:type="spellStart"/>
      <w:r>
        <w:t>on-premise</w:t>
      </w:r>
      <w:proofErr w:type="spellEnd"/>
      <w:r>
        <w:t xml:space="preserve"> and remote infrastructure, data storage, and network operations.</w:t>
      </w:r>
    </w:p>
    <w:p w:rsidR="00EA011C" w:rsidRDefault="00EA011C" w:rsidP="00EA011C">
      <w:pPr>
        <w:spacing w:before="100" w:beforeAutospacing="1" w:after="100" w:afterAutospacing="1"/>
      </w:pPr>
      <w:r>
        <w:rPr>
          <w:rStyle w:val="Strong"/>
        </w:rPr>
        <w:t>Goals:</w:t>
      </w:r>
    </w:p>
    <w:p w:rsidR="00EA011C" w:rsidRDefault="00EA011C" w:rsidP="00EA011C">
      <w:pPr>
        <w:numPr>
          <w:ilvl w:val="0"/>
          <w:numId w:val="3"/>
        </w:numPr>
        <w:spacing w:before="100" w:beforeAutospacing="1" w:after="100" w:afterAutospacing="1" w:line="240" w:lineRule="auto"/>
      </w:pPr>
      <w:r>
        <w:t>Identify and assess current assets</w:t>
      </w:r>
    </w:p>
    <w:p w:rsidR="00EA011C" w:rsidRDefault="00EA011C" w:rsidP="00EA011C">
      <w:pPr>
        <w:numPr>
          <w:ilvl w:val="0"/>
          <w:numId w:val="3"/>
        </w:numPr>
        <w:spacing w:before="100" w:beforeAutospacing="1" w:after="100" w:afterAutospacing="1" w:line="240" w:lineRule="auto"/>
      </w:pPr>
      <w:r>
        <w:t>Evaluate technical, administrative, and physical controls</w:t>
      </w:r>
    </w:p>
    <w:p w:rsidR="00EA011C" w:rsidRDefault="00EA011C" w:rsidP="00EA011C">
      <w:pPr>
        <w:numPr>
          <w:ilvl w:val="0"/>
          <w:numId w:val="3"/>
        </w:numPr>
        <w:spacing w:before="100" w:beforeAutospacing="1" w:after="100" w:afterAutospacing="1" w:line="240" w:lineRule="auto"/>
      </w:pPr>
      <w:r>
        <w:t>Identify compliance gaps and assign risk scores</w:t>
      </w:r>
    </w:p>
    <w:p w:rsidR="00EA011C" w:rsidRDefault="00EA011C" w:rsidP="00EA011C">
      <w:pPr>
        <w:numPr>
          <w:ilvl w:val="0"/>
          <w:numId w:val="3"/>
        </w:numPr>
        <w:spacing w:before="100" w:beforeAutospacing="1" w:after="100" w:afterAutospacing="1" w:line="240" w:lineRule="auto"/>
      </w:pPr>
      <w:r>
        <w:t>Recommend improvements to enhance security posture</w:t>
      </w:r>
    </w:p>
    <w:p w:rsidR="00EA011C" w:rsidRDefault="00EA011C" w:rsidP="00EA011C">
      <w:pPr>
        <w:spacing w:after="0"/>
      </w:pPr>
      <w:r>
        <w:pict>
          <v:rect id="_x0000_i1027" style="width:0;height:1.5pt" o:hralign="center" o:hrstd="t" o:hr="t" fillcolor="#a0a0a0" stroked="f"/>
        </w:pict>
      </w:r>
    </w:p>
    <w:p w:rsidR="00EA011C" w:rsidRDefault="00EA011C" w:rsidP="00EA011C">
      <w:pPr>
        <w:pStyle w:val="Heading2"/>
      </w:pPr>
      <w:r>
        <w:rPr>
          <w:rStyle w:val="Strong"/>
          <w:b w:val="0"/>
          <w:bCs w:val="0"/>
        </w:rPr>
        <w:t>Risk Assessment Summary</w:t>
      </w:r>
    </w:p>
    <w:p w:rsidR="00EA011C" w:rsidRDefault="00EA011C" w:rsidP="00EA011C">
      <w:pPr>
        <w:numPr>
          <w:ilvl w:val="0"/>
          <w:numId w:val="4"/>
        </w:numPr>
        <w:spacing w:before="100" w:beforeAutospacing="1" w:after="100" w:afterAutospacing="1" w:line="240" w:lineRule="auto"/>
      </w:pPr>
      <w:r>
        <w:rPr>
          <w:rStyle w:val="Strong"/>
        </w:rPr>
        <w:t>Risk Score:</w:t>
      </w:r>
      <w:r>
        <w:t xml:space="preserve"> 8/10 (High)</w:t>
      </w:r>
    </w:p>
    <w:p w:rsidR="00EA011C" w:rsidRDefault="00EA011C" w:rsidP="00EA011C">
      <w:pPr>
        <w:numPr>
          <w:ilvl w:val="0"/>
          <w:numId w:val="4"/>
        </w:numPr>
        <w:spacing w:before="100" w:beforeAutospacing="1" w:after="100" w:afterAutospacing="1" w:line="240" w:lineRule="auto"/>
      </w:pPr>
      <w:r>
        <w:rPr>
          <w:rStyle w:val="Strong"/>
        </w:rPr>
        <w:t>Key Issues Identified:</w:t>
      </w:r>
    </w:p>
    <w:p w:rsidR="00EA011C" w:rsidRDefault="00EA011C" w:rsidP="00EA011C">
      <w:pPr>
        <w:numPr>
          <w:ilvl w:val="1"/>
          <w:numId w:val="4"/>
        </w:numPr>
        <w:spacing w:before="100" w:beforeAutospacing="1" w:after="100" w:afterAutospacing="1" w:line="240" w:lineRule="auto"/>
      </w:pPr>
      <w:r>
        <w:t>Inadequate asset classification and inventory</w:t>
      </w:r>
    </w:p>
    <w:p w:rsidR="00EA011C" w:rsidRDefault="00EA011C" w:rsidP="00EA011C">
      <w:pPr>
        <w:numPr>
          <w:ilvl w:val="1"/>
          <w:numId w:val="4"/>
        </w:numPr>
        <w:spacing w:before="100" w:beforeAutospacing="1" w:after="100" w:afterAutospacing="1" w:line="240" w:lineRule="auto"/>
      </w:pPr>
      <w:r>
        <w:t>Absence of key security controls (IDS, backups, encryption)</w:t>
      </w:r>
    </w:p>
    <w:p w:rsidR="00EA011C" w:rsidRDefault="00EA011C" w:rsidP="00EA011C">
      <w:pPr>
        <w:numPr>
          <w:ilvl w:val="1"/>
          <w:numId w:val="4"/>
        </w:numPr>
        <w:spacing w:before="100" w:beforeAutospacing="1" w:after="100" w:afterAutospacing="1" w:line="240" w:lineRule="auto"/>
      </w:pPr>
      <w:r>
        <w:t>Non-compliance with GDPR and PCI DSS standards</w:t>
      </w:r>
    </w:p>
    <w:p w:rsidR="00EA011C" w:rsidRDefault="00EA011C" w:rsidP="00EA011C">
      <w:pPr>
        <w:numPr>
          <w:ilvl w:val="1"/>
          <w:numId w:val="4"/>
        </w:numPr>
        <w:spacing w:before="100" w:beforeAutospacing="1" w:after="100" w:afterAutospacing="1" w:line="240" w:lineRule="auto"/>
      </w:pPr>
      <w:r>
        <w:t>Weak password policies and no centralized password management</w:t>
      </w:r>
    </w:p>
    <w:p w:rsidR="00EA011C" w:rsidRDefault="00EA011C" w:rsidP="00EA011C">
      <w:pPr>
        <w:spacing w:after="0"/>
      </w:pPr>
      <w:r>
        <w:pict>
          <v:rect id="_x0000_i1028" style="width:0;height:1.5pt" o:hralign="center" o:hrstd="t" o:hr="t" fillcolor="#a0a0a0" stroked="f"/>
        </w:pict>
      </w:r>
    </w:p>
    <w:p w:rsidR="00EA011C" w:rsidRDefault="00EA011C" w:rsidP="00EA011C">
      <w:pPr>
        <w:pStyle w:val="Heading2"/>
      </w:pPr>
      <w:r>
        <w:rPr>
          <w:rStyle w:val="Strong"/>
          <w:b w:val="0"/>
          <w:bCs w:val="0"/>
        </w:rPr>
        <w:t>High-Priority Recommendations (Immediate Action)</w:t>
      </w:r>
    </w:p>
    <w:p w:rsidR="00EA011C" w:rsidRDefault="00EA011C" w:rsidP="00EA011C">
      <w:pPr>
        <w:numPr>
          <w:ilvl w:val="0"/>
          <w:numId w:val="5"/>
        </w:numPr>
        <w:spacing w:before="100" w:beforeAutospacing="1" w:after="100" w:afterAutospacing="1" w:line="240" w:lineRule="auto"/>
      </w:pPr>
      <w:r>
        <w:rPr>
          <w:rStyle w:val="Strong"/>
        </w:rPr>
        <w:t>Intrusion Detection System (IDS)</w:t>
      </w:r>
      <w:r>
        <w:br/>
      </w:r>
      <w:r>
        <w:rPr>
          <w:rStyle w:val="Emphasis"/>
        </w:rPr>
        <w:t>Risk:</w:t>
      </w:r>
      <w:r>
        <w:t xml:space="preserve"> Breaches may go undetected.</w:t>
      </w:r>
      <w:r>
        <w:br/>
      </w:r>
      <w:r>
        <w:rPr>
          <w:rStyle w:val="Emphasis"/>
        </w:rPr>
        <w:t>Recommendation:</w:t>
      </w:r>
      <w:r>
        <w:t xml:space="preserve"> Deploy a network-based IDS for real-time monitoring.</w:t>
      </w:r>
    </w:p>
    <w:p w:rsidR="00EA011C" w:rsidRDefault="00EA011C" w:rsidP="00EA011C">
      <w:pPr>
        <w:numPr>
          <w:ilvl w:val="0"/>
          <w:numId w:val="5"/>
        </w:numPr>
        <w:spacing w:before="100" w:beforeAutospacing="1" w:after="100" w:afterAutospacing="1" w:line="240" w:lineRule="auto"/>
      </w:pPr>
      <w:r>
        <w:rPr>
          <w:rStyle w:val="Strong"/>
        </w:rPr>
        <w:lastRenderedPageBreak/>
        <w:t>Data Encryption</w:t>
      </w:r>
      <w:r>
        <w:br/>
      </w:r>
      <w:r>
        <w:rPr>
          <w:rStyle w:val="Emphasis"/>
        </w:rPr>
        <w:t>Risk:</w:t>
      </w:r>
      <w:r>
        <w:t xml:space="preserve"> Sensitive customer/payment data exposed.</w:t>
      </w:r>
      <w:r>
        <w:br/>
      </w:r>
      <w:r>
        <w:rPr>
          <w:rStyle w:val="Emphasis"/>
        </w:rPr>
        <w:t>Recommendation:</w:t>
      </w:r>
      <w:r>
        <w:t xml:space="preserve"> Encrypt data at rest and in transit across all systems.</w:t>
      </w:r>
    </w:p>
    <w:p w:rsidR="00EA011C" w:rsidRDefault="00EA011C" w:rsidP="00EA011C">
      <w:pPr>
        <w:numPr>
          <w:ilvl w:val="0"/>
          <w:numId w:val="5"/>
        </w:numPr>
        <w:spacing w:before="100" w:beforeAutospacing="1" w:after="100" w:afterAutospacing="1" w:line="240" w:lineRule="auto"/>
      </w:pPr>
      <w:r>
        <w:rPr>
          <w:rStyle w:val="Strong"/>
        </w:rPr>
        <w:t>Password Management System</w:t>
      </w:r>
      <w:r>
        <w:br/>
      </w:r>
      <w:r>
        <w:rPr>
          <w:rStyle w:val="Emphasis"/>
        </w:rPr>
        <w:t>Risk:</w:t>
      </w:r>
      <w:r>
        <w:t xml:space="preserve"> Vulnerability due to reused/weak passwords.</w:t>
      </w:r>
      <w:r>
        <w:br/>
      </w:r>
      <w:r>
        <w:rPr>
          <w:rStyle w:val="Emphasis"/>
        </w:rPr>
        <w:t>Recommendation:</w:t>
      </w:r>
      <w:r>
        <w:t xml:space="preserve"> Implement a centralized password manager with MFA.</w:t>
      </w:r>
    </w:p>
    <w:p w:rsidR="00EA011C" w:rsidRDefault="00EA011C" w:rsidP="00EA011C">
      <w:pPr>
        <w:numPr>
          <w:ilvl w:val="0"/>
          <w:numId w:val="5"/>
        </w:numPr>
        <w:spacing w:before="100" w:beforeAutospacing="1" w:after="100" w:afterAutospacing="1" w:line="240" w:lineRule="auto"/>
      </w:pPr>
      <w:r>
        <w:rPr>
          <w:rStyle w:val="Strong"/>
        </w:rPr>
        <w:t>Disaster Recovery Plan</w:t>
      </w:r>
      <w:r>
        <w:br/>
      </w:r>
      <w:r>
        <w:rPr>
          <w:rStyle w:val="Emphasis"/>
        </w:rPr>
        <w:t>Risk:</w:t>
      </w:r>
      <w:r>
        <w:t xml:space="preserve"> Prolonged downtime and data loss during incidents.</w:t>
      </w:r>
      <w:r>
        <w:br/>
      </w:r>
      <w:r>
        <w:rPr>
          <w:rStyle w:val="Emphasis"/>
        </w:rPr>
        <w:t>Recommendation:</w:t>
      </w:r>
      <w:r>
        <w:t xml:space="preserve"> Develop, test, and regularly update a DR plan.</w:t>
      </w:r>
    </w:p>
    <w:p w:rsidR="00EA011C" w:rsidRDefault="00EA011C" w:rsidP="00EA011C">
      <w:pPr>
        <w:numPr>
          <w:ilvl w:val="0"/>
          <w:numId w:val="5"/>
        </w:numPr>
        <w:spacing w:before="100" w:beforeAutospacing="1" w:after="100" w:afterAutospacing="1" w:line="240" w:lineRule="auto"/>
      </w:pPr>
      <w:r>
        <w:rPr>
          <w:rStyle w:val="Strong"/>
        </w:rPr>
        <w:t>GDPR Compliance Implementation</w:t>
      </w:r>
      <w:r>
        <w:br/>
      </w:r>
      <w:r>
        <w:rPr>
          <w:rStyle w:val="Emphasis"/>
        </w:rPr>
        <w:t>Risk:</w:t>
      </w:r>
      <w:r>
        <w:t xml:space="preserve"> Legal/regulatory penalties for data mishandling.</w:t>
      </w:r>
      <w:r>
        <w:br/>
      </w:r>
      <w:r>
        <w:rPr>
          <w:rStyle w:val="Emphasis"/>
        </w:rPr>
        <w:t>Recommendation:</w:t>
      </w:r>
      <w:r>
        <w:t xml:space="preserve"> Finalize data classification and breach protocols.</w:t>
      </w:r>
    </w:p>
    <w:p w:rsidR="00EA011C" w:rsidRDefault="00EA011C" w:rsidP="00EA011C">
      <w:pPr>
        <w:spacing w:after="0"/>
      </w:pPr>
      <w:r>
        <w:pict>
          <v:rect id="_x0000_i1029" style="width:0;height:1.5pt" o:hralign="center" o:hrstd="t" o:hr="t" fillcolor="#a0a0a0" stroked="f"/>
        </w:pict>
      </w:r>
    </w:p>
    <w:p w:rsidR="00EA011C" w:rsidRDefault="00EA011C" w:rsidP="00EA011C">
      <w:pPr>
        <w:pStyle w:val="Heading2"/>
      </w:pPr>
      <w:r>
        <w:rPr>
          <w:rStyle w:val="Strong"/>
          <w:b w:val="0"/>
          <w:bCs w:val="0"/>
        </w:rPr>
        <w:t>Medium-Priority Recommendations (3–6 Months)</w:t>
      </w:r>
    </w:p>
    <w:p w:rsidR="00EA011C" w:rsidRDefault="00EA011C" w:rsidP="00EA011C">
      <w:pPr>
        <w:numPr>
          <w:ilvl w:val="0"/>
          <w:numId w:val="6"/>
        </w:numPr>
        <w:spacing w:before="100" w:beforeAutospacing="1" w:after="100" w:afterAutospacing="1" w:line="240" w:lineRule="auto"/>
      </w:pPr>
      <w:r>
        <w:rPr>
          <w:rStyle w:val="Strong"/>
        </w:rPr>
        <w:t>Legacy System Maintenance</w:t>
      </w:r>
      <w:r>
        <w:br/>
      </w:r>
      <w:r>
        <w:rPr>
          <w:rStyle w:val="Emphasis"/>
        </w:rPr>
        <w:t>Recommendation:</w:t>
      </w:r>
      <w:r>
        <w:t xml:space="preserve"> Set a formal schedule for patching and manual monitoring.</w:t>
      </w:r>
    </w:p>
    <w:p w:rsidR="00EA011C" w:rsidRDefault="00EA011C" w:rsidP="00EA011C">
      <w:pPr>
        <w:numPr>
          <w:ilvl w:val="0"/>
          <w:numId w:val="6"/>
        </w:numPr>
        <w:spacing w:before="100" w:beforeAutospacing="1" w:after="100" w:afterAutospacing="1" w:line="240" w:lineRule="auto"/>
      </w:pPr>
      <w:r>
        <w:rPr>
          <w:rStyle w:val="Strong"/>
        </w:rPr>
        <w:t>Separation of Duties</w:t>
      </w:r>
      <w:r>
        <w:br/>
      </w:r>
      <w:r>
        <w:rPr>
          <w:rStyle w:val="Emphasis"/>
        </w:rPr>
        <w:t>Recommendation:</w:t>
      </w:r>
      <w:r>
        <w:t xml:space="preserve"> Enforce access boundaries to reduce insider risk.</w:t>
      </w:r>
    </w:p>
    <w:p w:rsidR="00EA011C" w:rsidRDefault="00EA011C" w:rsidP="00EA011C">
      <w:pPr>
        <w:numPr>
          <w:ilvl w:val="0"/>
          <w:numId w:val="6"/>
        </w:numPr>
        <w:spacing w:before="100" w:beforeAutospacing="1" w:after="100" w:afterAutospacing="1" w:line="240" w:lineRule="auto"/>
      </w:pPr>
      <w:r>
        <w:rPr>
          <w:rStyle w:val="Strong"/>
        </w:rPr>
        <w:t>SOC 2 Control Alignment</w:t>
      </w:r>
      <w:r>
        <w:br/>
      </w:r>
      <w:r>
        <w:rPr>
          <w:rStyle w:val="Emphasis"/>
        </w:rPr>
        <w:t>Recommendation:</w:t>
      </w:r>
      <w:r>
        <w:t xml:space="preserve"> Establish policies for user access, availability, and data integrity.</w:t>
      </w:r>
    </w:p>
    <w:p w:rsidR="00EA011C" w:rsidRDefault="00EA011C" w:rsidP="00EA011C">
      <w:pPr>
        <w:spacing w:after="0"/>
      </w:pPr>
      <w:r>
        <w:pict>
          <v:rect id="_x0000_i1030" style="width:0;height:1.5pt" o:hralign="center" o:hrstd="t" o:hr="t" fillcolor="#a0a0a0" stroked="f"/>
        </w:pict>
      </w:r>
    </w:p>
    <w:p w:rsidR="00EA011C" w:rsidRDefault="00EA011C" w:rsidP="00EA011C">
      <w:pPr>
        <w:pStyle w:val="Heading2"/>
      </w:pPr>
      <w:r>
        <w:rPr>
          <w:rStyle w:val="Strong"/>
          <w:b w:val="0"/>
          <w:bCs w:val="0"/>
        </w:rPr>
        <w:t>Compliance Best Practices</w:t>
      </w:r>
    </w:p>
    <w:p w:rsidR="00EA011C" w:rsidRDefault="00EA011C" w:rsidP="00EA011C">
      <w:pPr>
        <w:pStyle w:val="Heading3"/>
      </w:pPr>
      <w:r>
        <w:rPr>
          <w:rStyle w:val="Strong"/>
          <w:b/>
          <w:bCs/>
        </w:rPr>
        <w:t>PCI DSS Enhancements</w:t>
      </w:r>
    </w:p>
    <w:p w:rsidR="00EA011C" w:rsidRDefault="00EA011C" w:rsidP="00EA011C">
      <w:pPr>
        <w:numPr>
          <w:ilvl w:val="0"/>
          <w:numId w:val="7"/>
        </w:numPr>
        <w:spacing w:before="100" w:beforeAutospacing="1" w:after="100" w:afterAutospacing="1" w:line="240" w:lineRule="auto"/>
      </w:pPr>
      <w:r>
        <w:t>Restrict access to credit card data</w:t>
      </w:r>
    </w:p>
    <w:p w:rsidR="00EA011C" w:rsidRDefault="00EA011C" w:rsidP="00EA011C">
      <w:pPr>
        <w:numPr>
          <w:ilvl w:val="0"/>
          <w:numId w:val="7"/>
        </w:numPr>
        <w:spacing w:before="100" w:beforeAutospacing="1" w:after="100" w:afterAutospacing="1" w:line="240" w:lineRule="auto"/>
      </w:pPr>
      <w:r>
        <w:t>Encrypt transaction data</w:t>
      </w:r>
    </w:p>
    <w:p w:rsidR="00EA011C" w:rsidRDefault="00EA011C" w:rsidP="00EA011C">
      <w:pPr>
        <w:numPr>
          <w:ilvl w:val="0"/>
          <w:numId w:val="7"/>
        </w:numPr>
        <w:spacing w:before="100" w:beforeAutospacing="1" w:after="100" w:afterAutospacing="1" w:line="240" w:lineRule="auto"/>
      </w:pPr>
      <w:r>
        <w:t>Apply secure password practices</w:t>
      </w:r>
    </w:p>
    <w:p w:rsidR="00EA011C" w:rsidRDefault="00EA011C" w:rsidP="00EA011C">
      <w:pPr>
        <w:pStyle w:val="Heading3"/>
      </w:pPr>
      <w:r>
        <w:rPr>
          <w:rStyle w:val="Strong"/>
          <w:b/>
          <w:bCs/>
        </w:rPr>
        <w:t>GDPR Improvements</w:t>
      </w:r>
    </w:p>
    <w:p w:rsidR="00EA011C" w:rsidRDefault="00EA011C" w:rsidP="00EA011C">
      <w:pPr>
        <w:numPr>
          <w:ilvl w:val="0"/>
          <w:numId w:val="8"/>
        </w:numPr>
        <w:spacing w:before="100" w:beforeAutospacing="1" w:after="100" w:afterAutospacing="1" w:line="240" w:lineRule="auto"/>
      </w:pPr>
      <w:r>
        <w:t>Classify and inventory E.U. customer data</w:t>
      </w:r>
    </w:p>
    <w:p w:rsidR="00EA011C" w:rsidRDefault="00EA011C" w:rsidP="00EA011C">
      <w:pPr>
        <w:numPr>
          <w:ilvl w:val="0"/>
          <w:numId w:val="8"/>
        </w:numPr>
        <w:spacing w:before="100" w:beforeAutospacing="1" w:after="100" w:afterAutospacing="1" w:line="240" w:lineRule="auto"/>
      </w:pPr>
      <w:r>
        <w:t>Ensure 72-hour breach notification readiness</w:t>
      </w:r>
    </w:p>
    <w:p w:rsidR="00EA011C" w:rsidRDefault="00EA011C" w:rsidP="00EA011C">
      <w:pPr>
        <w:numPr>
          <w:ilvl w:val="0"/>
          <w:numId w:val="8"/>
        </w:numPr>
        <w:spacing w:before="100" w:beforeAutospacing="1" w:after="100" w:afterAutospacing="1" w:line="240" w:lineRule="auto"/>
      </w:pPr>
      <w:r>
        <w:t>Document data handling procedures</w:t>
      </w:r>
    </w:p>
    <w:p w:rsidR="00EA011C" w:rsidRDefault="00EA011C" w:rsidP="00EA011C">
      <w:pPr>
        <w:spacing w:before="100" w:beforeAutospacing="1" w:after="100" w:afterAutospacing="1" w:line="240" w:lineRule="auto"/>
        <w:ind w:left="720"/>
      </w:pPr>
    </w:p>
    <w:p w:rsidR="00EA011C" w:rsidRDefault="00EA011C" w:rsidP="00EA011C">
      <w:pPr>
        <w:spacing w:before="100" w:beforeAutospacing="1" w:after="100" w:afterAutospacing="1" w:line="240" w:lineRule="auto"/>
        <w:ind w:left="720"/>
      </w:pPr>
    </w:p>
    <w:p w:rsidR="00EA011C" w:rsidRDefault="00EA011C" w:rsidP="00EA011C">
      <w:pPr>
        <w:spacing w:before="100" w:beforeAutospacing="1" w:after="100" w:afterAutospacing="1" w:line="240" w:lineRule="auto"/>
        <w:ind w:left="720"/>
      </w:pPr>
    </w:p>
    <w:p w:rsidR="00EA011C" w:rsidRDefault="00EA011C" w:rsidP="00EA011C">
      <w:pPr>
        <w:spacing w:before="100" w:beforeAutospacing="1" w:after="100" w:afterAutospacing="1" w:line="240" w:lineRule="auto"/>
        <w:ind w:left="720"/>
      </w:pPr>
    </w:p>
    <w:p w:rsidR="00EA011C" w:rsidRDefault="00EA011C" w:rsidP="00EA011C">
      <w:pPr>
        <w:spacing w:before="100" w:beforeAutospacing="1" w:after="100" w:afterAutospacing="1" w:line="240" w:lineRule="auto"/>
        <w:ind w:left="720"/>
      </w:pPr>
    </w:p>
    <w:p w:rsidR="00EA011C" w:rsidRDefault="00EA011C" w:rsidP="00EA011C">
      <w:pPr>
        <w:spacing w:after="0"/>
      </w:pPr>
      <w:r>
        <w:lastRenderedPageBreak/>
        <w:pict>
          <v:rect id="_x0000_i1031" style="width:0;height:1.5pt" o:hralign="center" o:hrstd="t" o:hr="t" fillcolor="#a0a0a0" stroked="f"/>
        </w:pict>
      </w:r>
    </w:p>
    <w:p w:rsidR="00EA011C" w:rsidRDefault="00EA011C" w:rsidP="00EA011C">
      <w:pPr>
        <w:pStyle w:val="Heading2"/>
      </w:pPr>
      <w:r>
        <w:rPr>
          <w:rStyle w:val="Strong"/>
          <w:b w:val="0"/>
          <w:bCs w:val="0"/>
        </w:rPr>
        <w:t>Conclusion</w:t>
      </w:r>
    </w:p>
    <w:p w:rsidR="00EA011C" w:rsidRDefault="00EA011C" w:rsidP="00EA011C">
      <w:pPr>
        <w:spacing w:before="100" w:beforeAutospacing="1" w:after="100" w:afterAutospacing="1"/>
      </w:pPr>
      <w:r>
        <w:t xml:space="preserve">The findings of this audit highlight significant risks that </w:t>
      </w:r>
      <w:proofErr w:type="spellStart"/>
      <w:r>
        <w:t>Botium</w:t>
      </w:r>
      <w:proofErr w:type="spellEnd"/>
      <w:r>
        <w:t xml:space="preserve"> Toys must address to ensure data security, maintain operational resilience, and avoid regulatory penalties. Implementing the outlined recommendations will not only reduce vulnerabilities but also strengthen the company's overall cybersecurity maturity.</w:t>
      </w:r>
    </w:p>
    <w:p w:rsidR="00EA011C" w:rsidRDefault="00EA011C" w:rsidP="00EA011C">
      <w:pPr>
        <w:spacing w:after="0"/>
      </w:pPr>
      <w:r>
        <w:pict>
          <v:rect id="_x0000_i1032" style="width:0;height:1.5pt" o:hralign="center" o:hrstd="t" o:hr="t" fillcolor="#a0a0a0" stroked="f"/>
        </w:pict>
      </w:r>
    </w:p>
    <w:p w:rsidR="00EA011C" w:rsidRDefault="00EA011C" w:rsidP="00EA011C">
      <w:pPr>
        <w:spacing w:before="100" w:beforeAutospacing="1" w:after="100" w:afterAutospacing="1"/>
      </w:pPr>
      <w:r>
        <w:rPr>
          <w:rStyle w:val="Strong"/>
        </w:rPr>
        <w:t>Prepared by:</w:t>
      </w:r>
      <w:r>
        <w:br/>
      </w:r>
      <w:proofErr w:type="spellStart"/>
      <w:r>
        <w:rPr>
          <w:rStyle w:val="Emphasis"/>
        </w:rPr>
        <w:t>Tsegbemi</w:t>
      </w:r>
      <w:proofErr w:type="spellEnd"/>
      <w:r>
        <w:rPr>
          <w:rStyle w:val="Emphasis"/>
        </w:rPr>
        <w:t xml:space="preserve"> </w:t>
      </w:r>
      <w:proofErr w:type="spellStart"/>
      <w:r>
        <w:rPr>
          <w:rStyle w:val="Emphasis"/>
        </w:rPr>
        <w:t>Oghenetega</w:t>
      </w:r>
      <w:proofErr w:type="spellEnd"/>
      <w:r>
        <w:rPr>
          <w:rStyle w:val="Emphasis"/>
        </w:rPr>
        <w:t xml:space="preserve"> Ukubeyinje</w:t>
      </w:r>
      <w:r>
        <w:br/>
      </w:r>
      <w:r>
        <w:rPr>
          <w:rFonts w:ascii="Segoe UI Symbol" w:hAnsi="Segoe UI Symbol" w:cs="Segoe UI Symbol"/>
        </w:rPr>
        <w:t>📧</w:t>
      </w:r>
      <w:r>
        <w:t xml:space="preserve"> </w:t>
      </w:r>
      <w:r>
        <w:rPr>
          <w:rStyle w:val="Emphasis"/>
        </w:rPr>
        <w:t>tsegbemiukubeyinje@gmail.com</w:t>
      </w:r>
      <w:r>
        <w:br/>
      </w:r>
      <w:r>
        <w:rPr>
          <w:rStyle w:val="Emphasis"/>
        </w:rPr>
        <w:t>Security Analyst</w:t>
      </w:r>
    </w:p>
    <w:p w:rsidR="00EA011C" w:rsidRDefault="00EA011C"/>
    <w:sectPr w:rsidR="00EA01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Tahoma">
    <w:altName w:val="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B05B7"/>
    <w:multiLevelType w:val="multilevel"/>
    <w:tmpl w:val="DF94B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297DED"/>
    <w:multiLevelType w:val="multilevel"/>
    <w:tmpl w:val="90801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B23E3F"/>
    <w:multiLevelType w:val="multilevel"/>
    <w:tmpl w:val="74F43702"/>
    <w:lvl w:ilvl="0">
      <w:start w:val="1"/>
      <w:numFmt w:val="decimal"/>
      <w:pStyle w:val="Heading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2FFD42E0"/>
    <w:multiLevelType w:val="multilevel"/>
    <w:tmpl w:val="8548B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4F38CC"/>
    <w:multiLevelType w:val="hybridMultilevel"/>
    <w:tmpl w:val="F3A45F18"/>
    <w:lvl w:ilvl="0" w:tplc="7EE0E8CE">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0F6CD1"/>
    <w:multiLevelType w:val="multilevel"/>
    <w:tmpl w:val="ACC6C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9B55A4"/>
    <w:multiLevelType w:val="multilevel"/>
    <w:tmpl w:val="653E9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CA0926"/>
    <w:multiLevelType w:val="multilevel"/>
    <w:tmpl w:val="6A522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3"/>
  </w:num>
  <w:num w:numId="5">
    <w:abstractNumId w:val="6"/>
  </w:num>
  <w:num w:numId="6">
    <w:abstractNumId w:val="5"/>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11C"/>
    <w:rsid w:val="0061498D"/>
    <w:rsid w:val="00776C57"/>
    <w:rsid w:val="008E1F43"/>
    <w:rsid w:val="00E61CD2"/>
    <w:rsid w:val="00EA0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646AF"/>
  <w15:chartTrackingRefBased/>
  <w15:docId w15:val="{8432F1B2-CF36-42A2-80EF-16EFEAF06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A011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A01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autoRedefine/>
    <w:unhideWhenUsed/>
    <w:qFormat/>
    <w:rsid w:val="0061498D"/>
    <w:pPr>
      <w:keepNext/>
      <w:numPr>
        <w:numId w:val="2"/>
      </w:numPr>
      <w:tabs>
        <w:tab w:val="left" w:pos="0"/>
      </w:tabs>
      <w:autoSpaceDE w:val="0"/>
      <w:autoSpaceDN w:val="0"/>
      <w:adjustRightInd w:val="0"/>
      <w:spacing w:before="120" w:after="120" w:line="240" w:lineRule="atLeast"/>
      <w:ind w:left="1080" w:hanging="360"/>
      <w:jc w:val="both"/>
      <w:outlineLvl w:val="2"/>
    </w:pPr>
    <w:rPr>
      <w:rFonts w:ascii="Century Gothic" w:eastAsia="Times New Roman" w:hAnsi="Century Gothic" w:cs="Tahoma"/>
      <w:b/>
      <w:bCs/>
      <w:color w:val="003399"/>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61498D"/>
    <w:rPr>
      <w:rFonts w:ascii="Century Gothic" w:eastAsia="Times New Roman" w:hAnsi="Century Gothic" w:cs="Tahoma"/>
      <w:b/>
      <w:bCs/>
      <w:color w:val="003399"/>
      <w:szCs w:val="24"/>
      <w:lang w:val="en-GB" w:eastAsia="en-GB"/>
    </w:rPr>
  </w:style>
  <w:style w:type="character" w:customStyle="1" w:styleId="Heading1Char">
    <w:name w:val="Heading 1 Char"/>
    <w:basedOn w:val="DefaultParagraphFont"/>
    <w:link w:val="Heading1"/>
    <w:uiPriority w:val="9"/>
    <w:rsid w:val="00EA011C"/>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EA011C"/>
    <w:rPr>
      <w:b/>
      <w:bCs/>
    </w:rPr>
  </w:style>
  <w:style w:type="character" w:customStyle="1" w:styleId="Heading2Char">
    <w:name w:val="Heading 2 Char"/>
    <w:basedOn w:val="DefaultParagraphFont"/>
    <w:link w:val="Heading2"/>
    <w:uiPriority w:val="9"/>
    <w:semiHidden/>
    <w:rsid w:val="00EA011C"/>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EA011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0548864">
      <w:bodyDiv w:val="1"/>
      <w:marLeft w:val="0"/>
      <w:marRight w:val="0"/>
      <w:marTop w:val="0"/>
      <w:marBottom w:val="0"/>
      <w:divBdr>
        <w:top w:val="none" w:sz="0" w:space="0" w:color="auto"/>
        <w:left w:val="none" w:sz="0" w:space="0" w:color="auto"/>
        <w:bottom w:val="none" w:sz="0" w:space="0" w:color="auto"/>
        <w:right w:val="none" w:sz="0" w:space="0" w:color="auto"/>
      </w:divBdr>
    </w:div>
    <w:div w:id="604268184">
      <w:bodyDiv w:val="1"/>
      <w:marLeft w:val="0"/>
      <w:marRight w:val="0"/>
      <w:marTop w:val="0"/>
      <w:marBottom w:val="0"/>
      <w:divBdr>
        <w:top w:val="none" w:sz="0" w:space="0" w:color="auto"/>
        <w:left w:val="none" w:sz="0" w:space="0" w:color="auto"/>
        <w:bottom w:val="none" w:sz="0" w:space="0" w:color="auto"/>
        <w:right w:val="none" w:sz="0" w:space="0" w:color="auto"/>
      </w:divBdr>
    </w:div>
    <w:div w:id="1952126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457</Words>
  <Characters>2608</Characters>
  <Application>Microsoft Office Word</Application>
  <DocSecurity>0</DocSecurity>
  <Lines>21</Lines>
  <Paragraphs>6</Paragraphs>
  <ScaleCrop>false</ScaleCrop>
  <Company>HP</Company>
  <LinksUpToDate>false</LinksUpToDate>
  <CharactersWithSpaces>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Aanu</dc:creator>
  <cp:keywords/>
  <dc:description/>
  <cp:lastModifiedBy>Aanu</cp:lastModifiedBy>
  <cp:revision>1</cp:revision>
  <dcterms:created xsi:type="dcterms:W3CDTF">2025-04-23T17:21:00Z</dcterms:created>
  <dcterms:modified xsi:type="dcterms:W3CDTF">2025-04-23T17:22:00Z</dcterms:modified>
</cp:coreProperties>
</file>