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8EDF9" w14:textId="13BDCB0A" w:rsidR="00740D77" w:rsidRPr="00740D77" w:rsidRDefault="004C447E" w:rsidP="00AB59EE">
      <w:pPr>
        <w:jc w:val="center"/>
        <w:rPr>
          <w:sz w:val="28"/>
          <w:szCs w:val="28"/>
        </w:rPr>
      </w:pPr>
      <w:r w:rsidRPr="004C447E">
        <w:rPr>
          <w:sz w:val="48"/>
          <w:szCs w:val="48"/>
        </w:rPr>
        <w:t xml:space="preserve">Analysis Report </w:t>
      </w:r>
      <w:r w:rsidR="001A0A60" w:rsidRPr="004C447E">
        <w:rPr>
          <w:sz w:val="48"/>
          <w:szCs w:val="48"/>
        </w:rPr>
        <w:t>on</w:t>
      </w:r>
      <w:r w:rsidRPr="004C447E">
        <w:rPr>
          <w:sz w:val="48"/>
          <w:szCs w:val="48"/>
        </w:rPr>
        <w:t xml:space="preserve"> Consensus effect on </w:t>
      </w:r>
      <w:r>
        <w:rPr>
          <w:rFonts w:hint="eastAsia"/>
          <w:sz w:val="48"/>
          <w:szCs w:val="48"/>
        </w:rPr>
        <w:t xml:space="preserve">Stock Price/Return </w:t>
      </w:r>
      <w:r>
        <w:rPr>
          <w:sz w:val="48"/>
          <w:szCs w:val="48"/>
        </w:rPr>
        <w:t>(Beat</w:t>
      </w:r>
      <w:r w:rsidR="006C63CC">
        <w:rPr>
          <w:rFonts w:hint="eastAsia"/>
          <w:sz w:val="48"/>
          <w:szCs w:val="48"/>
        </w:rPr>
        <w:t xml:space="preserve"> Up</w:t>
      </w:r>
      <w:r>
        <w:rPr>
          <w:sz w:val="48"/>
          <w:szCs w:val="48"/>
        </w:rPr>
        <w:t xml:space="preserve"> Case</w:t>
      </w:r>
      <w:r w:rsidR="00357630">
        <w:rPr>
          <w:rFonts w:hint="eastAsia"/>
          <w:sz w:val="48"/>
          <w:szCs w:val="48"/>
        </w:rPr>
        <w:t>s</w:t>
      </w:r>
      <w:r>
        <w:rPr>
          <w:sz w:val="48"/>
          <w:szCs w:val="48"/>
        </w:rPr>
        <w:t>)</w:t>
      </w:r>
    </w:p>
    <w:p w14:paraId="02EE0E8A" w14:textId="77777777" w:rsidR="003C026D" w:rsidRDefault="0001387C" w:rsidP="003C026D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Dingming</w:t>
      </w:r>
    </w:p>
    <w:p w14:paraId="0ADC585D" w14:textId="77777777" w:rsidR="00E574A8" w:rsidRDefault="00E95658" w:rsidP="00631F25">
      <w:pPr>
        <w:pStyle w:val="a9"/>
        <w:numPr>
          <w:ilvl w:val="0"/>
          <w:numId w:val="13"/>
        </w:numPr>
        <w:ind w:left="0"/>
      </w:pPr>
      <w:r>
        <w:rPr>
          <w:rFonts w:hint="eastAsia"/>
          <w:sz w:val="32"/>
          <w:szCs w:val="32"/>
        </w:rPr>
        <w:t xml:space="preserve">Overall </w:t>
      </w:r>
      <w:r w:rsidR="00D95777" w:rsidRPr="00E95658">
        <w:rPr>
          <w:rFonts w:hint="eastAsia"/>
          <w:sz w:val="32"/>
          <w:szCs w:val="32"/>
        </w:rPr>
        <w:t>Summar</w:t>
      </w:r>
      <w:r w:rsidRPr="00E95658">
        <w:rPr>
          <w:rFonts w:hint="eastAsia"/>
          <w:sz w:val="32"/>
          <w:szCs w:val="32"/>
        </w:rPr>
        <w:t>y</w:t>
      </w:r>
      <w:r w:rsidR="004C4225">
        <w:rPr>
          <w:sz w:val="32"/>
          <w:szCs w:val="32"/>
        </w:rPr>
        <w:br/>
      </w:r>
      <w:r w:rsidR="00E574A8">
        <w:t>The analysis is conducted using data from the semiconductor sector, covering 67 equities: 20 from the U.S., 13 from the EU, 20 from developed Asia Pacific markets, and 14 from emerging Asia Pacific markets.</w:t>
      </w:r>
    </w:p>
    <w:p w14:paraId="5E1A4052" w14:textId="46285168" w:rsidR="008B7FEF" w:rsidRPr="00E574A8" w:rsidRDefault="00E574A8" w:rsidP="00631F25">
      <w:r>
        <w:t>There are 755 beat cases and 254 situation 1 cases. The observation window is set to 20 days after the earnings announcement, and only cases where the earnings beat exceeds 10% are included in the analysis.</w:t>
      </w:r>
      <w:r w:rsidR="00E95658" w:rsidRPr="00E574A8">
        <w:rPr>
          <w:sz w:val="32"/>
          <w:szCs w:val="32"/>
        </w:rPr>
        <w:br/>
      </w:r>
      <w:r w:rsidR="00E95658" w:rsidRPr="00E95658">
        <w:rPr>
          <w:noProof/>
        </w:rPr>
        <w:drawing>
          <wp:inline distT="0" distB="0" distL="0" distR="0" wp14:anchorId="635E67A7" wp14:editId="6D0E393C">
            <wp:extent cx="6518952" cy="695076"/>
            <wp:effectExtent l="0" t="0" r="0" b="0"/>
            <wp:docPr id="1278605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631" cy="70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26D">
        <w:br/>
      </w:r>
      <w:r w:rsidR="00D95777">
        <w:rPr>
          <w:rFonts w:hint="eastAsia"/>
        </w:rPr>
        <w:t xml:space="preserve">Situation 1 takes up 1/3 </w:t>
      </w:r>
      <w:r w:rsidR="004C4225">
        <w:rPr>
          <w:rFonts w:hint="eastAsia"/>
        </w:rPr>
        <w:t>within</w:t>
      </w:r>
      <w:r w:rsidR="00D95777">
        <w:rPr>
          <w:rFonts w:hint="eastAsia"/>
        </w:rPr>
        <w:t xml:space="preserve"> beat situations and 2/3 </w:t>
      </w:r>
      <w:r w:rsidR="004C4225">
        <w:rPr>
          <w:rFonts w:hint="eastAsia"/>
        </w:rPr>
        <w:t>within</w:t>
      </w:r>
      <w:r w:rsidR="00D95777">
        <w:rPr>
          <w:rFonts w:hint="eastAsia"/>
        </w:rPr>
        <w:t xml:space="preserve"> beat up situations.</w:t>
      </w:r>
      <w:r w:rsidR="008B7FEF">
        <w:br/>
      </w:r>
    </w:p>
    <w:p w14:paraId="5A594718" w14:textId="6594EDB3" w:rsidR="008B7FEF" w:rsidRPr="008B7FEF" w:rsidRDefault="00E62D03" w:rsidP="008B7FEF">
      <w:pPr>
        <w:pStyle w:val="a9"/>
        <w:numPr>
          <w:ilvl w:val="0"/>
          <w:numId w:val="13"/>
        </w:numPr>
        <w:ind w:left="360"/>
        <w:rPr>
          <w:sz w:val="32"/>
          <w:szCs w:val="32"/>
        </w:rPr>
      </w:pPr>
      <w:r w:rsidRPr="008B7FEF">
        <w:rPr>
          <w:rFonts w:hint="eastAsia"/>
          <w:sz w:val="32"/>
          <w:szCs w:val="32"/>
        </w:rPr>
        <w:t>Distribution of Trough</w:t>
      </w:r>
      <w:r w:rsidR="00A10BF9" w:rsidRPr="008B7FEF">
        <w:rPr>
          <w:rFonts w:hint="eastAsia"/>
          <w:sz w:val="32"/>
          <w:szCs w:val="32"/>
        </w:rPr>
        <w:t xml:space="preserve"> Dat</w:t>
      </w:r>
      <w:r w:rsidR="008B7FEF" w:rsidRPr="008B7FEF">
        <w:rPr>
          <w:rFonts w:hint="eastAsia"/>
          <w:sz w:val="32"/>
          <w:szCs w:val="32"/>
        </w:rPr>
        <w:t>e</w:t>
      </w:r>
      <w:r w:rsidR="00AA4EF2">
        <w:rPr>
          <w:rFonts w:hint="eastAsia"/>
          <w:sz w:val="32"/>
          <w:szCs w:val="32"/>
        </w:rPr>
        <w:t>s</w:t>
      </w:r>
      <w:r w:rsidR="008B7FEF" w:rsidRPr="008B7FEF">
        <w:rPr>
          <w:sz w:val="32"/>
          <w:szCs w:val="32"/>
        </w:rPr>
        <w:br/>
      </w:r>
      <w:r w:rsidR="008B7FEF">
        <w:rPr>
          <w:noProof/>
        </w:rPr>
        <w:drawing>
          <wp:inline distT="0" distB="0" distL="0" distR="0" wp14:anchorId="13F1897B" wp14:editId="189D8359">
            <wp:extent cx="6009636" cy="3190910"/>
            <wp:effectExtent l="0" t="0" r="0" b="0"/>
            <wp:docPr id="1269038495" name="图片 4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8495" name="图片 4" descr="图表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072" cy="3197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095011" w14:textId="1CC062E3" w:rsidR="008B7FEF" w:rsidRDefault="00AD0D43" w:rsidP="008B7FEF">
      <w:pPr>
        <w:jc w:val="center"/>
      </w:pPr>
      <w:r w:rsidRPr="00AD0D43">
        <w:rPr>
          <w:noProof/>
        </w:rPr>
        <w:lastRenderedPageBreak/>
        <w:drawing>
          <wp:inline distT="0" distB="0" distL="0" distR="0" wp14:anchorId="6F489F49" wp14:editId="03447DCF">
            <wp:extent cx="5943600" cy="633095"/>
            <wp:effectExtent l="0" t="0" r="0" b="0"/>
            <wp:docPr id="14732216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DCE4" w14:textId="4F3DDDB1" w:rsidR="008B7FEF" w:rsidRPr="008B7FEF" w:rsidRDefault="00631F25" w:rsidP="008B7FEF">
      <w:pPr>
        <w:rPr>
          <w:sz w:val="32"/>
          <w:szCs w:val="32"/>
        </w:rPr>
      </w:pPr>
      <w:r w:rsidRPr="00631F25">
        <w:t>Troughs most frequently occur on day 2, with the majority distributed between days 2 and 5. Notably, 90.94% of the troughs occur between days 2 and 10.</w:t>
      </w:r>
      <w:r>
        <w:br/>
      </w:r>
    </w:p>
    <w:p w14:paraId="22CAF613" w14:textId="3C91D122" w:rsidR="008B7FEF" w:rsidRDefault="00AD0D43" w:rsidP="00AD0D43">
      <w:pPr>
        <w:pStyle w:val="a9"/>
        <w:numPr>
          <w:ilvl w:val="0"/>
          <w:numId w:val="13"/>
        </w:num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Average Cumulative </w:t>
      </w:r>
      <w:r w:rsidR="00D95777" w:rsidRPr="008B7FEF">
        <w:rPr>
          <w:rFonts w:hint="eastAsia"/>
          <w:sz w:val="32"/>
          <w:szCs w:val="32"/>
        </w:rPr>
        <w:t xml:space="preserve">Return by </w:t>
      </w:r>
      <w:r w:rsidR="004C4225" w:rsidRPr="008B7FEF">
        <w:rPr>
          <w:rFonts w:hint="eastAsia"/>
          <w:sz w:val="32"/>
          <w:szCs w:val="32"/>
        </w:rPr>
        <w:t>Day1/ T</w:t>
      </w:r>
      <w:r w:rsidR="00D95777" w:rsidRPr="008B7FEF">
        <w:rPr>
          <w:rFonts w:hint="eastAsia"/>
          <w:sz w:val="32"/>
          <w:szCs w:val="32"/>
        </w:rPr>
        <w:t>rough/</w:t>
      </w:r>
      <w:r w:rsidR="004C4225" w:rsidRPr="008B7FEF">
        <w:rPr>
          <w:rFonts w:hint="eastAsia"/>
          <w:sz w:val="32"/>
          <w:szCs w:val="32"/>
        </w:rPr>
        <w:t xml:space="preserve"> </w:t>
      </w:r>
      <w:r w:rsidR="00D95777" w:rsidRPr="008B7FEF">
        <w:rPr>
          <w:rFonts w:hint="eastAsia"/>
          <w:sz w:val="32"/>
          <w:szCs w:val="32"/>
        </w:rPr>
        <w:t>day20</w:t>
      </w:r>
    </w:p>
    <w:p w14:paraId="0E8F9FDA" w14:textId="1EB71F83" w:rsidR="00AD0D43" w:rsidRPr="00AD0D43" w:rsidRDefault="00D710A9" w:rsidP="00AD0D43">
      <w:pPr>
        <w:rPr>
          <w:sz w:val="32"/>
          <w:szCs w:val="32"/>
        </w:rPr>
      </w:pPr>
      <w:r w:rsidRPr="00D710A9">
        <w:drawing>
          <wp:inline distT="0" distB="0" distL="0" distR="0" wp14:anchorId="44E56947" wp14:editId="150AF23D">
            <wp:extent cx="5943600" cy="555625"/>
            <wp:effectExtent l="0" t="0" r="0" b="0"/>
            <wp:docPr id="1348148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181F" w14:textId="278E7AA7" w:rsidR="00631F25" w:rsidRDefault="00631F25" w:rsidP="00D21767">
      <w:r w:rsidRPr="00631F25">
        <w:t xml:space="preserve">This result indicates that most of the </w:t>
      </w:r>
      <w:r w:rsidR="000C1A19">
        <w:rPr>
          <w:rFonts w:hint="eastAsia"/>
        </w:rPr>
        <w:t xml:space="preserve">cumulative </w:t>
      </w:r>
      <w:r w:rsidRPr="00631F25">
        <w:t xml:space="preserve">return from day </w:t>
      </w:r>
      <w:r>
        <w:rPr>
          <w:rFonts w:hint="eastAsia"/>
        </w:rPr>
        <w:t>1</w:t>
      </w:r>
      <w:r w:rsidRPr="00631F25">
        <w:t xml:space="preserve"> to day 20 is driven by the return on day 1, which averages around 6</w:t>
      </w:r>
      <w:r w:rsidR="00AD0D43">
        <w:rPr>
          <w:rFonts w:hint="eastAsia"/>
        </w:rPr>
        <w:t>.5</w:t>
      </w:r>
      <w:r w:rsidRPr="00631F25">
        <w:t xml:space="preserve">%. In contrast, the average </w:t>
      </w:r>
      <w:r w:rsidR="000C1A19">
        <w:rPr>
          <w:rFonts w:hint="eastAsia"/>
        </w:rPr>
        <w:t xml:space="preserve">cumulative </w:t>
      </w:r>
      <w:r w:rsidRPr="00631F25">
        <w:t>return</w:t>
      </w:r>
      <w:r w:rsidR="000C1A19">
        <w:rPr>
          <w:rFonts w:hint="eastAsia"/>
        </w:rPr>
        <w:t xml:space="preserve"> </w:t>
      </w:r>
      <w:r w:rsidRPr="00631F25">
        <w:t>between day 2 and 20 is approximately 2.5%.</w:t>
      </w:r>
      <w:r w:rsidR="00CA5B85">
        <w:rPr>
          <w:rFonts w:hint="eastAsia"/>
        </w:rPr>
        <w:t xml:space="preserve"> </w:t>
      </w:r>
    </w:p>
    <w:p w14:paraId="267E5EAF" w14:textId="77777777" w:rsidR="00AD0D43" w:rsidRDefault="00AD0D43" w:rsidP="00D21767"/>
    <w:p w14:paraId="6B576071" w14:textId="130B8565" w:rsidR="00D21767" w:rsidRPr="00204F7B" w:rsidRDefault="00D21767" w:rsidP="00D21767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>4</w:t>
      </w:r>
      <w:r w:rsidRPr="00A10BF9">
        <w:rPr>
          <w:rFonts w:hint="eastAsia"/>
          <w:sz w:val="32"/>
          <w:szCs w:val="32"/>
        </w:rPr>
        <w:t xml:space="preserve">. </w:t>
      </w:r>
      <w:r w:rsidR="000C49E5">
        <w:rPr>
          <w:rFonts w:hint="eastAsia"/>
          <w:sz w:val="32"/>
          <w:szCs w:val="32"/>
        </w:rPr>
        <w:t xml:space="preserve">Average </w:t>
      </w:r>
      <w:r w:rsidR="00CA5B85">
        <w:rPr>
          <w:rFonts w:hint="eastAsia"/>
          <w:sz w:val="32"/>
          <w:szCs w:val="32"/>
        </w:rPr>
        <w:t xml:space="preserve">Cumulative </w:t>
      </w:r>
      <w:r>
        <w:rPr>
          <w:rFonts w:hint="eastAsia"/>
          <w:sz w:val="32"/>
          <w:szCs w:val="32"/>
        </w:rPr>
        <w:t xml:space="preserve">Return </w:t>
      </w:r>
      <w:r w:rsidR="00537EB8">
        <w:rPr>
          <w:rFonts w:hint="eastAsia"/>
          <w:sz w:val="32"/>
          <w:szCs w:val="32"/>
        </w:rPr>
        <w:t>from Day X to Day 20</w:t>
      </w:r>
    </w:p>
    <w:p w14:paraId="63E3A85B" w14:textId="05F5149B" w:rsidR="00943B33" w:rsidRDefault="0086390D" w:rsidP="00D21767">
      <w:pPr>
        <w:ind w:left="360"/>
        <w:jc w:val="center"/>
        <w:rPr>
          <w:sz w:val="28"/>
          <w:szCs w:val="28"/>
        </w:rPr>
      </w:pPr>
      <w:r w:rsidRPr="0086390D">
        <w:drawing>
          <wp:inline distT="0" distB="0" distL="0" distR="0" wp14:anchorId="725DE3F5" wp14:editId="0ED8339D">
            <wp:extent cx="2469555" cy="2706649"/>
            <wp:effectExtent l="0" t="0" r="6985" b="0"/>
            <wp:docPr id="18571355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921" cy="271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8D21" w14:textId="58DBFFD3" w:rsidR="00CA5B85" w:rsidRPr="00CA5B85" w:rsidRDefault="00CA5B85" w:rsidP="00CA5B85">
      <w:r w:rsidRPr="00CA5B85">
        <w:t xml:space="preserve">This table shows the average cumulative return from day x to day 20. The average cumulative return declines as the </w:t>
      </w:r>
      <w:r>
        <w:rPr>
          <w:rFonts w:hint="eastAsia"/>
        </w:rPr>
        <w:t>start date increases</w:t>
      </w:r>
      <w:r w:rsidRPr="00CA5B85">
        <w:t>.</w:t>
      </w:r>
    </w:p>
    <w:p w14:paraId="0E88CDD5" w14:textId="77777777" w:rsidR="00CA5B85" w:rsidRPr="00CA5B85" w:rsidRDefault="00CA5B85" w:rsidP="00CA5B85"/>
    <w:p w14:paraId="78423F94" w14:textId="5F22D577" w:rsidR="00CA5B85" w:rsidRPr="00CA5B85" w:rsidRDefault="00CA5B85" w:rsidP="00CA5B85">
      <w:r w:rsidRPr="00CA5B85">
        <w:t xml:space="preserve">Since we cannot accurately predict whether a "beat-up" situation will occur on day 1, our discussion of cumulative returns focuses on the period from day 2 to day 20. According to </w:t>
      </w:r>
      <w:r w:rsidRPr="00CA5B85">
        <w:lastRenderedPageBreak/>
        <w:t>the table, holding the stock from day 3 yields the highest average cumulative return of 2.8%. This is because approximately one-third of beat-up cases experience a trough on day 2, meaning that starting to hold the stock from day 3 allows investors to benefit from the post-trough rebound more effectively than starting on other days.</w:t>
      </w:r>
    </w:p>
    <w:p w14:paraId="02790B16" w14:textId="74B9F00E" w:rsidR="00CA5B85" w:rsidRPr="00CA5B85" w:rsidRDefault="00CA5B85" w:rsidP="00CA5B85">
      <w:r w:rsidRPr="00CA5B85">
        <w:t>Given that troughs most frequently occur on day 2, primarily distributed between days 2 and 5, and 80% of all troughs fall between day 2 and 10, I further calculate average cumulative returns for the holding periods from day 3 to x, day 6 to x, and day 1</w:t>
      </w:r>
      <w:r w:rsidR="00AA4EF2">
        <w:rPr>
          <w:rFonts w:hint="eastAsia"/>
        </w:rPr>
        <w:t>1</w:t>
      </w:r>
      <w:r w:rsidRPr="00CA5B85">
        <w:t xml:space="preserve"> to x.</w:t>
      </w:r>
    </w:p>
    <w:p w14:paraId="5BC2E66E" w14:textId="294C4F7F" w:rsidR="00CA5B85" w:rsidRDefault="00CA5B85" w:rsidP="00CA5B85">
      <w:r w:rsidRPr="00CA5B85">
        <w:t xml:space="preserve">The results show that the period from day 3 to day 20 </w:t>
      </w:r>
      <w:r w:rsidR="00AA4EF2">
        <w:rPr>
          <w:rFonts w:hint="eastAsia"/>
        </w:rPr>
        <w:t>has</w:t>
      </w:r>
      <w:r w:rsidRPr="00CA5B85">
        <w:t xml:space="preserve"> the highest average cumulative return. In contrast, the lower cumulative returns for day 6 to x and day 1</w:t>
      </w:r>
      <w:r w:rsidR="00AA4EF2">
        <w:rPr>
          <w:rFonts w:hint="eastAsia"/>
        </w:rPr>
        <w:t>1</w:t>
      </w:r>
      <w:r w:rsidRPr="00CA5B85">
        <w:t xml:space="preserve"> to x can be attributed to the fact that, in many cases, stock prices have already risen following the trough on day 2.</w:t>
      </w:r>
    </w:p>
    <w:p w14:paraId="25326098" w14:textId="60CF52A4" w:rsidR="00CA5B85" w:rsidRDefault="0086390D" w:rsidP="00CA5B85">
      <w:pPr>
        <w:rPr>
          <w:sz w:val="22"/>
          <w:szCs w:val="22"/>
        </w:rPr>
      </w:pPr>
      <w:r w:rsidRPr="0086390D">
        <w:drawing>
          <wp:inline distT="0" distB="0" distL="0" distR="0" wp14:anchorId="663A29A4" wp14:editId="18576A4B">
            <wp:extent cx="2516009" cy="2567686"/>
            <wp:effectExtent l="0" t="0" r="0" b="4445"/>
            <wp:docPr id="4060079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41" cy="257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90D">
        <w:drawing>
          <wp:inline distT="0" distB="0" distL="0" distR="0" wp14:anchorId="5798A820" wp14:editId="1300C63E">
            <wp:extent cx="2968430" cy="2552776"/>
            <wp:effectExtent l="0" t="0" r="3810" b="0"/>
            <wp:docPr id="17143788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4" cy="257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C49E" w14:textId="479C119A" w:rsidR="0086390D" w:rsidRPr="00CA5B85" w:rsidRDefault="0086390D" w:rsidP="00CA5B85">
      <w:pPr>
        <w:rPr>
          <w:sz w:val="22"/>
          <w:szCs w:val="22"/>
        </w:rPr>
      </w:pPr>
      <w:r w:rsidRPr="0086390D">
        <w:drawing>
          <wp:inline distT="0" distB="0" distL="0" distR="0" wp14:anchorId="3795DC12" wp14:editId="32F5D257">
            <wp:extent cx="2469081" cy="1463192"/>
            <wp:effectExtent l="0" t="0" r="7620" b="3810"/>
            <wp:docPr id="18268987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84" cy="147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477F" w14:textId="67FEC07C" w:rsidR="000C49E5" w:rsidRDefault="000C49E5" w:rsidP="00537EB8">
      <w:pPr>
        <w:rPr>
          <w:sz w:val="28"/>
          <w:szCs w:val="28"/>
        </w:rPr>
      </w:pPr>
    </w:p>
    <w:p w14:paraId="7CF93604" w14:textId="4714D695" w:rsidR="000C49E5" w:rsidRDefault="000C49E5" w:rsidP="00537EB8">
      <w:pPr>
        <w:rPr>
          <w:sz w:val="28"/>
          <w:szCs w:val="28"/>
        </w:rPr>
      </w:pPr>
    </w:p>
    <w:p w14:paraId="36DE9D82" w14:textId="79F0D4E7" w:rsidR="000C49E5" w:rsidRPr="00204F7B" w:rsidRDefault="000C49E5" w:rsidP="00537EB8">
      <w:pPr>
        <w:rPr>
          <w:sz w:val="28"/>
          <w:szCs w:val="28"/>
        </w:rPr>
      </w:pPr>
    </w:p>
    <w:sectPr w:rsidR="000C49E5" w:rsidRPr="0020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05892" w14:textId="77777777" w:rsidR="00E42A61" w:rsidRDefault="00E42A61" w:rsidP="009B514B">
      <w:pPr>
        <w:spacing w:after="0" w:line="240" w:lineRule="auto"/>
      </w:pPr>
      <w:r>
        <w:separator/>
      </w:r>
    </w:p>
  </w:endnote>
  <w:endnote w:type="continuationSeparator" w:id="0">
    <w:p w14:paraId="563FA394" w14:textId="77777777" w:rsidR="00E42A61" w:rsidRDefault="00E42A61" w:rsidP="009B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40CDB" w14:textId="77777777" w:rsidR="00E42A61" w:rsidRDefault="00E42A61" w:rsidP="009B514B">
      <w:pPr>
        <w:spacing w:after="0" w:line="240" w:lineRule="auto"/>
      </w:pPr>
      <w:r>
        <w:separator/>
      </w:r>
    </w:p>
  </w:footnote>
  <w:footnote w:type="continuationSeparator" w:id="0">
    <w:p w14:paraId="288C0813" w14:textId="77777777" w:rsidR="00E42A61" w:rsidRDefault="00E42A61" w:rsidP="009B5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A64"/>
    <w:multiLevelType w:val="hybridMultilevel"/>
    <w:tmpl w:val="33C0C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784C"/>
    <w:multiLevelType w:val="hybridMultilevel"/>
    <w:tmpl w:val="FBF44364"/>
    <w:lvl w:ilvl="0" w:tplc="2116BC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C27D3"/>
    <w:multiLevelType w:val="hybridMultilevel"/>
    <w:tmpl w:val="B0F8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30A1B"/>
    <w:multiLevelType w:val="hybridMultilevel"/>
    <w:tmpl w:val="FC60B1D8"/>
    <w:lvl w:ilvl="0" w:tplc="3F609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E354DF"/>
    <w:multiLevelType w:val="hybridMultilevel"/>
    <w:tmpl w:val="B8BC9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A2EAE"/>
    <w:multiLevelType w:val="hybridMultilevel"/>
    <w:tmpl w:val="B71C44DA"/>
    <w:lvl w:ilvl="0" w:tplc="8F94A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9C0E1B"/>
    <w:multiLevelType w:val="hybridMultilevel"/>
    <w:tmpl w:val="4A5C04C0"/>
    <w:lvl w:ilvl="0" w:tplc="C91833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0D276D"/>
    <w:multiLevelType w:val="hybridMultilevel"/>
    <w:tmpl w:val="FBF44364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A96661"/>
    <w:multiLevelType w:val="hybridMultilevel"/>
    <w:tmpl w:val="656200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D10939"/>
    <w:multiLevelType w:val="hybridMultilevel"/>
    <w:tmpl w:val="FD462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03216"/>
    <w:multiLevelType w:val="hybridMultilevel"/>
    <w:tmpl w:val="6C660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1838CC"/>
    <w:multiLevelType w:val="hybridMultilevel"/>
    <w:tmpl w:val="C93EF63C"/>
    <w:lvl w:ilvl="0" w:tplc="9412045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57E89"/>
    <w:multiLevelType w:val="hybridMultilevel"/>
    <w:tmpl w:val="FBF44364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DC6882"/>
    <w:multiLevelType w:val="hybridMultilevel"/>
    <w:tmpl w:val="0D8E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560579">
    <w:abstractNumId w:val="2"/>
  </w:num>
  <w:num w:numId="2" w16cid:durableId="1595674768">
    <w:abstractNumId w:val="13"/>
  </w:num>
  <w:num w:numId="3" w16cid:durableId="936132440">
    <w:abstractNumId w:val="6"/>
  </w:num>
  <w:num w:numId="4" w16cid:durableId="1008673320">
    <w:abstractNumId w:val="1"/>
  </w:num>
  <w:num w:numId="5" w16cid:durableId="762651455">
    <w:abstractNumId w:val="12"/>
  </w:num>
  <w:num w:numId="6" w16cid:durableId="1002850767">
    <w:abstractNumId w:val="7"/>
  </w:num>
  <w:num w:numId="7" w16cid:durableId="1694115873">
    <w:abstractNumId w:val="10"/>
  </w:num>
  <w:num w:numId="8" w16cid:durableId="459687317">
    <w:abstractNumId w:val="8"/>
  </w:num>
  <w:num w:numId="9" w16cid:durableId="223419437">
    <w:abstractNumId w:val="3"/>
  </w:num>
  <w:num w:numId="10" w16cid:durableId="1271427081">
    <w:abstractNumId w:val="11"/>
  </w:num>
  <w:num w:numId="11" w16cid:durableId="199172429">
    <w:abstractNumId w:val="5"/>
  </w:num>
  <w:num w:numId="12" w16cid:durableId="1018047981">
    <w:abstractNumId w:val="0"/>
  </w:num>
  <w:num w:numId="13" w16cid:durableId="1891066478">
    <w:abstractNumId w:val="4"/>
  </w:num>
  <w:num w:numId="14" w16cid:durableId="7096451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2C"/>
    <w:rsid w:val="0001387C"/>
    <w:rsid w:val="000251EE"/>
    <w:rsid w:val="00030AB4"/>
    <w:rsid w:val="00034EFD"/>
    <w:rsid w:val="000454DB"/>
    <w:rsid w:val="00065559"/>
    <w:rsid w:val="00076B05"/>
    <w:rsid w:val="000A6875"/>
    <w:rsid w:val="000C1A19"/>
    <w:rsid w:val="000C49E5"/>
    <w:rsid w:val="000D329C"/>
    <w:rsid w:val="000F03E6"/>
    <w:rsid w:val="0012682C"/>
    <w:rsid w:val="00174E9C"/>
    <w:rsid w:val="001A0A60"/>
    <w:rsid w:val="001A763D"/>
    <w:rsid w:val="001E0929"/>
    <w:rsid w:val="00204F7B"/>
    <w:rsid w:val="002055FB"/>
    <w:rsid w:val="00215D8D"/>
    <w:rsid w:val="00250E8F"/>
    <w:rsid w:val="00291249"/>
    <w:rsid w:val="002C2FE0"/>
    <w:rsid w:val="00303DB7"/>
    <w:rsid w:val="0030756D"/>
    <w:rsid w:val="0033327A"/>
    <w:rsid w:val="00357630"/>
    <w:rsid w:val="00361981"/>
    <w:rsid w:val="003C026D"/>
    <w:rsid w:val="00413692"/>
    <w:rsid w:val="00416023"/>
    <w:rsid w:val="00444C28"/>
    <w:rsid w:val="004A18F3"/>
    <w:rsid w:val="004A6C11"/>
    <w:rsid w:val="004C4225"/>
    <w:rsid w:val="004C447E"/>
    <w:rsid w:val="004C4DA7"/>
    <w:rsid w:val="004F2DA5"/>
    <w:rsid w:val="004F3E18"/>
    <w:rsid w:val="00500767"/>
    <w:rsid w:val="00537EB8"/>
    <w:rsid w:val="005C0681"/>
    <w:rsid w:val="005F3F02"/>
    <w:rsid w:val="0063013F"/>
    <w:rsid w:val="00631F25"/>
    <w:rsid w:val="006C63CC"/>
    <w:rsid w:val="006F0357"/>
    <w:rsid w:val="006F0D4A"/>
    <w:rsid w:val="007314E6"/>
    <w:rsid w:val="00740D77"/>
    <w:rsid w:val="00740E74"/>
    <w:rsid w:val="0074583C"/>
    <w:rsid w:val="00761301"/>
    <w:rsid w:val="00863299"/>
    <w:rsid w:val="0086390D"/>
    <w:rsid w:val="00867230"/>
    <w:rsid w:val="00884277"/>
    <w:rsid w:val="0088516F"/>
    <w:rsid w:val="008B721A"/>
    <w:rsid w:val="008B7FEF"/>
    <w:rsid w:val="00943B33"/>
    <w:rsid w:val="00965DEB"/>
    <w:rsid w:val="009B514B"/>
    <w:rsid w:val="009C7434"/>
    <w:rsid w:val="00A10BF9"/>
    <w:rsid w:val="00A136E1"/>
    <w:rsid w:val="00A4704A"/>
    <w:rsid w:val="00A63E86"/>
    <w:rsid w:val="00AA4EF2"/>
    <w:rsid w:val="00AB0F26"/>
    <w:rsid w:val="00AB18F2"/>
    <w:rsid w:val="00AB59EE"/>
    <w:rsid w:val="00AD0D43"/>
    <w:rsid w:val="00B05119"/>
    <w:rsid w:val="00B101BF"/>
    <w:rsid w:val="00B66028"/>
    <w:rsid w:val="00BA64D8"/>
    <w:rsid w:val="00BB086C"/>
    <w:rsid w:val="00BC27D6"/>
    <w:rsid w:val="00BF7B9C"/>
    <w:rsid w:val="00C22D91"/>
    <w:rsid w:val="00C24696"/>
    <w:rsid w:val="00C30FDA"/>
    <w:rsid w:val="00C44CF0"/>
    <w:rsid w:val="00C91B1F"/>
    <w:rsid w:val="00CA3EEE"/>
    <w:rsid w:val="00CA45D7"/>
    <w:rsid w:val="00CA5B85"/>
    <w:rsid w:val="00CA72BD"/>
    <w:rsid w:val="00CC3AD0"/>
    <w:rsid w:val="00CD1C19"/>
    <w:rsid w:val="00CF70E8"/>
    <w:rsid w:val="00D1666D"/>
    <w:rsid w:val="00D21767"/>
    <w:rsid w:val="00D45204"/>
    <w:rsid w:val="00D65D1F"/>
    <w:rsid w:val="00D67538"/>
    <w:rsid w:val="00D710A9"/>
    <w:rsid w:val="00D73F18"/>
    <w:rsid w:val="00D91DA9"/>
    <w:rsid w:val="00D95777"/>
    <w:rsid w:val="00DA4DA4"/>
    <w:rsid w:val="00DC2042"/>
    <w:rsid w:val="00DD5391"/>
    <w:rsid w:val="00E02E37"/>
    <w:rsid w:val="00E1736C"/>
    <w:rsid w:val="00E42A61"/>
    <w:rsid w:val="00E477B7"/>
    <w:rsid w:val="00E574A8"/>
    <w:rsid w:val="00E62414"/>
    <w:rsid w:val="00E62D03"/>
    <w:rsid w:val="00E71BAF"/>
    <w:rsid w:val="00E8252B"/>
    <w:rsid w:val="00E95658"/>
    <w:rsid w:val="00ED0C7B"/>
    <w:rsid w:val="00ED7BEF"/>
    <w:rsid w:val="00F00EE3"/>
    <w:rsid w:val="00F21CB0"/>
    <w:rsid w:val="00F46005"/>
    <w:rsid w:val="00F6763A"/>
    <w:rsid w:val="00FC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63BD2"/>
  <w15:chartTrackingRefBased/>
  <w15:docId w15:val="{4E735581-52E6-4E6B-AC0F-0890EA8F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2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268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2682C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268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2682C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68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268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68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68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68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68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682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B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B514B"/>
  </w:style>
  <w:style w:type="paragraph" w:styleId="af0">
    <w:name w:val="footer"/>
    <w:basedOn w:val="a"/>
    <w:link w:val="af1"/>
    <w:uiPriority w:val="99"/>
    <w:unhideWhenUsed/>
    <w:rsid w:val="009B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B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Dingming Xue</dc:creator>
  <cp:keywords/>
  <dc:description/>
  <cp:lastModifiedBy>Dingming Xue</cp:lastModifiedBy>
  <cp:revision>34</cp:revision>
  <cp:lastPrinted>2025-04-10T09:13:00Z</cp:lastPrinted>
  <dcterms:created xsi:type="dcterms:W3CDTF">2025-03-13T08:45:00Z</dcterms:created>
  <dcterms:modified xsi:type="dcterms:W3CDTF">2025-04-10T09:48:00Z</dcterms:modified>
</cp:coreProperties>
</file>