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8EDF9" w14:textId="4DC52832" w:rsidR="00740D77" w:rsidRPr="00740D77" w:rsidRDefault="004C447E" w:rsidP="00AB59EE">
      <w:pPr>
        <w:jc w:val="center"/>
        <w:rPr>
          <w:sz w:val="28"/>
          <w:szCs w:val="28"/>
        </w:rPr>
      </w:pPr>
      <w:r w:rsidRPr="004C447E">
        <w:rPr>
          <w:sz w:val="48"/>
          <w:szCs w:val="48"/>
        </w:rPr>
        <w:t xml:space="preserve">Analysis Report </w:t>
      </w:r>
      <w:r w:rsidR="001A0A60" w:rsidRPr="004C447E">
        <w:rPr>
          <w:sz w:val="48"/>
          <w:szCs w:val="48"/>
        </w:rPr>
        <w:t>on</w:t>
      </w:r>
      <w:r w:rsidRPr="004C447E">
        <w:rPr>
          <w:sz w:val="48"/>
          <w:szCs w:val="48"/>
        </w:rPr>
        <w:t xml:space="preserve"> Consensus effect on </w:t>
      </w:r>
      <w:r>
        <w:rPr>
          <w:rFonts w:hint="eastAsia"/>
          <w:sz w:val="48"/>
          <w:szCs w:val="48"/>
        </w:rPr>
        <w:t xml:space="preserve">Stock </w:t>
      </w:r>
      <w:r w:rsidR="00702F58">
        <w:rPr>
          <w:rFonts w:hint="eastAsia"/>
          <w:sz w:val="48"/>
          <w:szCs w:val="48"/>
        </w:rPr>
        <w:t>Price</w:t>
      </w:r>
      <w:r w:rsidR="00B54A2D">
        <w:rPr>
          <w:rFonts w:hint="eastAsia"/>
          <w:sz w:val="48"/>
          <w:szCs w:val="48"/>
        </w:rPr>
        <w:t xml:space="preserve"> </w:t>
      </w:r>
      <w:r>
        <w:rPr>
          <w:sz w:val="48"/>
          <w:szCs w:val="48"/>
        </w:rPr>
        <w:t>(</w:t>
      </w:r>
      <w:r w:rsidR="00702F58">
        <w:rPr>
          <w:rFonts w:hint="eastAsia"/>
          <w:sz w:val="48"/>
          <w:szCs w:val="48"/>
        </w:rPr>
        <w:t>Miss</w:t>
      </w:r>
      <w:r>
        <w:rPr>
          <w:sz w:val="48"/>
          <w:szCs w:val="48"/>
        </w:rPr>
        <w:t xml:space="preserve"> Case</w:t>
      </w:r>
      <w:r w:rsidR="00357630">
        <w:rPr>
          <w:rFonts w:hint="eastAsia"/>
          <w:sz w:val="48"/>
          <w:szCs w:val="48"/>
        </w:rPr>
        <w:t>s</w:t>
      </w:r>
      <w:r>
        <w:rPr>
          <w:sz w:val="48"/>
          <w:szCs w:val="48"/>
        </w:rPr>
        <w:t>)</w:t>
      </w:r>
    </w:p>
    <w:p w14:paraId="02EE0E8A" w14:textId="77777777" w:rsidR="003C026D" w:rsidRDefault="0001387C" w:rsidP="003C026D">
      <w:pPr>
        <w:jc w:val="right"/>
        <w:rPr>
          <w:sz w:val="28"/>
          <w:szCs w:val="28"/>
        </w:rPr>
      </w:pPr>
      <w:r>
        <w:rPr>
          <w:rFonts w:hint="eastAsia"/>
          <w:sz w:val="28"/>
          <w:szCs w:val="28"/>
        </w:rPr>
        <w:t>Dingming</w:t>
      </w:r>
    </w:p>
    <w:p w14:paraId="30EC3DE7" w14:textId="77777777" w:rsidR="00B54A2D" w:rsidRDefault="00B54A2D" w:rsidP="00B54A2D">
      <w:pPr>
        <w:ind w:right="280"/>
        <w:jc w:val="right"/>
        <w:rPr>
          <w:sz w:val="28"/>
          <w:szCs w:val="28"/>
        </w:rPr>
      </w:pPr>
    </w:p>
    <w:p w14:paraId="127F9ED3" w14:textId="4F37ED75" w:rsidR="00B54A2D" w:rsidRPr="00B54A2D" w:rsidRDefault="00B54A2D" w:rsidP="00631F25">
      <w:pPr>
        <w:pStyle w:val="a9"/>
        <w:numPr>
          <w:ilvl w:val="0"/>
          <w:numId w:val="13"/>
        </w:numPr>
        <w:ind w:left="0"/>
      </w:pPr>
      <w:r w:rsidRPr="00B54A2D">
        <w:rPr>
          <w:rFonts w:hint="eastAsia"/>
          <w:sz w:val="32"/>
          <w:szCs w:val="32"/>
        </w:rPr>
        <w:t>Key Takeaways</w:t>
      </w:r>
      <w:r>
        <w:rPr>
          <w:sz w:val="32"/>
          <w:szCs w:val="32"/>
        </w:rPr>
        <w:br/>
      </w:r>
      <w:r>
        <w:br/>
      </w:r>
      <w:r>
        <w:rPr>
          <w:rFonts w:hint="eastAsia"/>
        </w:rPr>
        <w:t xml:space="preserve">For </w:t>
      </w:r>
      <w:r w:rsidRPr="00B54A2D">
        <w:rPr>
          <w:rFonts w:hint="eastAsia"/>
          <w:b/>
          <w:bCs/>
        </w:rPr>
        <w:t>Miss Down</w:t>
      </w:r>
      <w:r>
        <w:rPr>
          <w:rFonts w:hint="eastAsia"/>
        </w:rPr>
        <w:t xml:space="preserve"> situations: </w:t>
      </w:r>
      <w:r>
        <w:br/>
      </w:r>
      <w:r w:rsidR="006E1E33">
        <w:rPr>
          <w:rFonts w:hint="eastAsia"/>
        </w:rPr>
        <w:t xml:space="preserve">    </w:t>
      </w:r>
      <w:r>
        <w:t xml:space="preserve">Buy the stock on day </w:t>
      </w:r>
      <w:r w:rsidR="00102E76">
        <w:rPr>
          <w:rFonts w:hint="eastAsia"/>
        </w:rPr>
        <w:t>3</w:t>
      </w:r>
      <w:r>
        <w:t xml:space="preserve"> and sell it on day 14, yielding an average return of 2.</w:t>
      </w:r>
      <w:r w:rsidR="00102E76">
        <w:rPr>
          <w:rFonts w:hint="eastAsia"/>
        </w:rPr>
        <w:t>7</w:t>
      </w:r>
      <w:r>
        <w:t>%.</w:t>
      </w:r>
      <w:r>
        <w:br/>
      </w:r>
      <w:r>
        <w:br/>
      </w:r>
      <w:r>
        <w:rPr>
          <w:rFonts w:hint="eastAsia"/>
        </w:rPr>
        <w:t xml:space="preserve">For </w:t>
      </w:r>
      <w:r w:rsidRPr="00B54A2D">
        <w:rPr>
          <w:rFonts w:hint="eastAsia"/>
          <w:b/>
          <w:bCs/>
        </w:rPr>
        <w:t>Miss Up</w:t>
      </w:r>
      <w:r>
        <w:rPr>
          <w:rFonts w:hint="eastAsia"/>
        </w:rPr>
        <w:t xml:space="preserve"> </w:t>
      </w:r>
      <w:r>
        <w:t>situations</w:t>
      </w:r>
      <w:r>
        <w:rPr>
          <w:rFonts w:hint="eastAsia"/>
        </w:rPr>
        <w:t>:</w:t>
      </w:r>
      <w:r>
        <w:br/>
      </w:r>
      <w:r w:rsidR="006E1E33">
        <w:rPr>
          <w:rFonts w:hint="eastAsia"/>
        </w:rPr>
        <w:t xml:space="preserve">    B</w:t>
      </w:r>
      <w:r w:rsidRPr="00B54A2D">
        <w:t>uy the stock on day 6 and sell it on day 19</w:t>
      </w:r>
      <w:r>
        <w:rPr>
          <w:rFonts w:hint="eastAsia"/>
        </w:rPr>
        <w:t xml:space="preserve">, </w:t>
      </w:r>
      <w:r>
        <w:t xml:space="preserve">yielding an average return of </w:t>
      </w:r>
      <w:r>
        <w:rPr>
          <w:rFonts w:hint="eastAsia"/>
        </w:rPr>
        <w:t>1.</w:t>
      </w:r>
      <w:r w:rsidR="00102E76">
        <w:rPr>
          <w:rFonts w:hint="eastAsia"/>
        </w:rPr>
        <w:t>8</w:t>
      </w:r>
      <w:r>
        <w:t>%.</w:t>
      </w:r>
      <w:r>
        <w:br/>
      </w:r>
    </w:p>
    <w:p w14:paraId="0ADC585D" w14:textId="4F873EC3" w:rsidR="00E574A8" w:rsidRDefault="00E95658" w:rsidP="00631F25">
      <w:pPr>
        <w:pStyle w:val="a9"/>
        <w:numPr>
          <w:ilvl w:val="0"/>
          <w:numId w:val="13"/>
        </w:numPr>
        <w:ind w:left="0"/>
      </w:pPr>
      <w:r w:rsidRPr="00B54A2D">
        <w:rPr>
          <w:rFonts w:hint="eastAsia"/>
          <w:sz w:val="32"/>
          <w:szCs w:val="32"/>
        </w:rPr>
        <w:t xml:space="preserve">Overall </w:t>
      </w:r>
      <w:r w:rsidR="00D95777" w:rsidRPr="00B54A2D">
        <w:rPr>
          <w:rFonts w:hint="eastAsia"/>
          <w:sz w:val="32"/>
          <w:szCs w:val="32"/>
        </w:rPr>
        <w:t>Summar</w:t>
      </w:r>
      <w:r w:rsidRPr="00B54A2D">
        <w:rPr>
          <w:rFonts w:hint="eastAsia"/>
          <w:sz w:val="32"/>
          <w:szCs w:val="32"/>
        </w:rPr>
        <w:t>y</w:t>
      </w:r>
      <w:r w:rsidR="004C4225">
        <w:rPr>
          <w:sz w:val="32"/>
          <w:szCs w:val="32"/>
        </w:rPr>
        <w:br/>
      </w:r>
      <w:r w:rsidR="00E574A8">
        <w:t>The analysis is conducted using data from the semiconductor sector, covering 67 equities: 20 from the U.S., 13 from the EU, 20 from developed Asia Pacific markets, and 14 from emerging Asia Pacific markets.</w:t>
      </w:r>
    </w:p>
    <w:p w14:paraId="5E1A4052" w14:textId="635DDD57" w:rsidR="008B7FEF" w:rsidRDefault="00E574A8" w:rsidP="00631F25">
      <w:r>
        <w:t xml:space="preserve">There are </w:t>
      </w:r>
      <w:r w:rsidR="00702F58">
        <w:rPr>
          <w:rFonts w:hint="eastAsia"/>
        </w:rPr>
        <w:t>319</w:t>
      </w:r>
      <w:r>
        <w:t xml:space="preserve"> </w:t>
      </w:r>
      <w:r w:rsidR="00D207AB">
        <w:rPr>
          <w:rFonts w:hint="eastAsia"/>
        </w:rPr>
        <w:t>miss</w:t>
      </w:r>
      <w:r>
        <w:t xml:space="preserve"> cases and </w:t>
      </w:r>
      <w:r w:rsidR="00702F58">
        <w:rPr>
          <w:rFonts w:hint="eastAsia"/>
        </w:rPr>
        <w:t>105</w:t>
      </w:r>
      <w:r>
        <w:t xml:space="preserve"> situation 1 cases. The observation window is set to 20 days after the earnings announcement, and only cases where the earnings </w:t>
      </w:r>
      <w:r w:rsidR="00D207AB">
        <w:rPr>
          <w:rFonts w:hint="eastAsia"/>
        </w:rPr>
        <w:t>miss</w:t>
      </w:r>
      <w:r>
        <w:t xml:space="preserve"> exceeds 10% are included in the analysis.</w:t>
      </w:r>
      <w:r w:rsidR="00E95658" w:rsidRPr="00E574A8">
        <w:rPr>
          <w:sz w:val="32"/>
          <w:szCs w:val="32"/>
        </w:rPr>
        <w:br/>
      </w:r>
      <w:r w:rsidR="00102E76" w:rsidRPr="00102E76">
        <w:drawing>
          <wp:inline distT="0" distB="0" distL="0" distR="0" wp14:anchorId="02134E08" wp14:editId="1D2E8E94">
            <wp:extent cx="5943600" cy="1409065"/>
            <wp:effectExtent l="0" t="0" r="0" b="635"/>
            <wp:docPr id="6279560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9065"/>
                    </a:xfrm>
                    <a:prstGeom prst="rect">
                      <a:avLst/>
                    </a:prstGeom>
                    <a:noFill/>
                    <a:ln>
                      <a:noFill/>
                    </a:ln>
                  </pic:spPr>
                </pic:pic>
              </a:graphicData>
            </a:graphic>
          </wp:inline>
        </w:drawing>
      </w:r>
      <w:r w:rsidR="003C026D">
        <w:br/>
      </w:r>
      <w:r w:rsidR="00D95777">
        <w:rPr>
          <w:rFonts w:hint="eastAsia"/>
        </w:rPr>
        <w:t xml:space="preserve">Situation 1 takes up 1/3 </w:t>
      </w:r>
      <w:r w:rsidR="004C4225">
        <w:rPr>
          <w:rFonts w:hint="eastAsia"/>
        </w:rPr>
        <w:t>within</w:t>
      </w:r>
      <w:r w:rsidR="00D95777">
        <w:rPr>
          <w:rFonts w:hint="eastAsia"/>
        </w:rPr>
        <w:t xml:space="preserve"> </w:t>
      </w:r>
      <w:r w:rsidR="00D207AB">
        <w:rPr>
          <w:rFonts w:hint="eastAsia"/>
        </w:rPr>
        <w:t>miss</w:t>
      </w:r>
      <w:r w:rsidR="00D95777">
        <w:rPr>
          <w:rFonts w:hint="eastAsia"/>
        </w:rPr>
        <w:t xml:space="preserve"> situations</w:t>
      </w:r>
      <w:r w:rsidR="00102E76">
        <w:rPr>
          <w:rFonts w:hint="eastAsia"/>
        </w:rPr>
        <w:t xml:space="preserve"> (</w:t>
      </w:r>
      <w:r w:rsidR="00102E76">
        <w:t>Situation</w:t>
      </w:r>
      <w:r w:rsidR="00102E76">
        <w:rPr>
          <w:rFonts w:hint="eastAsia"/>
        </w:rPr>
        <w:t xml:space="preserve"> 1 to 4 combined)</w:t>
      </w:r>
      <w:r w:rsidR="00D95777">
        <w:rPr>
          <w:rFonts w:hint="eastAsia"/>
        </w:rPr>
        <w:t xml:space="preserve"> and 2/3 </w:t>
      </w:r>
      <w:r w:rsidR="004C4225">
        <w:rPr>
          <w:rFonts w:hint="eastAsia"/>
        </w:rPr>
        <w:t>within</w:t>
      </w:r>
      <w:r w:rsidR="00D95777">
        <w:rPr>
          <w:rFonts w:hint="eastAsia"/>
        </w:rPr>
        <w:t xml:space="preserve"> </w:t>
      </w:r>
      <w:r w:rsidR="00D207AB">
        <w:rPr>
          <w:rFonts w:hint="eastAsia"/>
        </w:rPr>
        <w:t>miss down</w:t>
      </w:r>
      <w:r w:rsidR="00D95777">
        <w:rPr>
          <w:rFonts w:hint="eastAsia"/>
        </w:rPr>
        <w:t xml:space="preserve"> situations</w:t>
      </w:r>
      <w:r w:rsidR="00102E76">
        <w:rPr>
          <w:rFonts w:hint="eastAsia"/>
        </w:rPr>
        <w:t xml:space="preserve"> (situation 1 to 3)</w:t>
      </w:r>
      <w:r w:rsidR="00D95777">
        <w:rPr>
          <w:rFonts w:hint="eastAsia"/>
        </w:rPr>
        <w:t>.</w:t>
      </w:r>
      <w:r w:rsidR="00702F58">
        <w:rPr>
          <w:rFonts w:hint="eastAsia"/>
        </w:rPr>
        <w:t xml:space="preserve"> </w:t>
      </w:r>
      <w:r w:rsidR="00702F58" w:rsidRPr="00B54A2D">
        <w:rPr>
          <w:rFonts w:hint="eastAsia"/>
          <w:highlight w:val="cyan"/>
        </w:rPr>
        <w:t xml:space="preserve">This distribution is </w:t>
      </w:r>
      <w:r w:rsidR="00B54A2D" w:rsidRPr="00B54A2D">
        <w:rPr>
          <w:rFonts w:hint="eastAsia"/>
          <w:highlight w:val="cyan"/>
        </w:rPr>
        <w:t xml:space="preserve">similar </w:t>
      </w:r>
      <w:r w:rsidR="00102E76">
        <w:rPr>
          <w:rFonts w:hint="eastAsia"/>
          <w:highlight w:val="cyan"/>
        </w:rPr>
        <w:t>to</w:t>
      </w:r>
      <w:r w:rsidR="00702F58" w:rsidRPr="00B54A2D">
        <w:rPr>
          <w:rFonts w:hint="eastAsia"/>
          <w:highlight w:val="cyan"/>
        </w:rPr>
        <w:t xml:space="preserve"> beat cases.</w:t>
      </w:r>
      <w:r w:rsidR="008B7FEF">
        <w:br/>
      </w:r>
    </w:p>
    <w:p w14:paraId="20D8F2BC" w14:textId="77777777" w:rsidR="00102E76" w:rsidRDefault="00102E76" w:rsidP="00631F25"/>
    <w:p w14:paraId="11C38D10" w14:textId="77777777" w:rsidR="00102E76" w:rsidRDefault="00102E76" w:rsidP="00631F25"/>
    <w:p w14:paraId="34E3906A" w14:textId="77777777" w:rsidR="00102E76" w:rsidRPr="00E574A8" w:rsidRDefault="00102E76" w:rsidP="00631F25"/>
    <w:p w14:paraId="1150A690" w14:textId="223185B9" w:rsidR="00102E76" w:rsidRDefault="00702F58" w:rsidP="008B7FEF">
      <w:pPr>
        <w:pStyle w:val="a9"/>
        <w:numPr>
          <w:ilvl w:val="0"/>
          <w:numId w:val="13"/>
        </w:numPr>
        <w:ind w:left="360"/>
        <w:rPr>
          <w:sz w:val="32"/>
          <w:szCs w:val="32"/>
        </w:rPr>
      </w:pPr>
      <w:r>
        <w:rPr>
          <w:rFonts w:hint="eastAsia"/>
          <w:sz w:val="32"/>
          <w:szCs w:val="32"/>
        </w:rPr>
        <w:lastRenderedPageBreak/>
        <w:t xml:space="preserve">The Distribution of Peak dates </w:t>
      </w:r>
      <w:r w:rsidR="00102E76">
        <w:rPr>
          <w:rFonts w:hint="eastAsia"/>
          <w:sz w:val="32"/>
          <w:szCs w:val="32"/>
        </w:rPr>
        <w:t>(Situation 1)</w:t>
      </w:r>
    </w:p>
    <w:p w14:paraId="5A594718" w14:textId="302E2C7F" w:rsidR="008B7FEF" w:rsidRPr="008B7FEF" w:rsidRDefault="00B54A2D" w:rsidP="00102E76">
      <w:pPr>
        <w:pStyle w:val="a9"/>
        <w:ind w:left="360"/>
        <w:jc w:val="center"/>
        <w:rPr>
          <w:sz w:val="32"/>
          <w:szCs w:val="32"/>
        </w:rPr>
      </w:pPr>
      <w:r>
        <w:rPr>
          <w:noProof/>
          <w:sz w:val="32"/>
          <w:szCs w:val="32"/>
        </w:rPr>
        <w:drawing>
          <wp:inline distT="0" distB="0" distL="0" distR="0" wp14:anchorId="6D3713A3" wp14:editId="2E91939F">
            <wp:extent cx="4731746" cy="2629362"/>
            <wp:effectExtent l="0" t="0" r="0" b="0"/>
            <wp:docPr id="131033779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746" cy="2629362"/>
                    </a:xfrm>
                    <a:prstGeom prst="rect">
                      <a:avLst/>
                    </a:prstGeom>
                    <a:noFill/>
                  </pic:spPr>
                </pic:pic>
              </a:graphicData>
            </a:graphic>
          </wp:inline>
        </w:drawing>
      </w:r>
    </w:p>
    <w:p w14:paraId="2E095011" w14:textId="443D000B" w:rsidR="008B7FEF" w:rsidRDefault="00102E76" w:rsidP="008B7FEF">
      <w:pPr>
        <w:jc w:val="center"/>
      </w:pPr>
      <w:r w:rsidRPr="00102E76">
        <w:drawing>
          <wp:inline distT="0" distB="0" distL="0" distR="0" wp14:anchorId="0D87A70C" wp14:editId="35D7BB03">
            <wp:extent cx="4777105" cy="1296564"/>
            <wp:effectExtent l="0" t="0" r="4445" b="0"/>
            <wp:docPr id="9420545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527" cy="1299935"/>
                    </a:xfrm>
                    <a:prstGeom prst="rect">
                      <a:avLst/>
                    </a:prstGeom>
                    <a:noFill/>
                    <a:ln>
                      <a:noFill/>
                    </a:ln>
                  </pic:spPr>
                </pic:pic>
              </a:graphicData>
            </a:graphic>
          </wp:inline>
        </w:drawing>
      </w:r>
    </w:p>
    <w:p w14:paraId="09265E3A" w14:textId="77777777" w:rsidR="003B7166" w:rsidRDefault="003B7166" w:rsidP="008B7FEF">
      <w:r>
        <w:rPr>
          <w:rFonts w:hint="eastAsia"/>
        </w:rPr>
        <w:t>Peak</w:t>
      </w:r>
      <w:r w:rsidR="00631F25" w:rsidRPr="00631F25">
        <w:t xml:space="preserve">s most frequently occur on day 2, with the majority distributed between days 2 and </w:t>
      </w:r>
      <w:r>
        <w:rPr>
          <w:rFonts w:hint="eastAsia"/>
        </w:rPr>
        <w:t>6</w:t>
      </w:r>
      <w:r w:rsidR="00631F25" w:rsidRPr="00631F25">
        <w:t xml:space="preserve">. </w:t>
      </w:r>
    </w:p>
    <w:p w14:paraId="19467A54" w14:textId="77777777" w:rsidR="003B7166" w:rsidRDefault="003B7166" w:rsidP="008B7FEF">
      <w:r>
        <w:rPr>
          <w:rFonts w:hint="eastAsia"/>
        </w:rPr>
        <w:t>Notably, 50% of the samples rebound to day-1-level on day 2.</w:t>
      </w:r>
    </w:p>
    <w:p w14:paraId="2BDA6A2A" w14:textId="77777777" w:rsidR="003B7166" w:rsidRDefault="003B7166" w:rsidP="003B7166">
      <w:pPr>
        <w:jc w:val="center"/>
        <w:rPr>
          <w:sz w:val="32"/>
          <w:szCs w:val="32"/>
        </w:rPr>
      </w:pPr>
      <w:r w:rsidRPr="003B7166">
        <w:drawing>
          <wp:inline distT="0" distB="0" distL="0" distR="0" wp14:anchorId="62CC851E" wp14:editId="775F752A">
            <wp:extent cx="3401873" cy="2296972"/>
            <wp:effectExtent l="0" t="0" r="8255" b="8255"/>
            <wp:docPr id="903414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062" cy="2308578"/>
                    </a:xfrm>
                    <a:prstGeom prst="rect">
                      <a:avLst/>
                    </a:prstGeom>
                    <a:noFill/>
                    <a:ln>
                      <a:noFill/>
                    </a:ln>
                  </pic:spPr>
                </pic:pic>
              </a:graphicData>
            </a:graphic>
          </wp:inline>
        </w:drawing>
      </w:r>
    </w:p>
    <w:p w14:paraId="0896718F" w14:textId="106595ED" w:rsidR="003B7166" w:rsidRPr="003B7166" w:rsidRDefault="003B7166" w:rsidP="003B7166">
      <w:pPr>
        <w:rPr>
          <w:rFonts w:hint="eastAsia"/>
        </w:rPr>
      </w:pPr>
      <w:r>
        <w:rPr>
          <w:rFonts w:hint="eastAsia"/>
        </w:rPr>
        <w:t>Average Day1 return is -4.69%.</w:t>
      </w:r>
    </w:p>
    <w:p w14:paraId="730BC332" w14:textId="77777777" w:rsidR="005C1F39" w:rsidRDefault="003B7166" w:rsidP="005C1F39">
      <w:pPr>
        <w:jc w:val="center"/>
        <w:rPr>
          <w:sz w:val="32"/>
          <w:szCs w:val="32"/>
        </w:rPr>
      </w:pPr>
      <w:r w:rsidRPr="003B7166">
        <w:lastRenderedPageBreak/>
        <w:drawing>
          <wp:inline distT="0" distB="0" distL="0" distR="0" wp14:anchorId="6A38B9EE" wp14:editId="680D499D">
            <wp:extent cx="3321050" cy="1353185"/>
            <wp:effectExtent l="0" t="0" r="0" b="0"/>
            <wp:docPr id="15449840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0" cy="1353185"/>
                    </a:xfrm>
                    <a:prstGeom prst="rect">
                      <a:avLst/>
                    </a:prstGeom>
                    <a:noFill/>
                    <a:ln>
                      <a:noFill/>
                    </a:ln>
                  </pic:spPr>
                </pic:pic>
              </a:graphicData>
            </a:graphic>
          </wp:inline>
        </w:drawing>
      </w:r>
    </w:p>
    <w:p w14:paraId="033F4F2E" w14:textId="17FFA625" w:rsidR="007C7C80" w:rsidRPr="005C1F39" w:rsidRDefault="000C49E5" w:rsidP="005C1F39">
      <w:pPr>
        <w:pStyle w:val="a9"/>
        <w:numPr>
          <w:ilvl w:val="0"/>
          <w:numId w:val="13"/>
        </w:numPr>
        <w:ind w:left="360"/>
        <w:rPr>
          <w:sz w:val="32"/>
          <w:szCs w:val="32"/>
        </w:rPr>
      </w:pPr>
      <w:r w:rsidRPr="005C1F39">
        <w:rPr>
          <w:rFonts w:hint="eastAsia"/>
          <w:sz w:val="32"/>
          <w:szCs w:val="32"/>
        </w:rPr>
        <w:t xml:space="preserve">Average </w:t>
      </w:r>
      <w:r w:rsidR="00CA5B85" w:rsidRPr="005C1F39">
        <w:rPr>
          <w:rFonts w:hint="eastAsia"/>
          <w:sz w:val="32"/>
          <w:szCs w:val="32"/>
        </w:rPr>
        <w:t xml:space="preserve">Cumulative </w:t>
      </w:r>
      <w:r w:rsidR="00D21767" w:rsidRPr="005C1F39">
        <w:rPr>
          <w:rFonts w:hint="eastAsia"/>
          <w:sz w:val="32"/>
          <w:szCs w:val="32"/>
        </w:rPr>
        <w:t xml:space="preserve">Return </w:t>
      </w:r>
      <w:r w:rsidR="007C7C80" w:rsidRPr="005C1F39">
        <w:rPr>
          <w:rFonts w:hint="eastAsia"/>
          <w:sz w:val="32"/>
          <w:szCs w:val="32"/>
        </w:rPr>
        <w:t>Analysis</w:t>
      </w:r>
      <w:r w:rsidR="00B863BF">
        <w:rPr>
          <w:rFonts w:hint="eastAsia"/>
          <w:sz w:val="32"/>
          <w:szCs w:val="32"/>
        </w:rPr>
        <w:t xml:space="preserve"> (Situation 1 to 3 combined)</w:t>
      </w:r>
      <w:r w:rsidR="003B7166" w:rsidRPr="005C1F39">
        <w:rPr>
          <w:sz w:val="32"/>
          <w:szCs w:val="32"/>
        </w:rPr>
        <w:br/>
      </w:r>
      <w:r w:rsidR="007C7C80">
        <w:t xml:space="preserve">There </w:t>
      </w:r>
      <w:r w:rsidR="0078406E">
        <w:rPr>
          <w:rFonts w:hint="eastAsia"/>
        </w:rPr>
        <w:t>one strategy</w:t>
      </w:r>
      <w:r w:rsidR="007C7C80">
        <w:t xml:space="preserve"> for capitalizing on miss situations:</w:t>
      </w:r>
    </w:p>
    <w:p w14:paraId="14180A22" w14:textId="5815DFD1" w:rsidR="007C7C80" w:rsidRDefault="007C7C80" w:rsidP="007C7C80">
      <w:pPr>
        <w:pStyle w:val="a9"/>
        <w:numPr>
          <w:ilvl w:val="0"/>
          <w:numId w:val="15"/>
        </w:numPr>
      </w:pPr>
      <w:r>
        <w:t xml:space="preserve">Buy the stock on day </w:t>
      </w:r>
      <w:r w:rsidR="0078406E">
        <w:rPr>
          <w:rFonts w:hint="eastAsia"/>
        </w:rPr>
        <w:t>3</w:t>
      </w:r>
      <w:r>
        <w:t xml:space="preserve"> and sell it on day 14, yielding an average return of 2.</w:t>
      </w:r>
      <w:r w:rsidR="0078406E">
        <w:rPr>
          <w:rFonts w:hint="eastAsia"/>
        </w:rPr>
        <w:t>68</w:t>
      </w:r>
      <w:r>
        <w:t>%.</w:t>
      </w:r>
    </w:p>
    <w:p w14:paraId="1EF95927" w14:textId="2CB67C2D" w:rsidR="006E1E33" w:rsidRPr="006E1E33" w:rsidRDefault="007C7C80" w:rsidP="005C1F39">
      <w:pPr>
        <w:rPr>
          <w:rFonts w:hint="eastAsia"/>
        </w:rPr>
      </w:pPr>
      <w:r>
        <w:t>Although there are three different patterns identified under miss-down scenarios, it is practically difficult to distinguish among them during live trading. This is because we cannot accurately predict when the stock will reach its peak or begin to rebound.</w:t>
      </w:r>
      <w:r w:rsidR="006E1E33">
        <w:rPr>
          <w:rFonts w:hint="eastAsia"/>
        </w:rPr>
        <w:t xml:space="preserve"> Therefore, I used all the miss down cases for </w:t>
      </w:r>
      <w:r w:rsidR="006E1E33">
        <w:t>analysis</w:t>
      </w:r>
      <w:r w:rsidR="006E1E33">
        <w:rPr>
          <w:rFonts w:hint="eastAsia"/>
        </w:rPr>
        <w:t>.</w:t>
      </w:r>
    </w:p>
    <w:p w14:paraId="3E95B976" w14:textId="4F35B470" w:rsidR="0078406E" w:rsidRDefault="0078406E" w:rsidP="005C1F39">
      <w:r w:rsidRPr="0078406E">
        <w:drawing>
          <wp:inline distT="0" distB="0" distL="0" distR="0" wp14:anchorId="47D5503C" wp14:editId="2369EA97">
            <wp:extent cx="2773350" cy="2895166"/>
            <wp:effectExtent l="0" t="0" r="8255" b="635"/>
            <wp:docPr id="15046644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3498" cy="2916199"/>
                    </a:xfrm>
                    <a:prstGeom prst="rect">
                      <a:avLst/>
                    </a:prstGeom>
                    <a:noFill/>
                    <a:ln>
                      <a:noFill/>
                    </a:ln>
                  </pic:spPr>
                </pic:pic>
              </a:graphicData>
            </a:graphic>
          </wp:inline>
        </w:drawing>
      </w:r>
      <w:r w:rsidRPr="0078406E">
        <w:drawing>
          <wp:inline distT="0" distB="0" distL="0" distR="0" wp14:anchorId="44073680" wp14:editId="2E0DB1D0">
            <wp:extent cx="2919909" cy="2896590"/>
            <wp:effectExtent l="0" t="0" r="0" b="0"/>
            <wp:docPr id="14705522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423" cy="2909005"/>
                    </a:xfrm>
                    <a:prstGeom prst="rect">
                      <a:avLst/>
                    </a:prstGeom>
                    <a:noFill/>
                    <a:ln>
                      <a:noFill/>
                    </a:ln>
                  </pic:spPr>
                </pic:pic>
              </a:graphicData>
            </a:graphic>
          </wp:inline>
        </w:drawing>
      </w:r>
    </w:p>
    <w:p w14:paraId="3B9E2313" w14:textId="75333E56" w:rsidR="006E1E33" w:rsidRDefault="00A13ABE" w:rsidP="005C1F39">
      <w:r w:rsidRPr="00A13ABE">
        <w:rPr>
          <w:rFonts w:hint="eastAsia"/>
        </w:rPr>
        <w:lastRenderedPageBreak/>
        <w:drawing>
          <wp:inline distT="0" distB="0" distL="0" distR="0" wp14:anchorId="0DD5FE05" wp14:editId="3C355B09">
            <wp:extent cx="2844331" cy="3117406"/>
            <wp:effectExtent l="0" t="0" r="0" b="6985"/>
            <wp:docPr id="1993823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529" cy="3125295"/>
                    </a:xfrm>
                    <a:prstGeom prst="rect">
                      <a:avLst/>
                    </a:prstGeom>
                    <a:noFill/>
                    <a:ln>
                      <a:noFill/>
                    </a:ln>
                  </pic:spPr>
                </pic:pic>
              </a:graphicData>
            </a:graphic>
          </wp:inline>
        </w:drawing>
      </w:r>
      <w:r w:rsidR="006E1E33" w:rsidRPr="006E1E33">
        <w:drawing>
          <wp:inline distT="0" distB="0" distL="0" distR="0" wp14:anchorId="3D387AB5" wp14:editId="2A1981F3">
            <wp:extent cx="3054511" cy="2394820"/>
            <wp:effectExtent l="0" t="0" r="0" b="5715"/>
            <wp:docPr id="4326686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2080" cy="2400755"/>
                    </a:xfrm>
                    <a:prstGeom prst="rect">
                      <a:avLst/>
                    </a:prstGeom>
                    <a:noFill/>
                    <a:ln>
                      <a:noFill/>
                    </a:ln>
                  </pic:spPr>
                </pic:pic>
              </a:graphicData>
            </a:graphic>
          </wp:inline>
        </w:drawing>
      </w:r>
    </w:p>
    <w:p w14:paraId="27340F46" w14:textId="77777777" w:rsidR="005C1F39" w:rsidRDefault="005C1F39" w:rsidP="005C1F39"/>
    <w:p w14:paraId="275736A7" w14:textId="77777777" w:rsidR="005C1F39" w:rsidRDefault="005C1F39" w:rsidP="005C1F39">
      <w:pPr>
        <w:pStyle w:val="a9"/>
        <w:numPr>
          <w:ilvl w:val="0"/>
          <w:numId w:val="13"/>
        </w:numPr>
        <w:ind w:left="360"/>
        <w:rPr>
          <w:sz w:val="32"/>
          <w:szCs w:val="32"/>
        </w:rPr>
      </w:pPr>
      <w:r w:rsidRPr="005C1F39">
        <w:rPr>
          <w:rFonts w:hint="eastAsia"/>
          <w:sz w:val="32"/>
          <w:szCs w:val="32"/>
        </w:rPr>
        <w:t>Analysis on Miss Up situations</w:t>
      </w:r>
    </w:p>
    <w:p w14:paraId="42DE21A3" w14:textId="0488AB88" w:rsidR="005F1D39" w:rsidRDefault="005C1F39" w:rsidP="005C1F39">
      <w:r>
        <w:rPr>
          <w:rFonts w:hint="eastAsia"/>
        </w:rPr>
        <w:t xml:space="preserve">There are 147 cases in miss up situations. The figure of cumulative return is as shown below. From this figure it can be observed that </w:t>
      </w:r>
      <w:r w:rsidR="005F1D39">
        <w:t>the average</w:t>
      </w:r>
      <w:r w:rsidR="005F1D39">
        <w:rPr>
          <w:rFonts w:hint="eastAsia"/>
        </w:rPr>
        <w:t xml:space="preserve"> cumulative return reaches the lowest on Day 5 and highest on Day 19.</w:t>
      </w:r>
    </w:p>
    <w:p w14:paraId="58417B44" w14:textId="4A888761" w:rsidR="00B54A2D" w:rsidRDefault="00B54A2D" w:rsidP="00B54A2D">
      <w:pPr>
        <w:jc w:val="center"/>
      </w:pPr>
      <w:r>
        <w:rPr>
          <w:noProof/>
        </w:rPr>
        <w:drawing>
          <wp:inline distT="0" distB="0" distL="0" distR="0" wp14:anchorId="49C1324D" wp14:editId="4D2CCB85">
            <wp:extent cx="4803775" cy="2639695"/>
            <wp:effectExtent l="0" t="0" r="0" b="8255"/>
            <wp:docPr id="72392208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3775" cy="2639695"/>
                    </a:xfrm>
                    <a:prstGeom prst="rect">
                      <a:avLst/>
                    </a:prstGeom>
                    <a:noFill/>
                  </pic:spPr>
                </pic:pic>
              </a:graphicData>
            </a:graphic>
          </wp:inline>
        </w:drawing>
      </w:r>
    </w:p>
    <w:p w14:paraId="7CE55A0C" w14:textId="77777777" w:rsidR="00B54A2D" w:rsidRDefault="00B54A2D" w:rsidP="00B54A2D">
      <w:pPr>
        <w:jc w:val="center"/>
      </w:pPr>
    </w:p>
    <w:p w14:paraId="29702195" w14:textId="77777777" w:rsidR="00B54A2D" w:rsidRDefault="00B54A2D" w:rsidP="00B54A2D">
      <w:pPr>
        <w:jc w:val="center"/>
      </w:pPr>
    </w:p>
    <w:p w14:paraId="4F426B06" w14:textId="77777777" w:rsidR="00B54A2D" w:rsidRDefault="00B54A2D" w:rsidP="00B54A2D">
      <w:r>
        <w:lastRenderedPageBreak/>
        <w:t>Therefore, one potential strategy is to buy the stock on day 6 and sell it on day 19.</w:t>
      </w:r>
    </w:p>
    <w:p w14:paraId="7B68AFD7" w14:textId="3B83A332" w:rsidR="00B54A2D" w:rsidRDefault="00B54A2D" w:rsidP="00B54A2D">
      <w:r>
        <w:t>The average cumulative return from day 6 to each subsequent day is illustrated in the figure below.</w:t>
      </w:r>
      <w:r>
        <w:rPr>
          <w:rFonts w:hint="eastAsia"/>
        </w:rPr>
        <w:t xml:space="preserve"> </w:t>
      </w:r>
      <w:r>
        <w:t>As shown, this strategy yields an average cumulative return of 1.77%.</w:t>
      </w:r>
    </w:p>
    <w:p w14:paraId="350E4476" w14:textId="4A0E3DD0" w:rsidR="00B54A2D" w:rsidRPr="005F1D39" w:rsidRDefault="00B54A2D" w:rsidP="00B54A2D">
      <w:pPr>
        <w:jc w:val="center"/>
        <w:rPr>
          <w:rFonts w:hint="eastAsia"/>
        </w:rPr>
      </w:pPr>
      <w:r w:rsidRPr="00B54A2D">
        <w:rPr>
          <w:rFonts w:hint="eastAsia"/>
        </w:rPr>
        <w:drawing>
          <wp:inline distT="0" distB="0" distL="0" distR="0" wp14:anchorId="75F12585" wp14:editId="5AE42B93">
            <wp:extent cx="2962656" cy="2476595"/>
            <wp:effectExtent l="0" t="0" r="9525" b="0"/>
            <wp:docPr id="5980298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8087" cy="2481135"/>
                    </a:xfrm>
                    <a:prstGeom prst="rect">
                      <a:avLst/>
                    </a:prstGeom>
                    <a:noFill/>
                    <a:ln>
                      <a:noFill/>
                    </a:ln>
                  </pic:spPr>
                </pic:pic>
              </a:graphicData>
            </a:graphic>
          </wp:inline>
        </w:drawing>
      </w:r>
    </w:p>
    <w:sectPr w:rsidR="00B54A2D" w:rsidRPr="005F1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B035D" w14:textId="77777777" w:rsidR="00B94B0E" w:rsidRDefault="00B94B0E" w:rsidP="009B514B">
      <w:pPr>
        <w:spacing w:after="0" w:line="240" w:lineRule="auto"/>
      </w:pPr>
      <w:r>
        <w:separator/>
      </w:r>
    </w:p>
  </w:endnote>
  <w:endnote w:type="continuationSeparator" w:id="0">
    <w:p w14:paraId="581225A5" w14:textId="77777777" w:rsidR="00B94B0E" w:rsidRDefault="00B94B0E" w:rsidP="009B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37AA8" w14:textId="77777777" w:rsidR="00B94B0E" w:rsidRDefault="00B94B0E" w:rsidP="009B514B">
      <w:pPr>
        <w:spacing w:after="0" w:line="240" w:lineRule="auto"/>
      </w:pPr>
      <w:r>
        <w:separator/>
      </w:r>
    </w:p>
  </w:footnote>
  <w:footnote w:type="continuationSeparator" w:id="0">
    <w:p w14:paraId="74D9E6EA" w14:textId="77777777" w:rsidR="00B94B0E" w:rsidRDefault="00B94B0E" w:rsidP="009B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A64"/>
    <w:multiLevelType w:val="hybridMultilevel"/>
    <w:tmpl w:val="33C0C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A784C"/>
    <w:multiLevelType w:val="hybridMultilevel"/>
    <w:tmpl w:val="FBF44364"/>
    <w:lvl w:ilvl="0" w:tplc="2116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C27D3"/>
    <w:multiLevelType w:val="hybridMultilevel"/>
    <w:tmpl w:val="B0F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30A1B"/>
    <w:multiLevelType w:val="hybridMultilevel"/>
    <w:tmpl w:val="FC60B1D8"/>
    <w:lvl w:ilvl="0" w:tplc="3F609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E354DF"/>
    <w:multiLevelType w:val="hybridMultilevel"/>
    <w:tmpl w:val="9B4E96B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1A2EAE"/>
    <w:multiLevelType w:val="hybridMultilevel"/>
    <w:tmpl w:val="B71C44DA"/>
    <w:lvl w:ilvl="0" w:tplc="8F94A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9C0E1B"/>
    <w:multiLevelType w:val="hybridMultilevel"/>
    <w:tmpl w:val="4A5C04C0"/>
    <w:lvl w:ilvl="0" w:tplc="C9183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D276D"/>
    <w:multiLevelType w:val="hybridMultilevel"/>
    <w:tmpl w:val="FBF443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BA96661"/>
    <w:multiLevelType w:val="hybridMultilevel"/>
    <w:tmpl w:val="656200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D10939"/>
    <w:multiLevelType w:val="hybridMultilevel"/>
    <w:tmpl w:val="FD46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503216"/>
    <w:multiLevelType w:val="hybridMultilevel"/>
    <w:tmpl w:val="6C660A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1838CC"/>
    <w:multiLevelType w:val="hybridMultilevel"/>
    <w:tmpl w:val="C93EF63C"/>
    <w:lvl w:ilvl="0" w:tplc="9412045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57E89"/>
    <w:multiLevelType w:val="hybridMultilevel"/>
    <w:tmpl w:val="FBF443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54519F0"/>
    <w:multiLevelType w:val="hybridMultilevel"/>
    <w:tmpl w:val="3BAA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C6882"/>
    <w:multiLevelType w:val="hybridMultilevel"/>
    <w:tmpl w:val="0D8E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560579">
    <w:abstractNumId w:val="2"/>
  </w:num>
  <w:num w:numId="2" w16cid:durableId="1595674768">
    <w:abstractNumId w:val="14"/>
  </w:num>
  <w:num w:numId="3" w16cid:durableId="936132440">
    <w:abstractNumId w:val="6"/>
  </w:num>
  <w:num w:numId="4" w16cid:durableId="1008673320">
    <w:abstractNumId w:val="1"/>
  </w:num>
  <w:num w:numId="5" w16cid:durableId="762651455">
    <w:abstractNumId w:val="12"/>
  </w:num>
  <w:num w:numId="6" w16cid:durableId="1002850767">
    <w:abstractNumId w:val="7"/>
  </w:num>
  <w:num w:numId="7" w16cid:durableId="1694115873">
    <w:abstractNumId w:val="10"/>
  </w:num>
  <w:num w:numId="8" w16cid:durableId="459687317">
    <w:abstractNumId w:val="8"/>
  </w:num>
  <w:num w:numId="9" w16cid:durableId="223419437">
    <w:abstractNumId w:val="3"/>
  </w:num>
  <w:num w:numId="10" w16cid:durableId="1271427081">
    <w:abstractNumId w:val="11"/>
  </w:num>
  <w:num w:numId="11" w16cid:durableId="199172429">
    <w:abstractNumId w:val="5"/>
  </w:num>
  <w:num w:numId="12" w16cid:durableId="1018047981">
    <w:abstractNumId w:val="0"/>
  </w:num>
  <w:num w:numId="13" w16cid:durableId="1891066478">
    <w:abstractNumId w:val="4"/>
  </w:num>
  <w:num w:numId="14" w16cid:durableId="709645139">
    <w:abstractNumId w:val="9"/>
  </w:num>
  <w:num w:numId="15" w16cid:durableId="21054219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2C"/>
    <w:rsid w:val="0001387C"/>
    <w:rsid w:val="000251EE"/>
    <w:rsid w:val="00030AB4"/>
    <w:rsid w:val="00034EFD"/>
    <w:rsid w:val="000454DB"/>
    <w:rsid w:val="00065559"/>
    <w:rsid w:val="00076B05"/>
    <w:rsid w:val="000A6875"/>
    <w:rsid w:val="000C1A19"/>
    <w:rsid w:val="000C49E5"/>
    <w:rsid w:val="000D329C"/>
    <w:rsid w:val="000F03E6"/>
    <w:rsid w:val="00102E76"/>
    <w:rsid w:val="0012682C"/>
    <w:rsid w:val="00174E9C"/>
    <w:rsid w:val="001A0A60"/>
    <w:rsid w:val="001A763D"/>
    <w:rsid w:val="001E0929"/>
    <w:rsid w:val="00204F7B"/>
    <w:rsid w:val="002055FB"/>
    <w:rsid w:val="00215D8D"/>
    <w:rsid w:val="00250E8F"/>
    <w:rsid w:val="00291249"/>
    <w:rsid w:val="002C2FE0"/>
    <w:rsid w:val="00303DB7"/>
    <w:rsid w:val="0030756D"/>
    <w:rsid w:val="0033327A"/>
    <w:rsid w:val="00357630"/>
    <w:rsid w:val="00361981"/>
    <w:rsid w:val="00373BA8"/>
    <w:rsid w:val="003B7166"/>
    <w:rsid w:val="003C026D"/>
    <w:rsid w:val="00413692"/>
    <w:rsid w:val="00416023"/>
    <w:rsid w:val="00444C28"/>
    <w:rsid w:val="004A18F3"/>
    <w:rsid w:val="004A6C11"/>
    <w:rsid w:val="004C4225"/>
    <w:rsid w:val="004C447E"/>
    <w:rsid w:val="004C4DA7"/>
    <w:rsid w:val="004F2DA5"/>
    <w:rsid w:val="004F3E18"/>
    <w:rsid w:val="00500767"/>
    <w:rsid w:val="00537EB8"/>
    <w:rsid w:val="005C0681"/>
    <w:rsid w:val="005C1F39"/>
    <w:rsid w:val="005F1D39"/>
    <w:rsid w:val="005F3F02"/>
    <w:rsid w:val="0063013F"/>
    <w:rsid w:val="00631F25"/>
    <w:rsid w:val="006802C5"/>
    <w:rsid w:val="006C63CC"/>
    <w:rsid w:val="006E1E33"/>
    <w:rsid w:val="006F0357"/>
    <w:rsid w:val="006F0D4A"/>
    <w:rsid w:val="00702F58"/>
    <w:rsid w:val="007314E6"/>
    <w:rsid w:val="00740D77"/>
    <w:rsid w:val="00740E74"/>
    <w:rsid w:val="0074583C"/>
    <w:rsid w:val="00761301"/>
    <w:rsid w:val="0078406E"/>
    <w:rsid w:val="007C7C80"/>
    <w:rsid w:val="007E6A08"/>
    <w:rsid w:val="00863299"/>
    <w:rsid w:val="0086390D"/>
    <w:rsid w:val="00867230"/>
    <w:rsid w:val="00884277"/>
    <w:rsid w:val="0088516F"/>
    <w:rsid w:val="008B721A"/>
    <w:rsid w:val="008B7FEF"/>
    <w:rsid w:val="00943B33"/>
    <w:rsid w:val="00965DEB"/>
    <w:rsid w:val="009B514B"/>
    <w:rsid w:val="009C7434"/>
    <w:rsid w:val="009E1D2D"/>
    <w:rsid w:val="00A10BF9"/>
    <w:rsid w:val="00A136E1"/>
    <w:rsid w:val="00A13ABE"/>
    <w:rsid w:val="00A4704A"/>
    <w:rsid w:val="00A63E86"/>
    <w:rsid w:val="00AA4EF2"/>
    <w:rsid w:val="00AB0F26"/>
    <w:rsid w:val="00AB18F2"/>
    <w:rsid w:val="00AB59EE"/>
    <w:rsid w:val="00AD0D43"/>
    <w:rsid w:val="00B05119"/>
    <w:rsid w:val="00B101BF"/>
    <w:rsid w:val="00B54A2D"/>
    <w:rsid w:val="00B66028"/>
    <w:rsid w:val="00B863BF"/>
    <w:rsid w:val="00B94B0E"/>
    <w:rsid w:val="00BA64D8"/>
    <w:rsid w:val="00BB086C"/>
    <w:rsid w:val="00BC27D6"/>
    <w:rsid w:val="00BF7B9C"/>
    <w:rsid w:val="00C22D91"/>
    <w:rsid w:val="00C24696"/>
    <w:rsid w:val="00C30FDA"/>
    <w:rsid w:val="00C44CF0"/>
    <w:rsid w:val="00C91B1F"/>
    <w:rsid w:val="00CA3EEE"/>
    <w:rsid w:val="00CA45D7"/>
    <w:rsid w:val="00CA5B85"/>
    <w:rsid w:val="00CA72BD"/>
    <w:rsid w:val="00CC3AD0"/>
    <w:rsid w:val="00CD1C19"/>
    <w:rsid w:val="00CF70E8"/>
    <w:rsid w:val="00D1666D"/>
    <w:rsid w:val="00D207AB"/>
    <w:rsid w:val="00D21767"/>
    <w:rsid w:val="00D45204"/>
    <w:rsid w:val="00D65D1F"/>
    <w:rsid w:val="00D67538"/>
    <w:rsid w:val="00D710A9"/>
    <w:rsid w:val="00D73F18"/>
    <w:rsid w:val="00D91DA9"/>
    <w:rsid w:val="00D95777"/>
    <w:rsid w:val="00DA4DA4"/>
    <w:rsid w:val="00DC2042"/>
    <w:rsid w:val="00DD5391"/>
    <w:rsid w:val="00E02E37"/>
    <w:rsid w:val="00E1736C"/>
    <w:rsid w:val="00E42A61"/>
    <w:rsid w:val="00E477B7"/>
    <w:rsid w:val="00E574A8"/>
    <w:rsid w:val="00E62414"/>
    <w:rsid w:val="00E62D03"/>
    <w:rsid w:val="00E71BAF"/>
    <w:rsid w:val="00E8252B"/>
    <w:rsid w:val="00E95658"/>
    <w:rsid w:val="00ED0C7B"/>
    <w:rsid w:val="00ED7BEF"/>
    <w:rsid w:val="00F00EE3"/>
    <w:rsid w:val="00F21CB0"/>
    <w:rsid w:val="00F46005"/>
    <w:rsid w:val="00F6763A"/>
    <w:rsid w:val="00FC3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63BD2"/>
  <w15:chartTrackingRefBased/>
  <w15:docId w15:val="{4E735581-52E6-4E6B-AC0F-0890EA8F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6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6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8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8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8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8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8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8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8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82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12682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12682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12682C"/>
    <w:rPr>
      <w:rFonts w:eastAsiaTheme="majorEastAsia" w:cstheme="majorBidi"/>
      <w:i/>
      <w:iCs/>
      <w:color w:val="0F4761" w:themeColor="accent1" w:themeShade="BF"/>
    </w:rPr>
  </w:style>
  <w:style w:type="character" w:customStyle="1" w:styleId="50">
    <w:name w:val="标题 5 字符"/>
    <w:basedOn w:val="a0"/>
    <w:link w:val="5"/>
    <w:uiPriority w:val="9"/>
    <w:semiHidden/>
    <w:rsid w:val="0012682C"/>
    <w:rPr>
      <w:rFonts w:eastAsiaTheme="majorEastAsia" w:cstheme="majorBidi"/>
      <w:color w:val="0F4761" w:themeColor="accent1" w:themeShade="BF"/>
    </w:rPr>
  </w:style>
  <w:style w:type="character" w:customStyle="1" w:styleId="60">
    <w:name w:val="标题 6 字符"/>
    <w:basedOn w:val="a0"/>
    <w:link w:val="6"/>
    <w:uiPriority w:val="9"/>
    <w:semiHidden/>
    <w:rsid w:val="0012682C"/>
    <w:rPr>
      <w:rFonts w:eastAsiaTheme="majorEastAsia" w:cstheme="majorBidi"/>
      <w:i/>
      <w:iCs/>
      <w:color w:val="595959" w:themeColor="text1" w:themeTint="A6"/>
    </w:rPr>
  </w:style>
  <w:style w:type="character" w:customStyle="1" w:styleId="70">
    <w:name w:val="标题 7 字符"/>
    <w:basedOn w:val="a0"/>
    <w:link w:val="7"/>
    <w:uiPriority w:val="9"/>
    <w:semiHidden/>
    <w:rsid w:val="0012682C"/>
    <w:rPr>
      <w:rFonts w:eastAsiaTheme="majorEastAsia" w:cstheme="majorBidi"/>
      <w:color w:val="595959" w:themeColor="text1" w:themeTint="A6"/>
    </w:rPr>
  </w:style>
  <w:style w:type="character" w:customStyle="1" w:styleId="80">
    <w:name w:val="标题 8 字符"/>
    <w:basedOn w:val="a0"/>
    <w:link w:val="8"/>
    <w:uiPriority w:val="9"/>
    <w:semiHidden/>
    <w:rsid w:val="0012682C"/>
    <w:rPr>
      <w:rFonts w:eastAsiaTheme="majorEastAsia" w:cstheme="majorBidi"/>
      <w:i/>
      <w:iCs/>
      <w:color w:val="272727" w:themeColor="text1" w:themeTint="D8"/>
    </w:rPr>
  </w:style>
  <w:style w:type="character" w:customStyle="1" w:styleId="90">
    <w:name w:val="标题 9 字符"/>
    <w:basedOn w:val="a0"/>
    <w:link w:val="9"/>
    <w:uiPriority w:val="9"/>
    <w:semiHidden/>
    <w:rsid w:val="0012682C"/>
    <w:rPr>
      <w:rFonts w:eastAsiaTheme="majorEastAsia" w:cstheme="majorBidi"/>
      <w:color w:val="272727" w:themeColor="text1" w:themeTint="D8"/>
    </w:rPr>
  </w:style>
  <w:style w:type="paragraph" w:styleId="a3">
    <w:name w:val="Title"/>
    <w:basedOn w:val="a"/>
    <w:next w:val="a"/>
    <w:link w:val="a4"/>
    <w:uiPriority w:val="10"/>
    <w:qFormat/>
    <w:rsid w:val="00126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68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682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2682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2682C"/>
    <w:pPr>
      <w:spacing w:before="160"/>
      <w:jc w:val="center"/>
    </w:pPr>
    <w:rPr>
      <w:i/>
      <w:iCs/>
      <w:color w:val="404040" w:themeColor="text1" w:themeTint="BF"/>
    </w:rPr>
  </w:style>
  <w:style w:type="character" w:customStyle="1" w:styleId="a8">
    <w:name w:val="引用 字符"/>
    <w:basedOn w:val="a0"/>
    <w:link w:val="a7"/>
    <w:uiPriority w:val="29"/>
    <w:rsid w:val="0012682C"/>
    <w:rPr>
      <w:i/>
      <w:iCs/>
      <w:color w:val="404040" w:themeColor="text1" w:themeTint="BF"/>
    </w:rPr>
  </w:style>
  <w:style w:type="paragraph" w:styleId="a9">
    <w:name w:val="List Paragraph"/>
    <w:basedOn w:val="a"/>
    <w:uiPriority w:val="34"/>
    <w:qFormat/>
    <w:rsid w:val="0012682C"/>
    <w:pPr>
      <w:ind w:left="720"/>
      <w:contextualSpacing/>
    </w:pPr>
  </w:style>
  <w:style w:type="character" w:styleId="aa">
    <w:name w:val="Intense Emphasis"/>
    <w:basedOn w:val="a0"/>
    <w:uiPriority w:val="21"/>
    <w:qFormat/>
    <w:rsid w:val="0012682C"/>
    <w:rPr>
      <w:i/>
      <w:iCs/>
      <w:color w:val="0F4761" w:themeColor="accent1" w:themeShade="BF"/>
    </w:rPr>
  </w:style>
  <w:style w:type="paragraph" w:styleId="ab">
    <w:name w:val="Intense Quote"/>
    <w:basedOn w:val="a"/>
    <w:next w:val="a"/>
    <w:link w:val="ac"/>
    <w:uiPriority w:val="30"/>
    <w:qFormat/>
    <w:rsid w:val="00126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682C"/>
    <w:rPr>
      <w:i/>
      <w:iCs/>
      <w:color w:val="0F4761" w:themeColor="accent1" w:themeShade="BF"/>
    </w:rPr>
  </w:style>
  <w:style w:type="character" w:styleId="ad">
    <w:name w:val="Intense Reference"/>
    <w:basedOn w:val="a0"/>
    <w:uiPriority w:val="32"/>
    <w:qFormat/>
    <w:rsid w:val="0012682C"/>
    <w:rPr>
      <w:b/>
      <w:bCs/>
      <w:smallCaps/>
      <w:color w:val="0F4761" w:themeColor="accent1" w:themeShade="BF"/>
      <w:spacing w:val="5"/>
    </w:rPr>
  </w:style>
  <w:style w:type="paragraph" w:styleId="ae">
    <w:name w:val="header"/>
    <w:basedOn w:val="a"/>
    <w:link w:val="af"/>
    <w:uiPriority w:val="99"/>
    <w:unhideWhenUsed/>
    <w:rsid w:val="009B514B"/>
    <w:pPr>
      <w:tabs>
        <w:tab w:val="center" w:pos="4680"/>
        <w:tab w:val="right" w:pos="9360"/>
      </w:tabs>
      <w:spacing w:after="0" w:line="240" w:lineRule="auto"/>
    </w:pPr>
  </w:style>
  <w:style w:type="character" w:customStyle="1" w:styleId="af">
    <w:name w:val="页眉 字符"/>
    <w:basedOn w:val="a0"/>
    <w:link w:val="ae"/>
    <w:uiPriority w:val="99"/>
    <w:rsid w:val="009B514B"/>
  </w:style>
  <w:style w:type="paragraph" w:styleId="af0">
    <w:name w:val="footer"/>
    <w:basedOn w:val="a"/>
    <w:link w:val="af1"/>
    <w:uiPriority w:val="99"/>
    <w:unhideWhenUsed/>
    <w:rsid w:val="009B514B"/>
    <w:pPr>
      <w:tabs>
        <w:tab w:val="center" w:pos="4680"/>
        <w:tab w:val="right" w:pos="9360"/>
      </w:tabs>
      <w:spacing w:after="0" w:line="240" w:lineRule="auto"/>
    </w:pPr>
  </w:style>
  <w:style w:type="character" w:customStyle="1" w:styleId="af1">
    <w:name w:val="页脚 字符"/>
    <w:basedOn w:val="a0"/>
    <w:link w:val="af0"/>
    <w:uiPriority w:val="99"/>
    <w:rsid w:val="009B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42627">
      <w:bodyDiv w:val="1"/>
      <w:marLeft w:val="0"/>
      <w:marRight w:val="0"/>
      <w:marTop w:val="0"/>
      <w:marBottom w:val="0"/>
      <w:divBdr>
        <w:top w:val="none" w:sz="0" w:space="0" w:color="auto"/>
        <w:left w:val="none" w:sz="0" w:space="0" w:color="auto"/>
        <w:bottom w:val="none" w:sz="0" w:space="0" w:color="auto"/>
        <w:right w:val="none" w:sz="0" w:space="0" w:color="auto"/>
      </w:divBdr>
    </w:div>
    <w:div w:id="1627811802">
      <w:bodyDiv w:val="1"/>
      <w:marLeft w:val="0"/>
      <w:marRight w:val="0"/>
      <w:marTop w:val="0"/>
      <w:marBottom w:val="0"/>
      <w:divBdr>
        <w:top w:val="none" w:sz="0" w:space="0" w:color="auto"/>
        <w:left w:val="none" w:sz="0" w:space="0" w:color="auto"/>
        <w:bottom w:val="none" w:sz="0" w:space="0" w:color="auto"/>
        <w:right w:val="none" w:sz="0" w:space="0" w:color="auto"/>
      </w:divBdr>
    </w:div>
    <w:div w:id="191281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Dingming Xue</dc:creator>
  <cp:keywords/>
  <dc:description/>
  <cp:lastModifiedBy>Dingming Xue</cp:lastModifiedBy>
  <cp:revision>40</cp:revision>
  <cp:lastPrinted>2025-04-15T10:09:00Z</cp:lastPrinted>
  <dcterms:created xsi:type="dcterms:W3CDTF">2025-03-13T08:45:00Z</dcterms:created>
  <dcterms:modified xsi:type="dcterms:W3CDTF">2025-04-15T11:29:00Z</dcterms:modified>
</cp:coreProperties>
</file>