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1DEB" w14:textId="54C1BF0C" w:rsidR="00034EFD" w:rsidRDefault="00AB59EE" w:rsidP="00AB59EE">
      <w:pPr>
        <w:jc w:val="center"/>
        <w:rPr>
          <w:sz w:val="48"/>
          <w:szCs w:val="48"/>
        </w:rPr>
      </w:pPr>
      <w:r w:rsidRPr="00AB59EE">
        <w:rPr>
          <w:rFonts w:hint="eastAsia"/>
          <w:sz w:val="48"/>
          <w:szCs w:val="48"/>
        </w:rPr>
        <w:t>Progress</w:t>
      </w:r>
      <w:r w:rsidR="00F00EE3">
        <w:rPr>
          <w:rFonts w:hint="eastAsia"/>
          <w:sz w:val="48"/>
          <w:szCs w:val="48"/>
        </w:rPr>
        <w:t>ive</w:t>
      </w:r>
      <w:r w:rsidRPr="00AB59EE">
        <w:rPr>
          <w:rFonts w:hint="eastAsia"/>
          <w:sz w:val="48"/>
          <w:szCs w:val="48"/>
        </w:rPr>
        <w:t xml:space="preserve"> Report</w:t>
      </w:r>
    </w:p>
    <w:p w14:paraId="38FAAD03" w14:textId="130A29A4" w:rsidR="0001387C" w:rsidRPr="0001387C" w:rsidRDefault="0001387C" w:rsidP="0001387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Dingming</w:t>
      </w:r>
    </w:p>
    <w:p w14:paraId="22735F80" w14:textId="7517A904" w:rsidR="00BC27D6" w:rsidRDefault="00BC27D6" w:rsidP="00BC27D6">
      <w:pPr>
        <w:pStyle w:val="a9"/>
        <w:numPr>
          <w:ilvl w:val="0"/>
          <w:numId w:val="2"/>
        </w:numPr>
      </w:pPr>
      <w:r>
        <w:rPr>
          <w:rFonts w:hint="eastAsia"/>
        </w:rPr>
        <w:t>Background</w:t>
      </w:r>
    </w:p>
    <w:p w14:paraId="604A9BF9" w14:textId="13C8C3D0" w:rsidR="00BC27D6" w:rsidRDefault="00CC3AD0" w:rsidP="00BC27D6">
      <w:pPr>
        <w:pStyle w:val="a9"/>
      </w:pPr>
      <w:r>
        <w:rPr>
          <w:rFonts w:hint="eastAsia"/>
        </w:rPr>
        <w:t xml:space="preserve">The situations are clarified after </w:t>
      </w:r>
      <w:r>
        <w:t>the last</w:t>
      </w:r>
      <w:r>
        <w:rPr>
          <w:rFonts w:hint="eastAsia"/>
        </w:rPr>
        <w:t xml:space="preserve"> discussion</w:t>
      </w:r>
      <w:r w:rsidR="00E8252B">
        <w:rPr>
          <w:rFonts w:hint="eastAsia"/>
        </w:rPr>
        <w:t>:</w:t>
      </w:r>
    </w:p>
    <w:p w14:paraId="30322203" w14:textId="360C524A" w:rsidR="00E8252B" w:rsidRDefault="00CC3AD0" w:rsidP="00CC3AD0">
      <w:pPr>
        <w:pStyle w:val="a9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eat&gt;up day1&gt;retrace below day1&gt;rebound over day 1</w:t>
      </w:r>
    </w:p>
    <w:p w14:paraId="330AE6E9" w14:textId="14E78B53" w:rsidR="00CC3AD0" w:rsidRDefault="00CC3AD0" w:rsidP="00CC3AD0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Beat&gt;up day1&gt;retrace below day1&gt;always below day1</w:t>
      </w:r>
    </w:p>
    <w:p w14:paraId="4BAC09B9" w14:textId="4CE23F40" w:rsidR="00CC3AD0" w:rsidRDefault="00CC3AD0" w:rsidP="00CC3AD0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Beat&gt;up day1&gt;always up day 1</w:t>
      </w:r>
    </w:p>
    <w:p w14:paraId="3DC45918" w14:textId="5A0FB0B8" w:rsidR="00CC3AD0" w:rsidRDefault="00CC3AD0" w:rsidP="00CC3AD0">
      <w:pPr>
        <w:pStyle w:val="a9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Beat&gt;down day1</w:t>
      </w:r>
    </w:p>
    <w:p w14:paraId="0F2C0107" w14:textId="77777777" w:rsidR="002C2FE0" w:rsidRDefault="002C2FE0" w:rsidP="002C2FE0">
      <w:pPr>
        <w:pStyle w:val="a9"/>
        <w:ind w:left="1080"/>
        <w:rPr>
          <w:b/>
          <w:bCs/>
        </w:rPr>
      </w:pPr>
    </w:p>
    <w:p w14:paraId="201DCBBF" w14:textId="11521B0E" w:rsidR="002C2FE0" w:rsidRDefault="002C2FE0" w:rsidP="002C2FE0">
      <w:pPr>
        <w:pStyle w:val="a9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E49186" wp14:editId="7165A101">
            <wp:extent cx="3408243" cy="4281750"/>
            <wp:effectExtent l="0" t="0" r="1905" b="5080"/>
            <wp:docPr id="44767879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8790" name="图片 1" descr="图示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024" cy="42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3BAB" w14:textId="2A7D1735" w:rsidR="002C2FE0" w:rsidRPr="002C2FE0" w:rsidRDefault="002C2FE0" w:rsidP="002C2FE0">
      <w:pPr>
        <w:pStyle w:val="a9"/>
        <w:ind w:left="1080"/>
        <w:jc w:val="center"/>
        <w:rPr>
          <w:rFonts w:hint="eastAsia"/>
        </w:rPr>
      </w:pPr>
      <w:r w:rsidRPr="002C2FE0">
        <w:rPr>
          <w:rFonts w:hint="eastAsia"/>
        </w:rPr>
        <w:t>A figure for quick catching up</w:t>
      </w:r>
    </w:p>
    <w:p w14:paraId="23443F47" w14:textId="5E9361C7" w:rsidR="00CA72BD" w:rsidRDefault="00CA72BD" w:rsidP="00CA72BD">
      <w:pPr>
        <w:ind w:left="720"/>
        <w:rPr>
          <w:b/>
          <w:bCs/>
        </w:rPr>
      </w:pPr>
      <w:r>
        <w:rPr>
          <w:rFonts w:hint="eastAsia"/>
          <w:b/>
          <w:bCs/>
        </w:rPr>
        <w:t>Key metrics:</w:t>
      </w:r>
    </w:p>
    <w:p w14:paraId="407F773A" w14:textId="4364C3E5" w:rsidR="00CA72BD" w:rsidRDefault="00CA72BD" w:rsidP="00CA72BD">
      <w:pPr>
        <w:ind w:left="720"/>
        <w:rPr>
          <w:b/>
          <w:bCs/>
        </w:rPr>
      </w:pPr>
      <w:r>
        <w:rPr>
          <w:rFonts w:hint="eastAsia"/>
          <w:b/>
          <w:bCs/>
        </w:rPr>
        <w:t>Retrace date: The day when price retrace to day1</w:t>
      </w:r>
    </w:p>
    <w:p w14:paraId="4AA9F5A7" w14:textId="1215B464" w:rsidR="00CA72BD" w:rsidRDefault="00CA72BD" w:rsidP="00CA72BD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Trough date: The day when </w:t>
      </w:r>
      <w:proofErr w:type="gramStart"/>
      <w:r>
        <w:rPr>
          <w:rFonts w:hint="eastAsia"/>
          <w:b/>
          <w:bCs/>
        </w:rPr>
        <w:t>price</w:t>
      </w:r>
      <w:proofErr w:type="gramEnd"/>
      <w:r>
        <w:rPr>
          <w:rFonts w:hint="eastAsia"/>
          <w:b/>
          <w:bCs/>
        </w:rPr>
        <w:t xml:space="preserve"> drop to the min</w:t>
      </w:r>
      <w:r w:rsidR="000F03E6">
        <w:rPr>
          <w:rFonts w:hint="eastAsia"/>
          <w:b/>
          <w:bCs/>
        </w:rPr>
        <w:t>imum</w:t>
      </w:r>
    </w:p>
    <w:p w14:paraId="16B7E547" w14:textId="3ED2081A" w:rsidR="000F03E6" w:rsidRDefault="000F03E6" w:rsidP="00CA72BD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>Trough loss: how much the price loss on tough date</w:t>
      </w:r>
    </w:p>
    <w:p w14:paraId="3EB85CD9" w14:textId="5F159C86" w:rsidR="000F03E6" w:rsidRDefault="000F03E6" w:rsidP="00CA72BD">
      <w:pPr>
        <w:ind w:left="720"/>
        <w:rPr>
          <w:b/>
          <w:bCs/>
        </w:rPr>
      </w:pPr>
      <w:r>
        <w:rPr>
          <w:rFonts w:hint="eastAsia"/>
          <w:b/>
          <w:bCs/>
        </w:rPr>
        <w:lastRenderedPageBreak/>
        <w:t xml:space="preserve">Peak date: After the trough, there will be a rebound and the day that the price </w:t>
      </w:r>
      <w:r>
        <w:rPr>
          <w:b/>
          <w:bCs/>
        </w:rPr>
        <w:t>reaches</w:t>
      </w:r>
      <w:r>
        <w:rPr>
          <w:rFonts w:hint="eastAsia"/>
          <w:b/>
          <w:bCs/>
        </w:rPr>
        <w:t xml:space="preserve"> peak.</w:t>
      </w:r>
    </w:p>
    <w:p w14:paraId="1E058AD3" w14:textId="6ADE5D9D" w:rsidR="000F03E6" w:rsidRDefault="000F03E6" w:rsidP="00CA72BD">
      <w:pPr>
        <w:ind w:left="720"/>
        <w:rPr>
          <w:b/>
          <w:bCs/>
        </w:rPr>
      </w:pPr>
      <w:proofErr w:type="gramStart"/>
      <w:r>
        <w:rPr>
          <w:rFonts w:hint="eastAsia"/>
          <w:b/>
          <w:bCs/>
        </w:rPr>
        <w:t>Peak  gain</w:t>
      </w:r>
      <w:proofErr w:type="gramEnd"/>
      <w:r>
        <w:rPr>
          <w:rFonts w:hint="eastAsia"/>
          <w:b/>
          <w:bCs/>
        </w:rPr>
        <w:t>: How much the price gain on peak date</w:t>
      </w:r>
    </w:p>
    <w:p w14:paraId="63728841" w14:textId="7929184F" w:rsidR="000F03E6" w:rsidRDefault="000F03E6" w:rsidP="00CA72BD">
      <w:pPr>
        <w:ind w:left="720"/>
        <w:rPr>
          <w:b/>
          <w:bCs/>
        </w:rPr>
      </w:pPr>
      <w:r>
        <w:rPr>
          <w:rFonts w:hint="eastAsia"/>
          <w:b/>
          <w:bCs/>
        </w:rPr>
        <w:t>Full-time peak: the highest pick before the next earning</w:t>
      </w:r>
    </w:p>
    <w:p w14:paraId="7FB64B1C" w14:textId="2EE066AA" w:rsidR="000F03E6" w:rsidRDefault="000F03E6" w:rsidP="00CA72BD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Peak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Trough: how long it takes to be peak after a trough</w:t>
      </w:r>
    </w:p>
    <w:p w14:paraId="5C2993FC" w14:textId="77777777" w:rsidR="000F03E6" w:rsidRPr="00CA72BD" w:rsidRDefault="000F03E6" w:rsidP="00CA72BD">
      <w:pPr>
        <w:ind w:left="720"/>
        <w:rPr>
          <w:rFonts w:hint="eastAsia"/>
          <w:b/>
          <w:bCs/>
        </w:rPr>
      </w:pPr>
    </w:p>
    <w:p w14:paraId="379A8032" w14:textId="77777777" w:rsidR="00CC3AD0" w:rsidRPr="00BC27D6" w:rsidRDefault="00CC3AD0" w:rsidP="00BC27D6">
      <w:pPr>
        <w:pStyle w:val="a9"/>
      </w:pPr>
    </w:p>
    <w:p w14:paraId="6E904DF5" w14:textId="6A3CC066" w:rsidR="00BC27D6" w:rsidRDefault="001E0929" w:rsidP="00BC27D6">
      <w:pPr>
        <w:pStyle w:val="a9"/>
        <w:numPr>
          <w:ilvl w:val="0"/>
          <w:numId w:val="2"/>
        </w:numPr>
      </w:pPr>
      <w:r>
        <w:rPr>
          <w:rFonts w:hint="eastAsia"/>
        </w:rPr>
        <w:t>Data</w:t>
      </w:r>
    </w:p>
    <w:p w14:paraId="7F1705EA" w14:textId="4F1EA9EC" w:rsidR="006F0357" w:rsidRPr="000A6875" w:rsidRDefault="001E0929" w:rsidP="00BC27D6">
      <w:pPr>
        <w:pStyle w:val="a9"/>
        <w:rPr>
          <w:sz w:val="22"/>
          <w:szCs w:val="22"/>
        </w:rPr>
      </w:pPr>
      <w:r w:rsidRPr="000A6875">
        <w:rPr>
          <w:rFonts w:hint="eastAsia"/>
          <w:sz w:val="22"/>
          <w:szCs w:val="22"/>
        </w:rPr>
        <w:t>I set the model as the following parameters:</w:t>
      </w:r>
    </w:p>
    <w:p w14:paraId="7BB15031" w14:textId="614C8110" w:rsidR="001E0929" w:rsidRPr="000A6875" w:rsidRDefault="001E0929" w:rsidP="001E0929">
      <w:pPr>
        <w:pStyle w:val="a9"/>
        <w:numPr>
          <w:ilvl w:val="0"/>
          <w:numId w:val="9"/>
        </w:numPr>
        <w:rPr>
          <w:sz w:val="22"/>
          <w:szCs w:val="22"/>
        </w:rPr>
      </w:pPr>
      <w:r w:rsidRPr="000A6875">
        <w:rPr>
          <w:rFonts w:hint="eastAsia"/>
          <w:sz w:val="22"/>
          <w:szCs w:val="22"/>
        </w:rPr>
        <w:t xml:space="preserve">Observe </w:t>
      </w:r>
      <w:r w:rsidRPr="000A6875">
        <w:rPr>
          <w:rFonts w:hint="eastAsia"/>
          <w:b/>
          <w:bCs/>
          <w:sz w:val="22"/>
          <w:szCs w:val="22"/>
        </w:rPr>
        <w:t>20</w:t>
      </w:r>
      <w:r w:rsidRPr="000A6875">
        <w:rPr>
          <w:rFonts w:hint="eastAsia"/>
          <w:sz w:val="22"/>
          <w:szCs w:val="22"/>
        </w:rPr>
        <w:t xml:space="preserve"> days after earnings </w:t>
      </w:r>
    </w:p>
    <w:p w14:paraId="3761FC86" w14:textId="520E7AC5" w:rsidR="001E0929" w:rsidRPr="000A6875" w:rsidRDefault="0001387C" w:rsidP="001E0929">
      <w:pPr>
        <w:pStyle w:val="a9"/>
        <w:numPr>
          <w:ilvl w:val="0"/>
          <w:numId w:val="9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Earnings o</w:t>
      </w:r>
      <w:r w:rsidR="000A6875" w:rsidRPr="000A6875">
        <w:rPr>
          <w:rFonts w:hint="eastAsia"/>
          <w:sz w:val="22"/>
          <w:szCs w:val="22"/>
        </w:rPr>
        <w:t xml:space="preserve">ver </w:t>
      </w:r>
      <w:r w:rsidRPr="00B101BF">
        <w:rPr>
          <w:rFonts w:hint="eastAsia"/>
          <w:b/>
          <w:bCs/>
          <w:sz w:val="22"/>
          <w:szCs w:val="22"/>
        </w:rPr>
        <w:t>10</w:t>
      </w:r>
      <w:r w:rsidR="000A6875" w:rsidRPr="00B101BF">
        <w:rPr>
          <w:rFonts w:hint="eastAsia"/>
          <w:b/>
          <w:bCs/>
          <w:sz w:val="22"/>
          <w:szCs w:val="22"/>
        </w:rPr>
        <w:t>%</w:t>
      </w:r>
      <w:r>
        <w:rPr>
          <w:rFonts w:hint="eastAsia"/>
          <w:sz w:val="22"/>
          <w:szCs w:val="22"/>
        </w:rPr>
        <w:t xml:space="preserve"> </w:t>
      </w:r>
      <w:r w:rsidR="000A6875" w:rsidRPr="000A6875">
        <w:rPr>
          <w:rFonts w:hint="eastAsia"/>
          <w:sz w:val="22"/>
          <w:szCs w:val="22"/>
        </w:rPr>
        <w:t xml:space="preserve">beat and </w:t>
      </w:r>
      <w:r>
        <w:rPr>
          <w:rFonts w:hint="eastAsia"/>
          <w:sz w:val="22"/>
          <w:szCs w:val="22"/>
        </w:rPr>
        <w:t>o</w:t>
      </w:r>
      <w:r w:rsidR="000A6875" w:rsidRPr="000A6875">
        <w:rPr>
          <w:rFonts w:hint="eastAsia"/>
          <w:sz w:val="22"/>
          <w:szCs w:val="22"/>
        </w:rPr>
        <w:t xml:space="preserve">ver </w:t>
      </w:r>
      <w:r w:rsidRPr="00B101BF">
        <w:rPr>
          <w:rFonts w:hint="eastAsia"/>
          <w:b/>
          <w:bCs/>
          <w:sz w:val="22"/>
          <w:szCs w:val="22"/>
        </w:rPr>
        <w:t>10</w:t>
      </w:r>
      <w:r w:rsidR="000A6875" w:rsidRPr="00B101BF">
        <w:rPr>
          <w:rFonts w:hint="eastAsia"/>
          <w:b/>
          <w:bCs/>
          <w:sz w:val="22"/>
          <w:szCs w:val="22"/>
        </w:rPr>
        <w:t xml:space="preserve">% </w:t>
      </w:r>
      <w:r w:rsidR="000A6875" w:rsidRPr="000A6875">
        <w:rPr>
          <w:rFonts w:hint="eastAsia"/>
          <w:sz w:val="22"/>
          <w:szCs w:val="22"/>
        </w:rPr>
        <w:t>miss</w:t>
      </w:r>
      <w:r>
        <w:rPr>
          <w:rFonts w:hint="eastAsia"/>
          <w:sz w:val="22"/>
          <w:szCs w:val="22"/>
        </w:rPr>
        <w:t xml:space="preserve"> are calculated</w:t>
      </w:r>
    </w:p>
    <w:p w14:paraId="3CFB9139" w14:textId="12E7804F" w:rsidR="000A6875" w:rsidRDefault="001E0929" w:rsidP="000A6875">
      <w:pPr>
        <w:pStyle w:val="a9"/>
        <w:numPr>
          <w:ilvl w:val="0"/>
          <w:numId w:val="9"/>
        </w:numPr>
        <w:rPr>
          <w:sz w:val="22"/>
          <w:szCs w:val="22"/>
          <w:highlight w:val="cyan"/>
        </w:rPr>
      </w:pPr>
      <w:r w:rsidRPr="000A6875">
        <w:rPr>
          <w:rFonts w:hint="eastAsia"/>
          <w:b/>
          <w:bCs/>
          <w:sz w:val="22"/>
          <w:szCs w:val="22"/>
        </w:rPr>
        <w:t>Semiconductor</w:t>
      </w:r>
      <w:r w:rsidRPr="000A6875">
        <w:rPr>
          <w:rFonts w:hint="eastAsia"/>
          <w:sz w:val="22"/>
          <w:szCs w:val="22"/>
        </w:rPr>
        <w:t xml:space="preserve">, </w:t>
      </w:r>
      <w:r w:rsidRPr="000A6875">
        <w:rPr>
          <w:rFonts w:hint="eastAsia"/>
          <w:b/>
          <w:bCs/>
          <w:sz w:val="22"/>
          <w:szCs w:val="22"/>
        </w:rPr>
        <w:t>59</w:t>
      </w:r>
      <w:r w:rsidRPr="000A6875">
        <w:rPr>
          <w:rFonts w:hint="eastAsia"/>
          <w:sz w:val="22"/>
          <w:szCs w:val="22"/>
        </w:rPr>
        <w:t xml:space="preserve"> stocks in total, U.S(</w:t>
      </w:r>
      <w:r w:rsidRPr="000A6875">
        <w:rPr>
          <w:rFonts w:hint="eastAsia"/>
          <w:b/>
          <w:bCs/>
          <w:sz w:val="22"/>
          <w:szCs w:val="22"/>
        </w:rPr>
        <w:t>19</w:t>
      </w:r>
      <w:r w:rsidRPr="000A6875">
        <w:rPr>
          <w:rFonts w:hint="eastAsia"/>
          <w:sz w:val="22"/>
          <w:szCs w:val="22"/>
        </w:rPr>
        <w:t xml:space="preserve">), </w:t>
      </w:r>
      <w:proofErr w:type="gramStart"/>
      <w:r w:rsidRPr="000A6875">
        <w:rPr>
          <w:rFonts w:hint="eastAsia"/>
          <w:sz w:val="22"/>
          <w:szCs w:val="22"/>
        </w:rPr>
        <w:t>EU(</w:t>
      </w:r>
      <w:proofErr w:type="gramEnd"/>
      <w:r w:rsidRPr="000A6875">
        <w:rPr>
          <w:rFonts w:hint="eastAsia"/>
          <w:b/>
          <w:bCs/>
          <w:sz w:val="22"/>
          <w:szCs w:val="22"/>
        </w:rPr>
        <w:t>13</w:t>
      </w:r>
      <w:r w:rsidRPr="000A6875">
        <w:rPr>
          <w:rFonts w:hint="eastAsia"/>
          <w:sz w:val="22"/>
          <w:szCs w:val="22"/>
        </w:rPr>
        <w:t>), Asia Pacific Developed(13), Asia Pacifica Merging(</w:t>
      </w:r>
      <w:r w:rsidRPr="000A6875">
        <w:rPr>
          <w:rFonts w:hint="eastAsia"/>
          <w:b/>
          <w:bCs/>
          <w:sz w:val="22"/>
          <w:szCs w:val="22"/>
        </w:rPr>
        <w:t>14</w:t>
      </w:r>
      <w:r w:rsidRPr="000A6875">
        <w:rPr>
          <w:rFonts w:hint="eastAsia"/>
          <w:sz w:val="22"/>
          <w:szCs w:val="22"/>
        </w:rPr>
        <w:t xml:space="preserve">), </w:t>
      </w:r>
      <w:r w:rsidRPr="000A6875">
        <w:rPr>
          <w:sz w:val="22"/>
          <w:szCs w:val="22"/>
          <w:highlight w:val="cyan"/>
        </w:rPr>
        <w:t>All selected stocks are among the top-ranked by market capitalization.</w:t>
      </w:r>
    </w:p>
    <w:p w14:paraId="5969AA42" w14:textId="77777777" w:rsidR="000A6875" w:rsidRPr="000A6875" w:rsidRDefault="000A6875" w:rsidP="000A6875">
      <w:pPr>
        <w:rPr>
          <w:sz w:val="22"/>
          <w:szCs w:val="22"/>
          <w:highlight w:val="cyan"/>
        </w:rPr>
      </w:pPr>
    </w:p>
    <w:p w14:paraId="62D2F6EA" w14:textId="4EC4DA4E" w:rsidR="00DA4DA4" w:rsidRDefault="00E71BAF" w:rsidP="000A6875">
      <w:pPr>
        <w:pStyle w:val="a9"/>
        <w:numPr>
          <w:ilvl w:val="0"/>
          <w:numId w:val="2"/>
        </w:numPr>
      </w:pPr>
      <w:r>
        <w:rPr>
          <w:rFonts w:hint="eastAsia"/>
        </w:rPr>
        <w:t>Results</w:t>
      </w:r>
    </w:p>
    <w:p w14:paraId="1373A846" w14:textId="3B2E59D4" w:rsidR="0063013F" w:rsidRPr="00E02E37" w:rsidRDefault="0063013F" w:rsidP="0063013F">
      <w:pPr>
        <w:ind w:left="360"/>
        <w:rPr>
          <w:b/>
          <w:bCs/>
          <w:sz w:val="32"/>
          <w:szCs w:val="32"/>
        </w:rPr>
      </w:pPr>
      <w:r w:rsidRPr="00E02E37">
        <w:rPr>
          <w:rFonts w:hint="eastAsia"/>
          <w:b/>
          <w:bCs/>
          <w:sz w:val="32"/>
          <w:szCs w:val="32"/>
        </w:rPr>
        <w:t>Key Takeaways:</w:t>
      </w:r>
    </w:p>
    <w:p w14:paraId="4B0B4BAF" w14:textId="77467DA7" w:rsidR="00416023" w:rsidRDefault="00CC3AD0" w:rsidP="00416023">
      <w:pPr>
        <w:pStyle w:val="a9"/>
        <w:numPr>
          <w:ilvl w:val="0"/>
          <w:numId w:val="12"/>
        </w:numPr>
      </w:pPr>
      <w:r>
        <w:rPr>
          <w:rFonts w:hint="eastAsia"/>
        </w:rPr>
        <w:t xml:space="preserve">Situation 1 </w:t>
      </w:r>
      <w:r w:rsidR="00416023">
        <w:rPr>
          <w:rFonts w:hint="eastAsia"/>
        </w:rPr>
        <w:t>has the largest quantity</w:t>
      </w:r>
      <w:r w:rsidR="00416023">
        <w:t xml:space="preserve">, </w:t>
      </w:r>
      <w:r w:rsidR="00416023">
        <w:rPr>
          <w:rFonts w:hint="eastAsia"/>
        </w:rPr>
        <w:t xml:space="preserve">about </w:t>
      </w:r>
      <w:r w:rsidR="00416023">
        <w:t>59.6</w:t>
      </w:r>
      <w:r w:rsidR="00416023">
        <w:rPr>
          <w:rFonts w:hint="eastAsia"/>
        </w:rPr>
        <w:t>% of up day 1 situations.</w:t>
      </w:r>
    </w:p>
    <w:p w14:paraId="2D74A6D0" w14:textId="5D577E1C" w:rsidR="0063013F" w:rsidRDefault="00CC3AD0" w:rsidP="00416023">
      <w:pPr>
        <w:pStyle w:val="a9"/>
        <w:numPr>
          <w:ilvl w:val="0"/>
          <w:numId w:val="12"/>
        </w:numPr>
      </w:pPr>
      <w:r>
        <w:rPr>
          <w:rFonts w:hint="eastAsia"/>
        </w:rPr>
        <w:t xml:space="preserve"> </w:t>
      </w:r>
      <w:r w:rsidR="00416023">
        <w:rPr>
          <w:rFonts w:hint="eastAsia"/>
        </w:rPr>
        <w:t>Trough dates of 2, 3, 4, 5 are the most frequent in trough date distribution</w:t>
      </w:r>
    </w:p>
    <w:p w14:paraId="7E6865AB" w14:textId="36398780" w:rsidR="0063013F" w:rsidRDefault="00416023" w:rsidP="00DC2042">
      <w:pPr>
        <w:pStyle w:val="a9"/>
        <w:numPr>
          <w:ilvl w:val="0"/>
          <w:numId w:val="12"/>
        </w:numPr>
      </w:pPr>
      <w:r>
        <w:rPr>
          <w:rFonts w:hint="eastAsia"/>
        </w:rPr>
        <w:t>For situation 1, the peak dates are more likely to be 18</w:t>
      </w:r>
      <w:r w:rsidR="00DC2042">
        <w:rPr>
          <w:rFonts w:hint="eastAsia"/>
        </w:rPr>
        <w:t>,</w:t>
      </w:r>
      <w:proofErr w:type="gramStart"/>
      <w:r>
        <w:rPr>
          <w:rFonts w:hint="eastAsia"/>
        </w:rPr>
        <w:t>19 ,</w:t>
      </w:r>
      <w:proofErr w:type="gramEnd"/>
      <w:r>
        <w:rPr>
          <w:rFonts w:hint="eastAsia"/>
        </w:rPr>
        <w:t xml:space="preserve"> 20</w:t>
      </w:r>
      <w:r w:rsidR="00DC2042">
        <w:rPr>
          <w:rFonts w:hint="eastAsia"/>
        </w:rPr>
        <w:t>. However, only 20% of the peaks are not restrained by the window size.</w:t>
      </w:r>
    </w:p>
    <w:p w14:paraId="2074B25E" w14:textId="080EA930" w:rsidR="00CA72BD" w:rsidRPr="00DC2042" w:rsidRDefault="00CA72BD" w:rsidP="00CA72BD">
      <w:pPr>
        <w:pStyle w:val="a9"/>
        <w:numPr>
          <w:ilvl w:val="0"/>
          <w:numId w:val="12"/>
        </w:numPr>
        <w:rPr>
          <w:rFonts w:hint="eastAsia"/>
        </w:rPr>
      </w:pPr>
      <w:proofErr w:type="gramStart"/>
      <w:r>
        <w:rPr>
          <w:rFonts w:hint="eastAsia"/>
        </w:rPr>
        <w:t>Trough</w:t>
      </w:r>
      <w:proofErr w:type="gramEnd"/>
      <w:r w:rsidR="00DC2042">
        <w:rPr>
          <w:rFonts w:hint="eastAsia"/>
        </w:rPr>
        <w:t xml:space="preserve"> loss mainly lies in </w:t>
      </w:r>
      <w:r>
        <w:rPr>
          <w:rFonts w:hint="eastAsia"/>
        </w:rPr>
        <w:t>0% to -2%, then -2% to -4%, while Peak gain is 0-2% and 6-8%</w:t>
      </w:r>
    </w:p>
    <w:p w14:paraId="638056D8" w14:textId="77777777" w:rsidR="0063013F" w:rsidRDefault="0063013F" w:rsidP="005C0681">
      <w:pPr>
        <w:ind w:left="360"/>
        <w:rPr>
          <w:b/>
          <w:bCs/>
        </w:rPr>
      </w:pPr>
    </w:p>
    <w:p w14:paraId="7D5686B9" w14:textId="77777777" w:rsidR="00215D8D" w:rsidRDefault="00215D8D" w:rsidP="005C0681">
      <w:pPr>
        <w:ind w:left="360"/>
        <w:rPr>
          <w:b/>
          <w:bCs/>
        </w:rPr>
      </w:pPr>
    </w:p>
    <w:p w14:paraId="46B3E558" w14:textId="77777777" w:rsidR="00C91B1F" w:rsidRDefault="00C91B1F" w:rsidP="005C0681">
      <w:pPr>
        <w:ind w:left="360"/>
        <w:rPr>
          <w:b/>
          <w:bCs/>
        </w:rPr>
      </w:pPr>
    </w:p>
    <w:p w14:paraId="7DA05BE1" w14:textId="77777777" w:rsidR="00C91B1F" w:rsidRDefault="00C91B1F" w:rsidP="005C0681">
      <w:pPr>
        <w:ind w:left="360"/>
        <w:rPr>
          <w:b/>
          <w:bCs/>
        </w:rPr>
      </w:pPr>
    </w:p>
    <w:p w14:paraId="5427EBC8" w14:textId="77777777" w:rsidR="00C91B1F" w:rsidRDefault="00C91B1F" w:rsidP="005C0681">
      <w:pPr>
        <w:ind w:left="360"/>
        <w:rPr>
          <w:b/>
          <w:bCs/>
        </w:rPr>
      </w:pPr>
    </w:p>
    <w:p w14:paraId="36D8B97D" w14:textId="77777777" w:rsidR="00C91B1F" w:rsidRDefault="00C91B1F" w:rsidP="005C0681">
      <w:pPr>
        <w:ind w:left="360"/>
        <w:rPr>
          <w:b/>
          <w:bCs/>
        </w:rPr>
      </w:pPr>
    </w:p>
    <w:p w14:paraId="3CFBAFF7" w14:textId="77777777" w:rsidR="00C91B1F" w:rsidRDefault="00C91B1F" w:rsidP="005C0681">
      <w:pPr>
        <w:ind w:left="360"/>
        <w:rPr>
          <w:b/>
          <w:bCs/>
        </w:rPr>
      </w:pPr>
    </w:p>
    <w:p w14:paraId="4B9502C6" w14:textId="06115F44" w:rsidR="005C0681" w:rsidRPr="00250E8F" w:rsidRDefault="005C0681" w:rsidP="005C0681">
      <w:pPr>
        <w:ind w:left="360"/>
        <w:rPr>
          <w:b/>
          <w:bCs/>
          <w:sz w:val="32"/>
          <w:szCs w:val="32"/>
        </w:rPr>
      </w:pPr>
      <w:r w:rsidRPr="00250E8F">
        <w:rPr>
          <w:rFonts w:hint="eastAsia"/>
          <w:b/>
          <w:bCs/>
          <w:sz w:val="32"/>
          <w:szCs w:val="32"/>
        </w:rPr>
        <w:lastRenderedPageBreak/>
        <w:t>Distribution of the four situations</w:t>
      </w:r>
    </w:p>
    <w:p w14:paraId="12702038" w14:textId="29B395F1" w:rsidR="005C0681" w:rsidRDefault="005C0681" w:rsidP="005C0681">
      <w:pPr>
        <w:ind w:left="360"/>
      </w:pPr>
      <w:r>
        <w:rPr>
          <w:rFonts w:hint="eastAsia"/>
        </w:rPr>
        <w:t xml:space="preserve">The distribution of the four situations </w:t>
      </w:r>
      <w:r w:rsidR="00215D8D">
        <w:rPr>
          <w:rFonts w:hint="eastAsia"/>
        </w:rPr>
        <w:t>is</w:t>
      </w:r>
      <w:r>
        <w:rPr>
          <w:rFonts w:hint="eastAsia"/>
        </w:rPr>
        <w:t xml:space="preserve"> shown in </w:t>
      </w:r>
      <w:r w:rsidR="00215D8D">
        <w:rPr>
          <w:rFonts w:hint="eastAsia"/>
        </w:rPr>
        <w:t xml:space="preserve">the </w:t>
      </w:r>
      <w:proofErr w:type="gramStart"/>
      <w:r w:rsidR="00215D8D">
        <w:rPr>
          <w:rFonts w:hint="eastAsia"/>
        </w:rPr>
        <w:t>below figures</w:t>
      </w:r>
      <w:proofErr w:type="gramEnd"/>
      <w:r>
        <w:rPr>
          <w:rFonts w:hint="eastAsia"/>
        </w:rPr>
        <w:t>:</w:t>
      </w:r>
    </w:p>
    <w:p w14:paraId="3E668A39" w14:textId="4D56E557" w:rsidR="005C0681" w:rsidRDefault="00C91B1F" w:rsidP="005C0681">
      <w:pPr>
        <w:ind w:left="360"/>
        <w:jc w:val="center"/>
      </w:pPr>
      <w:r>
        <w:rPr>
          <w:noProof/>
        </w:rPr>
        <w:drawing>
          <wp:inline distT="0" distB="0" distL="0" distR="0" wp14:anchorId="62373FA9" wp14:editId="0B5D4850">
            <wp:extent cx="3157441" cy="1857811"/>
            <wp:effectExtent l="0" t="0" r="5080" b="9525"/>
            <wp:docPr id="15041806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14" cy="1862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6838B" w14:textId="4D746313" w:rsidR="00D1666D" w:rsidRDefault="00C91B1F" w:rsidP="00215D8D">
      <w:pPr>
        <w:ind w:left="360"/>
        <w:jc w:val="center"/>
      </w:pPr>
      <w:r w:rsidRPr="00C91B1F">
        <w:drawing>
          <wp:inline distT="0" distB="0" distL="0" distR="0" wp14:anchorId="0A768AD7" wp14:editId="7A814D03">
            <wp:extent cx="4850130" cy="1153160"/>
            <wp:effectExtent l="0" t="0" r="7620" b="8890"/>
            <wp:docPr id="4145967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4297" w14:textId="6253BE5D" w:rsidR="00250E8F" w:rsidRDefault="00C91B1F" w:rsidP="005C0681">
      <w:pPr>
        <w:rPr>
          <w:rFonts w:hint="eastAsia"/>
        </w:rPr>
      </w:pPr>
      <w:r>
        <w:rPr>
          <w:rFonts w:hint="eastAsia"/>
        </w:rPr>
        <w:t xml:space="preserve">The number of up-day-one is about 1.5 </w:t>
      </w:r>
      <w:proofErr w:type="gramStart"/>
      <w:r>
        <w:rPr>
          <w:rFonts w:hint="eastAsia"/>
        </w:rPr>
        <w:t>times of</w:t>
      </w:r>
      <w:proofErr w:type="gramEnd"/>
      <w:r>
        <w:rPr>
          <w:rFonts w:hint="eastAsia"/>
        </w:rPr>
        <w:t xml:space="preserve"> down-day-1. In up-day-one situations, we mainly care about </w:t>
      </w:r>
      <w:proofErr w:type="gramStart"/>
      <w:r>
        <w:rPr>
          <w:rFonts w:hint="eastAsia"/>
        </w:rPr>
        <w:t>situation1</w:t>
      </w:r>
      <w:proofErr w:type="gramEnd"/>
      <w:r>
        <w:rPr>
          <w:rFonts w:hint="eastAsia"/>
        </w:rPr>
        <w:t>. It has the largest share, about 60% in all the up-day-one situations.</w:t>
      </w:r>
    </w:p>
    <w:p w14:paraId="69ECA82D" w14:textId="3707DB4D" w:rsidR="000A6875" w:rsidRDefault="00C91B1F" w:rsidP="00C91B1F">
      <w:pPr>
        <w:ind w:left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Analysis on Trough date</w:t>
      </w:r>
      <w:r w:rsidR="00DC2042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/Peak date</w:t>
      </w:r>
    </w:p>
    <w:p w14:paraId="2B6B5F32" w14:textId="257A9EE1" w:rsidR="00C91B1F" w:rsidRDefault="00C91B1F" w:rsidP="00C91B1F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The distribution of trough date and peak date is as shown in the below figures:</w:t>
      </w:r>
    </w:p>
    <w:p w14:paraId="369D272F" w14:textId="2CE7C8CA" w:rsidR="00C91B1F" w:rsidRDefault="00C91B1F" w:rsidP="00C91B1F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564B55" wp14:editId="30C266A0">
            <wp:extent cx="4901565" cy="2487295"/>
            <wp:effectExtent l="0" t="0" r="0" b="8255"/>
            <wp:docPr id="3979287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96578B" w14:textId="3D3107CA" w:rsidR="00C91B1F" w:rsidRDefault="00C91B1F" w:rsidP="00C91B1F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From this figure, the trough is likely to happen on day 2,3,4,5, taking the share of 67.9% in </w:t>
      </w:r>
      <w:proofErr w:type="gramStart"/>
      <w:r>
        <w:rPr>
          <w:rFonts w:hint="eastAsia"/>
          <w:sz w:val="22"/>
          <w:szCs w:val="22"/>
        </w:rPr>
        <w:t>situation1</w:t>
      </w:r>
      <w:proofErr w:type="gramEnd"/>
      <w:r>
        <w:rPr>
          <w:rFonts w:hint="eastAsia"/>
          <w:sz w:val="22"/>
          <w:szCs w:val="22"/>
        </w:rPr>
        <w:t xml:space="preserve">. The average of trough date is 5.5 and the median is 4. </w:t>
      </w:r>
      <w:r w:rsidRPr="00C91B1F">
        <w:rPr>
          <w:rFonts w:hint="eastAsia"/>
          <w:sz w:val="22"/>
          <w:szCs w:val="22"/>
          <w:highlight w:val="red"/>
        </w:rPr>
        <w:t xml:space="preserve">Trough date on day 2 </w:t>
      </w:r>
      <w:r w:rsidR="00CA45D7">
        <w:rPr>
          <w:rFonts w:hint="eastAsia"/>
          <w:sz w:val="22"/>
          <w:szCs w:val="22"/>
          <w:highlight w:val="red"/>
        </w:rPr>
        <w:t>mean</w:t>
      </w:r>
      <w:r w:rsidRPr="00C91B1F">
        <w:rPr>
          <w:rFonts w:hint="eastAsia"/>
          <w:sz w:val="22"/>
          <w:szCs w:val="22"/>
          <w:highlight w:val="red"/>
        </w:rPr>
        <w:t xml:space="preserve">s that the price drops below </w:t>
      </w:r>
      <w:proofErr w:type="gramStart"/>
      <w:r w:rsidRPr="00C91B1F">
        <w:rPr>
          <w:rFonts w:hint="eastAsia"/>
          <w:sz w:val="22"/>
          <w:szCs w:val="22"/>
          <w:highlight w:val="red"/>
        </w:rPr>
        <w:t>day1</w:t>
      </w:r>
      <w:proofErr w:type="gramEnd"/>
      <w:r w:rsidRPr="00C91B1F">
        <w:rPr>
          <w:rFonts w:hint="eastAsia"/>
          <w:sz w:val="22"/>
          <w:szCs w:val="22"/>
          <w:highlight w:val="red"/>
        </w:rPr>
        <w:t xml:space="preserve"> on day2 and before it rebounds above day1 price, the </w:t>
      </w:r>
      <w:r w:rsidR="00CA45D7">
        <w:rPr>
          <w:rFonts w:hint="eastAsia"/>
          <w:sz w:val="22"/>
          <w:szCs w:val="22"/>
          <w:highlight w:val="red"/>
        </w:rPr>
        <w:t xml:space="preserve">lowest </w:t>
      </w:r>
      <w:r w:rsidR="00CA45D7">
        <w:rPr>
          <w:sz w:val="22"/>
          <w:szCs w:val="22"/>
          <w:highlight w:val="red"/>
        </w:rPr>
        <w:t xml:space="preserve">price </w:t>
      </w:r>
      <w:r w:rsidR="00CA45D7" w:rsidRPr="00C91B1F">
        <w:rPr>
          <w:sz w:val="22"/>
          <w:szCs w:val="22"/>
          <w:highlight w:val="red"/>
        </w:rPr>
        <w:t>it</w:t>
      </w:r>
      <w:r w:rsidRPr="00C91B1F">
        <w:rPr>
          <w:rFonts w:hint="eastAsia"/>
          <w:sz w:val="22"/>
          <w:szCs w:val="22"/>
          <w:highlight w:val="red"/>
        </w:rPr>
        <w:t xml:space="preserve"> could reach is on day 2.</w:t>
      </w:r>
    </w:p>
    <w:p w14:paraId="3B59D73D" w14:textId="231668A4" w:rsidR="000F03E6" w:rsidRDefault="000F03E6" w:rsidP="00C91B1F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The mix of retrace date = trough date is shown below:</w:t>
      </w:r>
    </w:p>
    <w:p w14:paraId="2E7D96FE" w14:textId="43FF34E6" w:rsidR="000F03E6" w:rsidRDefault="000F03E6" w:rsidP="000F03E6">
      <w:pPr>
        <w:ind w:left="360"/>
        <w:jc w:val="center"/>
        <w:rPr>
          <w:sz w:val="22"/>
          <w:szCs w:val="22"/>
        </w:rPr>
      </w:pPr>
      <w:r w:rsidRPr="000F03E6">
        <w:rPr>
          <w:rFonts w:hint="eastAsia"/>
        </w:rPr>
        <w:drawing>
          <wp:inline distT="0" distB="0" distL="0" distR="0" wp14:anchorId="2446F4C7" wp14:editId="1820F90D">
            <wp:extent cx="4174490" cy="580390"/>
            <wp:effectExtent l="0" t="0" r="0" b="0"/>
            <wp:docPr id="139891040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6F6B" w14:textId="5A5EA47F" w:rsidR="000F03E6" w:rsidRPr="000F03E6" w:rsidRDefault="000F03E6" w:rsidP="000F03E6">
      <w:pPr>
        <w:ind w:left="360"/>
        <w:rPr>
          <w:rFonts w:hint="eastAsia"/>
          <w:sz w:val="22"/>
          <w:szCs w:val="22"/>
        </w:rPr>
      </w:pPr>
      <w:r w:rsidRPr="000F03E6">
        <w:rPr>
          <w:rFonts w:hint="eastAsia"/>
          <w:sz w:val="22"/>
          <w:szCs w:val="22"/>
          <w:highlight w:val="red"/>
        </w:rPr>
        <w:t xml:space="preserve">This indicates </w:t>
      </w:r>
      <w:r w:rsidRPr="000F03E6">
        <w:rPr>
          <w:sz w:val="22"/>
          <w:szCs w:val="22"/>
          <w:highlight w:val="red"/>
        </w:rPr>
        <w:t>that</w:t>
      </w:r>
      <w:r w:rsidRPr="000F03E6">
        <w:rPr>
          <w:rFonts w:hint="eastAsia"/>
          <w:sz w:val="22"/>
          <w:szCs w:val="22"/>
          <w:highlight w:val="red"/>
        </w:rPr>
        <w:t xml:space="preserve"> for 60% percent of situation1, the stock reaches </w:t>
      </w:r>
      <w:proofErr w:type="gramStart"/>
      <w:r w:rsidRPr="000F03E6">
        <w:rPr>
          <w:rFonts w:hint="eastAsia"/>
          <w:sz w:val="22"/>
          <w:szCs w:val="22"/>
          <w:highlight w:val="red"/>
        </w:rPr>
        <w:t>it</w:t>
      </w:r>
      <w:r w:rsidRPr="000F03E6">
        <w:rPr>
          <w:sz w:val="22"/>
          <w:szCs w:val="22"/>
          <w:highlight w:val="red"/>
        </w:rPr>
        <w:t>’</w:t>
      </w:r>
      <w:r w:rsidRPr="000F03E6">
        <w:rPr>
          <w:rFonts w:hint="eastAsia"/>
          <w:sz w:val="22"/>
          <w:szCs w:val="22"/>
          <w:highlight w:val="red"/>
        </w:rPr>
        <w:t>s</w:t>
      </w:r>
      <w:proofErr w:type="gramEnd"/>
      <w:r w:rsidRPr="000F03E6">
        <w:rPr>
          <w:rFonts w:hint="eastAsia"/>
          <w:sz w:val="22"/>
          <w:szCs w:val="22"/>
          <w:highlight w:val="red"/>
        </w:rPr>
        <w:t xml:space="preserve"> lowest price as soon as it drops below day1 price.</w:t>
      </w:r>
    </w:p>
    <w:p w14:paraId="4E4C2471" w14:textId="472DDEF4" w:rsidR="00CA45D7" w:rsidRDefault="00CA45D7" w:rsidP="00CA45D7">
      <w:pPr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FA9141B" wp14:editId="49EA939E">
            <wp:extent cx="4907915" cy="2517775"/>
            <wp:effectExtent l="0" t="0" r="6985" b="0"/>
            <wp:docPr id="20102441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E4213" w14:textId="180C6E13" w:rsidR="00CA45D7" w:rsidRDefault="00884277" w:rsidP="00CA45D7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>average</w:t>
      </w:r>
      <w:r>
        <w:rPr>
          <w:rFonts w:hint="eastAsia"/>
          <w:sz w:val="22"/>
          <w:szCs w:val="22"/>
        </w:rPr>
        <w:t xml:space="preserve"> of</w:t>
      </w:r>
      <w:proofErr w:type="gramEnd"/>
      <w:r>
        <w:rPr>
          <w:rFonts w:hint="eastAsia"/>
          <w:sz w:val="22"/>
          <w:szCs w:val="22"/>
        </w:rPr>
        <w:t xml:space="preserve"> Peak date is 13.78.</w:t>
      </w:r>
      <w:r>
        <w:rPr>
          <w:rFonts w:hint="eastAsia"/>
          <w:sz w:val="22"/>
          <w:szCs w:val="22"/>
        </w:rPr>
        <w:t xml:space="preserve"> </w:t>
      </w:r>
      <w:r w:rsidR="00CA45D7">
        <w:rPr>
          <w:rFonts w:hint="eastAsia"/>
          <w:sz w:val="22"/>
          <w:szCs w:val="22"/>
        </w:rPr>
        <w:t xml:space="preserve">The peak after </w:t>
      </w:r>
      <w:proofErr w:type="gramStart"/>
      <w:r w:rsidR="00CA45D7">
        <w:rPr>
          <w:rFonts w:hint="eastAsia"/>
          <w:sz w:val="22"/>
          <w:szCs w:val="22"/>
        </w:rPr>
        <w:t>rebound</w:t>
      </w:r>
      <w:proofErr w:type="gramEnd"/>
      <w:r w:rsidR="00CA45D7">
        <w:rPr>
          <w:rFonts w:hint="eastAsia"/>
          <w:sz w:val="22"/>
          <w:szCs w:val="22"/>
        </w:rPr>
        <w:t xml:space="preserve"> is likely to be on day18, 19, 20, indicating that the trend of increasing may not end. In this case, an investigation was conducted and </w:t>
      </w:r>
      <w:r w:rsidR="00CA45D7" w:rsidRPr="00CA45D7">
        <w:rPr>
          <w:rFonts w:hint="eastAsia"/>
          <w:sz w:val="22"/>
          <w:szCs w:val="22"/>
          <w:highlight w:val="red"/>
        </w:rPr>
        <w:t>7 out of 36</w:t>
      </w:r>
      <w:r w:rsidR="00CA45D7">
        <w:rPr>
          <w:rFonts w:hint="eastAsia"/>
          <w:sz w:val="22"/>
          <w:szCs w:val="22"/>
        </w:rPr>
        <w:t xml:space="preserve"> (20%) samples get their </w:t>
      </w:r>
      <w:r w:rsidR="00CA45D7">
        <w:rPr>
          <w:sz w:val="22"/>
          <w:szCs w:val="22"/>
        </w:rPr>
        <w:t>“</w:t>
      </w:r>
      <w:r w:rsidR="00CA45D7">
        <w:rPr>
          <w:rFonts w:hint="eastAsia"/>
          <w:sz w:val="22"/>
          <w:szCs w:val="22"/>
        </w:rPr>
        <w:t>actual peak</w:t>
      </w:r>
      <w:r w:rsidR="00CA45D7">
        <w:rPr>
          <w:sz w:val="22"/>
          <w:szCs w:val="22"/>
        </w:rPr>
        <w:t>”</w:t>
      </w:r>
      <w:r w:rsidR="00CA45D7">
        <w:rPr>
          <w:rFonts w:hint="eastAsia"/>
          <w:sz w:val="22"/>
          <w:szCs w:val="22"/>
        </w:rPr>
        <w:t xml:space="preserve"> on day 18,19,20 within two earnings.</w:t>
      </w:r>
    </w:p>
    <w:p w14:paraId="742FA1E5" w14:textId="5BE26562" w:rsidR="00CA45D7" w:rsidRDefault="00CA45D7" w:rsidP="00CA45D7">
      <w:pPr>
        <w:ind w:left="360"/>
        <w:jc w:val="center"/>
        <w:rPr>
          <w:sz w:val="22"/>
          <w:szCs w:val="22"/>
        </w:rPr>
      </w:pPr>
      <w:r w:rsidRPr="00CA45D7">
        <w:drawing>
          <wp:inline distT="0" distB="0" distL="0" distR="0" wp14:anchorId="4CDBF3C3" wp14:editId="11C8B55D">
            <wp:extent cx="4174490" cy="580390"/>
            <wp:effectExtent l="0" t="0" r="0" b="0"/>
            <wp:docPr id="14047165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2511" w14:textId="41081ED7" w:rsidR="00884277" w:rsidRDefault="00CA45D7" w:rsidP="00884277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According to this table, </w:t>
      </w:r>
      <w:r w:rsidR="00884277">
        <w:rPr>
          <w:rFonts w:hint="eastAsia"/>
          <w:sz w:val="22"/>
          <w:szCs w:val="22"/>
        </w:rPr>
        <w:t xml:space="preserve">78.6% of the peaks </w:t>
      </w:r>
      <w:proofErr w:type="gramStart"/>
      <w:r w:rsidR="00884277">
        <w:rPr>
          <w:rFonts w:hint="eastAsia"/>
          <w:sz w:val="22"/>
          <w:szCs w:val="22"/>
        </w:rPr>
        <w:t>actually happens</w:t>
      </w:r>
      <w:proofErr w:type="gramEnd"/>
      <w:r w:rsidR="00884277">
        <w:rPr>
          <w:rFonts w:hint="eastAsia"/>
          <w:sz w:val="22"/>
          <w:szCs w:val="22"/>
        </w:rPr>
        <w:t xml:space="preserve"> outside of the 20-days window. </w:t>
      </w:r>
    </w:p>
    <w:p w14:paraId="624A74D6" w14:textId="69F48839" w:rsidR="00884277" w:rsidRDefault="00884277" w:rsidP="00884277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average of the trough loss is </w:t>
      </w:r>
      <w:r w:rsidR="00204F7B"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2.9% and the </w:t>
      </w:r>
      <w:r>
        <w:rPr>
          <w:sz w:val="22"/>
          <w:szCs w:val="22"/>
        </w:rPr>
        <w:t>average</w:t>
      </w:r>
      <w:r>
        <w:rPr>
          <w:rFonts w:hint="eastAsia"/>
          <w:sz w:val="22"/>
          <w:szCs w:val="22"/>
        </w:rPr>
        <w:t xml:space="preserve"> of the peak gain is 6.4%.</w:t>
      </w:r>
    </w:p>
    <w:p w14:paraId="3C4A21AC" w14:textId="77777777" w:rsidR="00CA72BD" w:rsidRDefault="00CA72BD" w:rsidP="00884277">
      <w:pPr>
        <w:ind w:left="360"/>
        <w:rPr>
          <w:sz w:val="22"/>
          <w:szCs w:val="22"/>
        </w:rPr>
      </w:pPr>
    </w:p>
    <w:p w14:paraId="63472CC3" w14:textId="77777777" w:rsidR="00CA72BD" w:rsidRDefault="00CA72BD" w:rsidP="00884277">
      <w:pPr>
        <w:ind w:left="360"/>
        <w:rPr>
          <w:sz w:val="22"/>
          <w:szCs w:val="22"/>
        </w:rPr>
      </w:pPr>
    </w:p>
    <w:p w14:paraId="0DEB8A30" w14:textId="77777777" w:rsidR="00CA72BD" w:rsidRDefault="00CA72BD" w:rsidP="00884277">
      <w:pPr>
        <w:ind w:left="360"/>
        <w:rPr>
          <w:sz w:val="22"/>
          <w:szCs w:val="22"/>
        </w:rPr>
      </w:pPr>
    </w:p>
    <w:p w14:paraId="2CC59FAF" w14:textId="77777777" w:rsidR="00CA72BD" w:rsidRDefault="00CA72BD" w:rsidP="00884277">
      <w:pPr>
        <w:ind w:left="360"/>
        <w:rPr>
          <w:sz w:val="22"/>
          <w:szCs w:val="22"/>
        </w:rPr>
      </w:pPr>
    </w:p>
    <w:p w14:paraId="7082D6A6" w14:textId="77777777" w:rsidR="00CA72BD" w:rsidRDefault="00CA72BD" w:rsidP="00884277">
      <w:pPr>
        <w:ind w:left="360"/>
        <w:rPr>
          <w:sz w:val="22"/>
          <w:szCs w:val="22"/>
        </w:rPr>
      </w:pPr>
    </w:p>
    <w:p w14:paraId="2BB8E291" w14:textId="77777777" w:rsidR="00CA72BD" w:rsidRDefault="00CA72BD" w:rsidP="00884277">
      <w:pPr>
        <w:ind w:left="360"/>
        <w:rPr>
          <w:sz w:val="22"/>
          <w:szCs w:val="22"/>
        </w:rPr>
      </w:pPr>
    </w:p>
    <w:p w14:paraId="07F4036A" w14:textId="77777777" w:rsidR="00CA72BD" w:rsidRDefault="00CA72BD" w:rsidP="00884277">
      <w:pPr>
        <w:ind w:left="360"/>
        <w:rPr>
          <w:sz w:val="22"/>
          <w:szCs w:val="22"/>
        </w:rPr>
      </w:pPr>
    </w:p>
    <w:p w14:paraId="56F2B506" w14:textId="77777777" w:rsidR="00CA72BD" w:rsidRDefault="00CA72BD" w:rsidP="00884277">
      <w:pPr>
        <w:ind w:left="360"/>
        <w:rPr>
          <w:sz w:val="22"/>
          <w:szCs w:val="22"/>
        </w:rPr>
      </w:pPr>
    </w:p>
    <w:p w14:paraId="7C04C8B9" w14:textId="77777777" w:rsidR="00CA72BD" w:rsidRDefault="00CA72BD" w:rsidP="00884277">
      <w:pPr>
        <w:ind w:left="360"/>
        <w:rPr>
          <w:sz w:val="22"/>
          <w:szCs w:val="22"/>
        </w:rPr>
      </w:pPr>
    </w:p>
    <w:p w14:paraId="371909EF" w14:textId="258B22F0" w:rsidR="00DC2042" w:rsidRDefault="00DC2042" w:rsidP="00DC2042">
      <w:pPr>
        <w:ind w:left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Analysis on </w:t>
      </w:r>
      <w:r>
        <w:rPr>
          <w:rFonts w:hint="eastAsia"/>
          <w:b/>
          <w:bCs/>
          <w:sz w:val="32"/>
          <w:szCs w:val="32"/>
        </w:rPr>
        <w:t>Trough Loss/Peak Gain</w:t>
      </w:r>
    </w:p>
    <w:p w14:paraId="377260FF" w14:textId="205586D8" w:rsidR="00CA72BD" w:rsidRPr="00DC2042" w:rsidRDefault="00CA72BD" w:rsidP="00CA72BD">
      <w:pPr>
        <w:ind w:left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The distribution of Peak gain and trough loss is shown below:</w:t>
      </w:r>
    </w:p>
    <w:p w14:paraId="41B0CF99" w14:textId="0C22DA66" w:rsidR="00DC2042" w:rsidRDefault="00CA72BD" w:rsidP="00884277">
      <w:pPr>
        <w:ind w:left="3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449C9" wp14:editId="6337A0C5">
                <wp:simplePos x="0" y="0"/>
                <wp:positionH relativeFrom="column">
                  <wp:posOffset>222637</wp:posOffset>
                </wp:positionH>
                <wp:positionV relativeFrom="paragraph">
                  <wp:posOffset>241962</wp:posOffset>
                </wp:positionV>
                <wp:extent cx="1653871" cy="1518699"/>
                <wp:effectExtent l="0" t="0" r="22860" b="24765"/>
                <wp:wrapNone/>
                <wp:docPr id="158613671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1518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F9C8D" id="矩形 14" o:spid="_x0000_s1026" style="position:absolute;margin-left:17.55pt;margin-top:19.05pt;width:130.25pt;height:1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" filled="f" strokecolor="red" strokeweight="1pt"/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4F4B4EC3" wp14:editId="5BDF7C3A">
            <wp:extent cx="5717347" cy="1833922"/>
            <wp:effectExtent l="0" t="0" r="0" b="0"/>
            <wp:docPr id="16167539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76" cy="18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D15F6" w14:textId="566B86F7" w:rsidR="00CA72BD" w:rsidRDefault="00CA72BD" w:rsidP="00884277">
      <w:pPr>
        <w:ind w:left="3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59143" wp14:editId="2D4D8180">
                <wp:simplePos x="0" y="0"/>
                <wp:positionH relativeFrom="column">
                  <wp:posOffset>1748431</wp:posOffset>
                </wp:positionH>
                <wp:positionV relativeFrom="paragraph">
                  <wp:posOffset>601151</wp:posOffset>
                </wp:positionV>
                <wp:extent cx="596348" cy="1351721"/>
                <wp:effectExtent l="0" t="0" r="13335" b="20320"/>
                <wp:wrapNone/>
                <wp:docPr id="1742042688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351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74361" id="矩形 14" o:spid="_x0000_s1026" style="position:absolute;margin-left:137.65pt;margin-top:47.35pt;width:46.95pt;height:10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177F0" wp14:editId="049EDAD2">
                <wp:simplePos x="0" y="0"/>
                <wp:positionH relativeFrom="column">
                  <wp:posOffset>421420</wp:posOffset>
                </wp:positionH>
                <wp:positionV relativeFrom="paragraph">
                  <wp:posOffset>530032</wp:posOffset>
                </wp:positionV>
                <wp:extent cx="596348" cy="1351721"/>
                <wp:effectExtent l="0" t="0" r="13335" b="20320"/>
                <wp:wrapNone/>
                <wp:docPr id="2100685458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351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A771F" id="矩形 14" o:spid="_x0000_s1026" style="position:absolute;margin-left:33.2pt;margin-top:41.75pt;width:46.95pt;height:10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302CB6AF" wp14:editId="2904D791">
            <wp:extent cx="6132830" cy="2755900"/>
            <wp:effectExtent l="0" t="0" r="1270" b="6350"/>
            <wp:docPr id="93702188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CBA61" w14:textId="45ADABEE" w:rsidR="00CA72BD" w:rsidRPr="00DC2042" w:rsidRDefault="00CA72BD" w:rsidP="00CA72BD">
      <w:pPr>
        <w:pStyle w:val="a9"/>
        <w:numPr>
          <w:ilvl w:val="0"/>
          <w:numId w:val="12"/>
        </w:numPr>
        <w:rPr>
          <w:rFonts w:hint="eastAsia"/>
        </w:rPr>
      </w:pPr>
      <w:r w:rsidRPr="00CA72BD">
        <w:rPr>
          <w:rFonts w:hint="eastAsia"/>
          <w:sz w:val="22"/>
          <w:szCs w:val="22"/>
        </w:rPr>
        <w:t xml:space="preserve">From these </w:t>
      </w:r>
      <w:r>
        <w:rPr>
          <w:rFonts w:hint="eastAsia"/>
          <w:sz w:val="22"/>
          <w:szCs w:val="22"/>
        </w:rPr>
        <w:t xml:space="preserve">figures, we can see </w:t>
      </w:r>
      <w:r>
        <w:rPr>
          <w:sz w:val="22"/>
          <w:szCs w:val="22"/>
        </w:rPr>
        <w:t>that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</w:rPr>
        <w:t>Peak gain mainly lies in 0% - 2.0%</w:t>
      </w:r>
      <w:r>
        <w:rPr>
          <w:rFonts w:hint="eastAsia"/>
        </w:rPr>
        <w:t xml:space="preserve"> and 6%-8%</w:t>
      </w:r>
      <w:r>
        <w:rPr>
          <w:rFonts w:hint="eastAsia"/>
        </w:rPr>
        <w:t xml:space="preserve">, while trough loss mainly lies in </w:t>
      </w:r>
      <w:r>
        <w:rPr>
          <w:rFonts w:hint="eastAsia"/>
        </w:rPr>
        <w:t>0</w:t>
      </w:r>
      <w:r>
        <w:rPr>
          <w:rFonts w:hint="eastAsia"/>
        </w:rPr>
        <w:t xml:space="preserve">% </w:t>
      </w:r>
      <w:proofErr w:type="gramStart"/>
      <w:r>
        <w:rPr>
          <w:rFonts w:hint="eastAsia"/>
        </w:rPr>
        <w:t>to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-</w:t>
      </w:r>
      <w:proofErr w:type="gramEnd"/>
      <w:r>
        <w:rPr>
          <w:rFonts w:hint="eastAsia"/>
        </w:rPr>
        <w:t>2</w:t>
      </w:r>
      <w:r>
        <w:rPr>
          <w:rFonts w:hint="eastAsia"/>
        </w:rPr>
        <w:t>%</w:t>
      </w:r>
      <w:r>
        <w:rPr>
          <w:rFonts w:hint="eastAsia"/>
        </w:rPr>
        <w:t xml:space="preserve"> and -2% to -4%.</w:t>
      </w:r>
    </w:p>
    <w:p w14:paraId="63EF0A4E" w14:textId="5006FEF8" w:rsidR="00884277" w:rsidRPr="00CA72BD" w:rsidRDefault="00884277" w:rsidP="00884277">
      <w:pPr>
        <w:ind w:left="360"/>
        <w:rPr>
          <w:rFonts w:hint="eastAsia"/>
          <w:sz w:val="22"/>
          <w:szCs w:val="22"/>
        </w:rPr>
      </w:pPr>
    </w:p>
    <w:p w14:paraId="1709CB93" w14:textId="4F5657BE" w:rsidR="00884277" w:rsidRDefault="00884277" w:rsidP="00884277">
      <w:pPr>
        <w:ind w:left="3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Analysis </w:t>
      </w:r>
      <w:proofErr w:type="gramStart"/>
      <w:r>
        <w:rPr>
          <w:rFonts w:hint="eastAsia"/>
          <w:b/>
          <w:bCs/>
          <w:sz w:val="32"/>
          <w:szCs w:val="32"/>
        </w:rPr>
        <w:t>on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samples whose </w:t>
      </w:r>
      <w:r>
        <w:rPr>
          <w:rFonts w:hint="eastAsia"/>
          <w:b/>
          <w:bCs/>
          <w:sz w:val="32"/>
          <w:szCs w:val="32"/>
        </w:rPr>
        <w:t>Trough date</w:t>
      </w:r>
      <w:r>
        <w:rPr>
          <w:rFonts w:hint="eastAsia"/>
          <w:b/>
          <w:bCs/>
          <w:sz w:val="32"/>
          <w:szCs w:val="32"/>
        </w:rPr>
        <w:t xml:space="preserve"> is 2,3,4,5</w:t>
      </w:r>
    </w:p>
    <w:p w14:paraId="361D7E7E" w14:textId="2DFEA381" w:rsidR="00884277" w:rsidRDefault="00204F7B" w:rsidP="00884277">
      <w:pPr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The number of these samples is 67.9% of all situation1 samples. The average </w:t>
      </w:r>
      <w:proofErr w:type="gramStart"/>
      <w:r>
        <w:rPr>
          <w:rFonts w:hint="eastAsia"/>
          <w:sz w:val="22"/>
          <w:szCs w:val="22"/>
        </w:rPr>
        <w:t>of</w:t>
      </w:r>
      <w:proofErr w:type="gramEnd"/>
      <w:r>
        <w:rPr>
          <w:rFonts w:hint="eastAsia"/>
          <w:sz w:val="22"/>
          <w:szCs w:val="22"/>
        </w:rPr>
        <w:t xml:space="preserve"> trough loss and peak gain is -2.6% and 6.8%. I also draw the distribution of Peak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trough (how long it takes to rebound to </w:t>
      </w:r>
      <w:r>
        <w:rPr>
          <w:sz w:val="22"/>
          <w:szCs w:val="22"/>
        </w:rPr>
        <w:t>maximum</w:t>
      </w:r>
      <w:r>
        <w:rPr>
          <w:rFonts w:hint="eastAsia"/>
          <w:sz w:val="22"/>
          <w:szCs w:val="22"/>
        </w:rPr>
        <w:t xml:space="preserve"> price after the trough) as shown below:</w:t>
      </w:r>
    </w:p>
    <w:p w14:paraId="744DA36E" w14:textId="77A3AA85" w:rsidR="00204F7B" w:rsidRDefault="00204F7B" w:rsidP="00884277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20FC90" wp14:editId="1F9A25AA">
            <wp:extent cx="5566410" cy="2755900"/>
            <wp:effectExtent l="0" t="0" r="0" b="6350"/>
            <wp:docPr id="9423640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DEC33" w14:textId="29825BC7" w:rsidR="00204F7B" w:rsidRPr="00884277" w:rsidRDefault="00204F7B" w:rsidP="00884277">
      <w:pPr>
        <w:ind w:left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The distribution shows that usually it takes 2-6 days to rebound or 16 days.  The </w:t>
      </w:r>
      <w:proofErr w:type="gramStart"/>
      <w:r>
        <w:rPr>
          <w:rFonts w:hint="eastAsia"/>
          <w:sz w:val="22"/>
          <w:szCs w:val="22"/>
        </w:rPr>
        <w:t>average of</w:t>
      </w:r>
      <w:proofErr w:type="gramEnd"/>
      <w:r>
        <w:rPr>
          <w:rFonts w:hint="eastAsia"/>
          <w:sz w:val="22"/>
          <w:szCs w:val="22"/>
        </w:rPr>
        <w:t xml:space="preserve"> Peak-trough is 9.</w:t>
      </w:r>
    </w:p>
    <w:p w14:paraId="4C1926D4" w14:textId="13379221" w:rsidR="00884277" w:rsidRPr="00CA45D7" w:rsidRDefault="00204F7B" w:rsidP="00CA45D7">
      <w:pPr>
        <w:ind w:left="360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81B4B2" wp14:editId="726B2356">
            <wp:extent cx="5431790" cy="2761615"/>
            <wp:effectExtent l="0" t="0" r="0" b="635"/>
            <wp:docPr id="19958220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3A85B" w14:textId="1861A979" w:rsidR="00943B33" w:rsidRPr="00204F7B" w:rsidRDefault="00204F7B" w:rsidP="00204F7B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</w:rPr>
        <w:t>From this figure it could be discovered that when trough date is on 2,3,4,5, the peak date is likely to be on the 6</w:t>
      </w:r>
      <w:r w:rsidRPr="00204F7B">
        <w:rPr>
          <w:rFonts w:hint="eastAsia"/>
          <w:noProof/>
          <w:vertAlign w:val="superscript"/>
        </w:rPr>
        <w:t>th</w:t>
      </w:r>
      <w:r>
        <w:rPr>
          <w:rFonts w:hint="eastAsia"/>
          <w:noProof/>
        </w:rPr>
        <w:t xml:space="preserve"> day or day 18. 19, 20, indicating that if the </w:t>
      </w:r>
      <w:r w:rsidR="00DC2042">
        <w:rPr>
          <w:rFonts w:hint="eastAsia"/>
          <w:noProof/>
        </w:rPr>
        <w:t>increasing trend does not stop on day 6, it will continue to increase until at least 18,  19, 20 days</w:t>
      </w:r>
    </w:p>
    <w:sectPr w:rsidR="00943B33" w:rsidRPr="0020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64"/>
    <w:multiLevelType w:val="hybridMultilevel"/>
    <w:tmpl w:val="33C0C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84C"/>
    <w:multiLevelType w:val="hybridMultilevel"/>
    <w:tmpl w:val="FBF44364"/>
    <w:lvl w:ilvl="0" w:tplc="2116B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C27D3"/>
    <w:multiLevelType w:val="hybridMultilevel"/>
    <w:tmpl w:val="B0F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0A1B"/>
    <w:multiLevelType w:val="hybridMultilevel"/>
    <w:tmpl w:val="FC60B1D8"/>
    <w:lvl w:ilvl="0" w:tplc="3F609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A2EAE"/>
    <w:multiLevelType w:val="hybridMultilevel"/>
    <w:tmpl w:val="B71C44DA"/>
    <w:lvl w:ilvl="0" w:tplc="8F94A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9C0E1B"/>
    <w:multiLevelType w:val="hybridMultilevel"/>
    <w:tmpl w:val="4A5C04C0"/>
    <w:lvl w:ilvl="0" w:tplc="C9183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D276D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A96661"/>
    <w:multiLevelType w:val="hybridMultilevel"/>
    <w:tmpl w:val="656200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503216"/>
    <w:multiLevelType w:val="hybridMultilevel"/>
    <w:tmpl w:val="6C660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838CC"/>
    <w:multiLevelType w:val="hybridMultilevel"/>
    <w:tmpl w:val="C93EF63C"/>
    <w:lvl w:ilvl="0" w:tplc="941204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57E89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DC6882"/>
    <w:multiLevelType w:val="hybridMultilevel"/>
    <w:tmpl w:val="0D8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0579">
    <w:abstractNumId w:val="2"/>
  </w:num>
  <w:num w:numId="2" w16cid:durableId="1595674768">
    <w:abstractNumId w:val="11"/>
  </w:num>
  <w:num w:numId="3" w16cid:durableId="936132440">
    <w:abstractNumId w:val="5"/>
  </w:num>
  <w:num w:numId="4" w16cid:durableId="1008673320">
    <w:abstractNumId w:val="1"/>
  </w:num>
  <w:num w:numId="5" w16cid:durableId="762651455">
    <w:abstractNumId w:val="10"/>
  </w:num>
  <w:num w:numId="6" w16cid:durableId="1002850767">
    <w:abstractNumId w:val="6"/>
  </w:num>
  <w:num w:numId="7" w16cid:durableId="1694115873">
    <w:abstractNumId w:val="8"/>
  </w:num>
  <w:num w:numId="8" w16cid:durableId="459687317">
    <w:abstractNumId w:val="7"/>
  </w:num>
  <w:num w:numId="9" w16cid:durableId="223419437">
    <w:abstractNumId w:val="3"/>
  </w:num>
  <w:num w:numId="10" w16cid:durableId="1271427081">
    <w:abstractNumId w:val="9"/>
  </w:num>
  <w:num w:numId="11" w16cid:durableId="199172429">
    <w:abstractNumId w:val="4"/>
  </w:num>
  <w:num w:numId="12" w16cid:durableId="10180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C"/>
    <w:rsid w:val="0001387C"/>
    <w:rsid w:val="00030AB4"/>
    <w:rsid w:val="00034EFD"/>
    <w:rsid w:val="00065559"/>
    <w:rsid w:val="000A6875"/>
    <w:rsid w:val="000F03E6"/>
    <w:rsid w:val="0012682C"/>
    <w:rsid w:val="00174E9C"/>
    <w:rsid w:val="001E0929"/>
    <w:rsid w:val="00204F7B"/>
    <w:rsid w:val="002055FB"/>
    <w:rsid w:val="00215D8D"/>
    <w:rsid w:val="00250E8F"/>
    <w:rsid w:val="00291249"/>
    <w:rsid w:val="002C2FE0"/>
    <w:rsid w:val="00303DB7"/>
    <w:rsid w:val="0033327A"/>
    <w:rsid w:val="00361981"/>
    <w:rsid w:val="00416023"/>
    <w:rsid w:val="00444C28"/>
    <w:rsid w:val="005C0681"/>
    <w:rsid w:val="005F3F02"/>
    <w:rsid w:val="0063013F"/>
    <w:rsid w:val="006F0357"/>
    <w:rsid w:val="007314E6"/>
    <w:rsid w:val="0074583C"/>
    <w:rsid w:val="00863299"/>
    <w:rsid w:val="00867230"/>
    <w:rsid w:val="00884277"/>
    <w:rsid w:val="00943B33"/>
    <w:rsid w:val="00A136E1"/>
    <w:rsid w:val="00AB18F2"/>
    <w:rsid w:val="00AB59EE"/>
    <w:rsid w:val="00B101BF"/>
    <w:rsid w:val="00BC27D6"/>
    <w:rsid w:val="00BF7B9C"/>
    <w:rsid w:val="00C22D91"/>
    <w:rsid w:val="00C24696"/>
    <w:rsid w:val="00C44CF0"/>
    <w:rsid w:val="00C91B1F"/>
    <w:rsid w:val="00CA45D7"/>
    <w:rsid w:val="00CA72BD"/>
    <w:rsid w:val="00CC3AD0"/>
    <w:rsid w:val="00CD1C19"/>
    <w:rsid w:val="00D1666D"/>
    <w:rsid w:val="00D65D1F"/>
    <w:rsid w:val="00DA4DA4"/>
    <w:rsid w:val="00DC2042"/>
    <w:rsid w:val="00E02E37"/>
    <w:rsid w:val="00E1736C"/>
    <w:rsid w:val="00E477B7"/>
    <w:rsid w:val="00E62414"/>
    <w:rsid w:val="00E71BAF"/>
    <w:rsid w:val="00E8252B"/>
    <w:rsid w:val="00ED0C7B"/>
    <w:rsid w:val="00F00EE3"/>
    <w:rsid w:val="00F46005"/>
    <w:rsid w:val="00F6763A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BD2"/>
  <w15:chartTrackingRefBased/>
  <w15:docId w15:val="{4E735581-52E6-4E6B-AC0F-0890EA8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6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682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6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68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6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13</cp:revision>
  <dcterms:created xsi:type="dcterms:W3CDTF">2025-03-13T08:45:00Z</dcterms:created>
  <dcterms:modified xsi:type="dcterms:W3CDTF">2025-04-03T07:15:00Z</dcterms:modified>
</cp:coreProperties>
</file>