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BD8" w:rsidRDefault="00E84BD8" w:rsidP="00E84BD8">
      <w:pPr>
        <w:pStyle w:val="Title"/>
        <w:spacing w:before="85"/>
      </w:pPr>
      <w:r>
        <w:rPr>
          <w:color w:val="345A89"/>
        </w:rPr>
        <w:t>GRS MA681 Final Project</w:t>
      </w:r>
    </w:p>
    <w:p w:rsidR="00E84BD8" w:rsidRDefault="00E84BD8" w:rsidP="00E84BD8">
      <w:pPr>
        <w:pStyle w:val="BodyText"/>
        <w:spacing w:before="7"/>
        <w:rPr>
          <w:b/>
          <w:sz w:val="41"/>
        </w:rPr>
      </w:pPr>
    </w:p>
    <w:p w:rsidR="00E84BD8" w:rsidRDefault="00E84BD8" w:rsidP="00E84BD8">
      <w:pPr>
        <w:pStyle w:val="Title"/>
        <w:ind w:right="1349"/>
      </w:pPr>
      <w:r>
        <w:rPr>
          <w:color w:val="345A89"/>
        </w:rPr>
        <w:t>Analysing Inceptive Municipal Efforts to Achieve Carbon Neutrality by 2050 in Boston</w:t>
      </w:r>
    </w:p>
    <w:p w:rsidR="00E84BD8" w:rsidRDefault="00E84BD8" w:rsidP="00E84BD8">
      <w:pPr>
        <w:pStyle w:val="BodyText"/>
        <w:spacing w:before="239"/>
        <w:ind w:left="1429" w:right="1349"/>
        <w:jc w:val="center"/>
      </w:pPr>
      <w:r>
        <w:t>Tegveer Ghura</w:t>
      </w:r>
    </w:p>
    <w:p w:rsidR="00E84BD8" w:rsidRDefault="00E84BD8" w:rsidP="00E84BD8">
      <w:pPr>
        <w:pStyle w:val="BodyText"/>
        <w:rPr>
          <w:sz w:val="26"/>
        </w:rPr>
      </w:pPr>
    </w:p>
    <w:p w:rsidR="00E84BD8" w:rsidRDefault="00E84BD8" w:rsidP="002F6ED6">
      <w:pPr>
        <w:pStyle w:val="Heading1"/>
        <w:spacing w:before="184"/>
        <w:ind w:left="0"/>
      </w:pPr>
      <w:r>
        <w:rPr>
          <w:color w:val="345A89"/>
        </w:rPr>
        <w:t>Abstract</w:t>
      </w:r>
    </w:p>
    <w:p w:rsidR="00E84BD8" w:rsidRDefault="00E84BD8" w:rsidP="00330FB2">
      <w:pPr>
        <w:pStyle w:val="BodyText"/>
        <w:spacing w:before="20"/>
        <w:ind w:firstLine="720"/>
      </w:pPr>
      <w:r>
        <w:t>In 2017, Mayor Martin J. Walsh fortified existing GHG (short for greenhouse gas) emissions reduction goals to achieve carbon neutrality (no net carbon emissions released into the atmosphere) by the year 2050 in the City of Boston.</w:t>
      </w:r>
      <w:r>
        <w:rPr>
          <w:rStyle w:val="FootnoteReference"/>
        </w:rPr>
        <w:footnoteReference w:id="1"/>
      </w:r>
      <w:r>
        <w:t xml:space="preserve"> This research paper aims to </w:t>
      </w:r>
      <w:proofErr w:type="spellStart"/>
      <w:r>
        <w:t>analyse</w:t>
      </w:r>
      <w:proofErr w:type="spellEnd"/>
      <w:r>
        <w:t xml:space="preserve"> the significance of the changes in GHG emissions generated by municipal operations in the City of Boston from the year 2005 to 2018. The City had pledged in the year 2000, when it enlisted itself in the Cities for Climate Protection Campaign of ICLEI (Local Governments for Sustainability) network, to take an active, leading role in advancing climate action.</w:t>
      </w:r>
      <w:r>
        <w:rPr>
          <w:rStyle w:val="FootnoteReference"/>
        </w:rPr>
        <w:footnoteReference w:id="2"/>
      </w:r>
      <w:r>
        <w:t xml:space="preserve"> Therefore, a statistical examination of the local government’s progress of combating global warming would help us benchmark their successes against claims laid out in updated versions of the Climate Action Plan (CAP) and other documents. To test these claims, the main tools used were hypothesis testing, general linear models, including ANCOVA, and an Autoregressive model, assuming an Autoregressive (Lag 1) correlation structure. The results obtained from my methods and EDA were largely different from the statistics reported in the CAP and Boston GHG Inventory reports, with major trends of Yearly GHG Emissions differing among the Fuels, Departments, and Facilities groups. </w:t>
      </w:r>
    </w:p>
    <w:p w:rsidR="00E84BD8" w:rsidRDefault="00E84BD8" w:rsidP="00330FB2">
      <w:pPr>
        <w:pStyle w:val="BodyText"/>
        <w:spacing w:before="20"/>
        <w:ind w:firstLine="720"/>
        <w:rPr>
          <w:sz w:val="26"/>
        </w:rPr>
      </w:pPr>
    </w:p>
    <w:p w:rsidR="00E84BD8" w:rsidRPr="003E78D7" w:rsidRDefault="00E84BD8" w:rsidP="002F6ED6">
      <w:pPr>
        <w:pStyle w:val="Heading1"/>
        <w:spacing w:before="20"/>
        <w:ind w:left="0"/>
        <w:rPr>
          <w:color w:val="345A89"/>
        </w:rPr>
      </w:pPr>
      <w:r>
        <w:rPr>
          <w:color w:val="345A89"/>
        </w:rPr>
        <w:t>Introduction</w:t>
      </w:r>
    </w:p>
    <w:p w:rsidR="00E84BD8" w:rsidRDefault="00E84BD8" w:rsidP="00330FB2">
      <w:pPr>
        <w:pStyle w:val="BodyText"/>
        <w:spacing w:before="20"/>
        <w:ind w:firstLine="720"/>
      </w:pPr>
      <w:r>
        <w:t>Initially in 2007, Mayor Thomas Menino signed an executive order for the City of Boston to meet or exceed the goal of reducing its annual greenhouse gas emissions 7% below 1990 levels by 2012 (referring to Kyoto Protocol targets), and to begin releasing and updating a Climate Action Plan (CAP) that laid out strategies to reduce greenhouse gas emissions by 80 percent by 2050 in both municipal operations and in the entire Boston community.</w:t>
      </w:r>
      <w:r>
        <w:rPr>
          <w:rStyle w:val="FootnoteReference"/>
        </w:rPr>
        <w:footnoteReference w:id="3"/>
      </w:r>
      <w:r>
        <w:t xml:space="preserve"> Later, in 2017, Mayor Walsh set a more ambitious goal of making Boston carbon neutral by 2050 and highlighted the steps to do so in the 2019 CAP Report. The reason to undertake this responsibility was to fulfill Boston’s commitment to the Paris Climate Agreement and to keep global warming under 1.5 degrees</w:t>
      </w:r>
      <w:r>
        <w:rPr>
          <w:spacing w:val="-1"/>
        </w:rPr>
        <w:t xml:space="preserve"> </w:t>
      </w:r>
      <w:r>
        <w:t xml:space="preserve">Celsius. </w:t>
      </w:r>
      <w:r>
        <w:rPr>
          <w:rStyle w:val="FootnoteReference"/>
        </w:rPr>
        <w:footnoteReference w:id="4"/>
      </w:r>
    </w:p>
    <w:p w:rsidR="00E84BD8" w:rsidRDefault="00E84BD8" w:rsidP="00330FB2">
      <w:pPr>
        <w:pStyle w:val="BodyText"/>
        <w:spacing w:before="20"/>
        <w:ind w:firstLine="720"/>
      </w:pPr>
      <w:r>
        <w:t xml:space="preserve">Between the years 2005 and 2019, numerous policies, results, and goals were presented to the Boston public in different versions of the CAP reports as well as in the City of Boston Greenhouse Gas (GHG) Emissions Inventory. In this project, I assess select information from </w:t>
      </w:r>
      <w:r>
        <w:lastRenderedPageBreak/>
        <w:t>these reports and sources to compare it to my analysis, given the capacity of my dataset. To explain in more detail, we first need to understand the differences between the community and Local Government</w:t>
      </w:r>
      <w:r>
        <w:rPr>
          <w:spacing w:val="23"/>
        </w:rPr>
        <w:t xml:space="preserve"> </w:t>
      </w:r>
      <w:r>
        <w:t>Operations</w:t>
      </w:r>
      <w:r>
        <w:rPr>
          <w:spacing w:val="23"/>
        </w:rPr>
        <w:t xml:space="preserve"> </w:t>
      </w:r>
      <w:r>
        <w:t>(LGO)</w:t>
      </w:r>
      <w:r>
        <w:rPr>
          <w:spacing w:val="22"/>
        </w:rPr>
        <w:t xml:space="preserve"> or municipal </w:t>
      </w:r>
      <w:r>
        <w:t>GHG</w:t>
      </w:r>
      <w:r>
        <w:rPr>
          <w:spacing w:val="22"/>
        </w:rPr>
        <w:t xml:space="preserve"> </w:t>
      </w:r>
      <w:r>
        <w:t>inventories.</w:t>
      </w:r>
      <w:r>
        <w:rPr>
          <w:spacing w:val="23"/>
        </w:rPr>
        <w:t xml:space="preserve"> </w:t>
      </w:r>
      <w:r>
        <w:t>Emissions reporting</w:t>
      </w:r>
      <w:r>
        <w:rPr>
          <w:spacing w:val="23"/>
        </w:rPr>
        <w:t xml:space="preserve"> </w:t>
      </w:r>
      <w:r>
        <w:t>for</w:t>
      </w:r>
      <w:r>
        <w:rPr>
          <w:spacing w:val="21"/>
        </w:rPr>
        <w:t xml:space="preserve"> </w:t>
      </w:r>
      <w:r>
        <w:t>the</w:t>
      </w:r>
      <w:r>
        <w:rPr>
          <w:spacing w:val="22"/>
        </w:rPr>
        <w:t xml:space="preserve"> </w:t>
      </w:r>
      <w:r>
        <w:t>annual</w:t>
      </w:r>
      <w:r>
        <w:rPr>
          <w:spacing w:val="24"/>
        </w:rPr>
        <w:t xml:space="preserve"> </w:t>
      </w:r>
      <w:r>
        <w:t>GHG</w:t>
      </w:r>
      <w:r>
        <w:rPr>
          <w:spacing w:val="22"/>
        </w:rPr>
        <w:t xml:space="preserve"> </w:t>
      </w:r>
      <w:r>
        <w:t>inventory</w:t>
      </w:r>
      <w:r>
        <w:rPr>
          <w:spacing w:val="22"/>
        </w:rPr>
        <w:t xml:space="preserve"> </w:t>
      </w:r>
      <w:r>
        <w:t>for the City is separated into community-wide and local government (municipal) operations inventories.</w:t>
      </w:r>
      <w:r>
        <w:rPr>
          <w:rStyle w:val="FootnoteReference"/>
        </w:rPr>
        <w:footnoteReference w:id="5"/>
      </w:r>
      <w:r>
        <w:t xml:space="preserve"> Emissions from the Boston Housing Authority, the Massachusetts Water Resources Authority (MWRA), and the Boston Planning and Development Agency (BPDA) are not included in the municipal GHG inventory, but those from the Boston Public Health Commission (BPHC), and the Boston Water and Sewer Commission (BWSC) are.</w:t>
      </w:r>
      <w:r>
        <w:rPr>
          <w:rStyle w:val="FootnoteReference"/>
        </w:rPr>
        <w:footnoteReference w:id="6"/>
      </w:r>
      <w:r>
        <w:t xml:space="preserve"> Moreover, LGO’s should be considered to be largely overlapping, but not completely contained within the Citywide inventory.</w:t>
      </w:r>
      <w:r>
        <w:rPr>
          <w:rStyle w:val="FootnoteReference"/>
        </w:rPr>
        <w:footnoteReference w:id="7"/>
      </w:r>
    </w:p>
    <w:p w:rsidR="00E84BD8" w:rsidRDefault="00E84BD8" w:rsidP="00330FB2">
      <w:pPr>
        <w:pStyle w:val="BodyText"/>
        <w:spacing w:before="20"/>
        <w:ind w:firstLine="720"/>
      </w:pPr>
      <w:r>
        <w:t>The LGO inventory calculates all GHG emissions generated by municipal operations of the City. This includes the burning of fuels in the City’s facilities and vehicles, and the energy used in municipal buildings, vehicles, parks, street lights, and traffic signals.</w:t>
      </w:r>
      <w:r>
        <w:rPr>
          <w:rStyle w:val="FootnoteReference"/>
        </w:rPr>
        <w:footnoteReference w:id="8"/>
      </w:r>
      <w:r>
        <w:t xml:space="preserve"> As we shall see in the next section, the dataset used corresponds to the data collected from this inventory from the years 2005-2018.</w:t>
      </w:r>
    </w:p>
    <w:p w:rsidR="00E84BD8" w:rsidRDefault="00E84BD8" w:rsidP="00330FB2">
      <w:pPr>
        <w:pStyle w:val="BodyText"/>
        <w:spacing w:before="20"/>
        <w:ind w:firstLine="720"/>
      </w:pPr>
      <w:r>
        <w:t xml:space="preserve">To iterate again, it should be noted that all the results and data of my research are only part of the municipal operations inventories. The main problem to </w:t>
      </w:r>
      <w:proofErr w:type="spellStart"/>
      <w:r>
        <w:t>analyse</w:t>
      </w:r>
      <w:proofErr w:type="spellEnd"/>
      <w:r>
        <w:t xml:space="preserve"> in this research paper is to validate the results of GHG reduction efforts of municipal operations present in the 4 versions of the CAP and in the City of Boston GHG Emissions Inventory Report (2005-2017). A significant claim is that emissions from LGO’s in 2017 were 41 per cent less than they were in 2005, hence exceeding Boston’s goal to reduce municipal GHG emissions by 25% from 2005 to 2020.</w:t>
      </w:r>
      <w:r>
        <w:rPr>
          <w:rStyle w:val="FootnoteReference"/>
        </w:rPr>
        <w:footnoteReference w:id="9"/>
      </w:r>
      <w:r>
        <w:t xml:space="preserve"> In fact, in the 2011 CAP, it was highlighted that because GHG emissions are approximately proportional to energy use, successful completion of the Energy Reduction Plan meant that the goal of 25% GHG reductions for municipal operations will be met by 2015 or 2016.</w:t>
      </w:r>
      <w:r>
        <w:rPr>
          <w:rStyle w:val="FootnoteReference"/>
        </w:rPr>
        <w:footnoteReference w:id="10"/>
      </w:r>
      <w:r>
        <w:t xml:space="preserve"> The Energy Reduction Plan specified a 40-percent reduction in the energy use of street lights from 2011 to 2016 and laid out additional measures to reduce energy use for municipal transportation to 20% between 2010 and 2015, a claim that shall be investigated in my analysis.</w:t>
      </w:r>
      <w:r>
        <w:rPr>
          <w:rStyle w:val="FootnoteReference"/>
        </w:rPr>
        <w:footnoteReference w:id="11"/>
      </w:r>
      <w:r>
        <w:t xml:space="preserve"> Even better news came out when the 2014 CAP reported that LGO emissions had been reduced by almost 25 percent since 2005, saving Boston an additional year.</w:t>
      </w:r>
      <w:r>
        <w:rPr>
          <w:rStyle w:val="FootnoteReference"/>
        </w:rPr>
        <w:footnoteReference w:id="12"/>
      </w:r>
    </w:p>
    <w:p w:rsidR="00E84BD8" w:rsidRDefault="00E84BD8" w:rsidP="00330FB2">
      <w:pPr>
        <w:pStyle w:val="BodyText"/>
        <w:spacing w:before="20"/>
        <w:ind w:firstLine="720"/>
      </w:pPr>
      <w:r>
        <w:t>Boston’s LGO emissions are mainly comprised by building energy consumption.</w:t>
      </w:r>
      <w:r>
        <w:rPr>
          <w:rStyle w:val="FootnoteReference"/>
        </w:rPr>
        <w:footnoteReference w:id="13"/>
      </w:r>
      <w:r>
        <w:t xml:space="preserve"> Electricity and natural gas consumption, by these buildings, each comprise of about a third of total GHG emissions.</w:t>
      </w:r>
      <w:r>
        <w:rPr>
          <w:rStyle w:val="FootnoteReference"/>
        </w:rPr>
        <w:footnoteReference w:id="14"/>
      </w:r>
      <w:r>
        <w:t xml:space="preserve"> Fuels used for transportation, including diesel and gasoline together, make up a fourth of total municipal GHG emissions. </w:t>
      </w:r>
      <w:r>
        <w:rPr>
          <w:rStyle w:val="FootnoteReference"/>
        </w:rPr>
        <w:footnoteReference w:id="15"/>
      </w:r>
    </w:p>
    <w:p w:rsidR="00E84BD8" w:rsidRDefault="00E84BD8" w:rsidP="00330FB2">
      <w:pPr>
        <w:pStyle w:val="BodyText"/>
        <w:spacing w:before="20"/>
        <w:ind w:firstLine="720"/>
      </w:pPr>
      <w:r>
        <w:t xml:space="preserve">As the department with the largest building </w:t>
      </w:r>
      <w:proofErr w:type="spellStart"/>
      <w:r>
        <w:t>inevtory</w:t>
      </w:r>
      <w:proofErr w:type="spellEnd"/>
      <w:r>
        <w:t>, and the second largest vehicle inventory (after Boston Police Department), Boston Public Schools (BPS) are the largest source of municipal emissions.</w:t>
      </w:r>
      <w:r>
        <w:rPr>
          <w:rStyle w:val="FootnoteReference"/>
        </w:rPr>
        <w:footnoteReference w:id="16"/>
      </w:r>
      <w:r>
        <w:t xml:space="preserve"> BPS owns and operates approximately 12 million of the City’s 16 </w:t>
      </w:r>
      <w:r>
        <w:lastRenderedPageBreak/>
        <w:t>million square feet of building space with these buildings comprising of approximately a third of municipal electricity consumption and two thirds of municipal natural gas consumption.</w:t>
      </w:r>
      <w:r>
        <w:rPr>
          <w:rStyle w:val="FootnoteReference"/>
        </w:rPr>
        <w:footnoteReference w:id="17"/>
      </w:r>
      <w:r>
        <w:t xml:space="preserve"> BPS Department of Transportation (DOT) fleet of over 700 vehicles uses diesel consumption, which is continuing to decrease as BPS switched its fleets from diesel to propane-powered school buses.</w:t>
      </w:r>
      <w:r>
        <w:rPr>
          <w:rStyle w:val="FootnoteReference"/>
        </w:rPr>
        <w:footnoteReference w:id="18"/>
      </w:r>
      <w:r>
        <w:t xml:space="preserve"> </w:t>
      </w:r>
    </w:p>
    <w:p w:rsidR="00E84BD8" w:rsidRDefault="00E84BD8" w:rsidP="00330FB2">
      <w:pPr>
        <w:pStyle w:val="BodyText"/>
        <w:spacing w:before="20"/>
        <w:ind w:firstLine="720"/>
      </w:pPr>
      <w:r>
        <w:t>Public Works Department’s street lights is another large contributor of GHG emissions in terms of street lights use. Boston’s 66,000 electric street lights and 2,800 natural gas street lights account for 9% of total municipal GHG emissions.</w:t>
      </w:r>
      <w:r>
        <w:rPr>
          <w:rStyle w:val="FootnoteReference"/>
        </w:rPr>
        <w:footnoteReference w:id="19"/>
      </w:r>
      <w:r>
        <w:t xml:space="preserve"> Earlier, street lighting constituted largely to the City’s GHG emissions portfolio; however, ardent conversion of these electric street lights to LEDs, dating back to 2010, have cut emissions from street lights in half.</w:t>
      </w:r>
      <w:r>
        <w:rPr>
          <w:rStyle w:val="FootnoteReference"/>
        </w:rPr>
        <w:footnoteReference w:id="20"/>
      </w:r>
    </w:p>
    <w:p w:rsidR="00E84BD8" w:rsidRDefault="00E84BD8" w:rsidP="00330FB2">
      <w:pPr>
        <w:pStyle w:val="BodyText"/>
        <w:spacing w:before="20"/>
        <w:ind w:firstLine="720"/>
      </w:pPr>
      <w:r>
        <w:t>Boston is a coastal city and, therefore, is vulnerable to sea level rise as well as other effects of climate change, such as extreme temperatures (both hot and cold) and precipitation.</w:t>
      </w:r>
      <w:r>
        <w:rPr>
          <w:rStyle w:val="FootnoteReference"/>
        </w:rPr>
        <w:footnoteReference w:id="21"/>
      </w:r>
      <w:r>
        <w:t xml:space="preserve"> These climate changes disproportionately affect communities of color, women, youth, disabled people, elderly people, and people with limited English proficiency.</w:t>
      </w:r>
      <w:r>
        <w:rPr>
          <w:rStyle w:val="FootnoteReference"/>
        </w:rPr>
        <w:footnoteReference w:id="22"/>
      </w:r>
      <w:r>
        <w:t xml:space="preserve"> According to the 2011 CAP, after accounting for initial costs, residents, businesses, and institutions will have total net savings of $2 billion in energy costs by 2020 by reducing GHG emissions.</w:t>
      </w:r>
      <w:r>
        <w:rPr>
          <w:rStyle w:val="FootnoteReference"/>
        </w:rPr>
        <w:footnoteReference w:id="23"/>
      </w:r>
      <w:r>
        <w:t xml:space="preserve"> Additionally, the City benefits from improved public health and reduced health care costs from reductions in air pollution and traffic congestion.</w:t>
      </w:r>
      <w:r>
        <w:rPr>
          <w:rStyle w:val="FootnoteReference"/>
        </w:rPr>
        <w:footnoteReference w:id="24"/>
      </w:r>
      <w:r>
        <w:t xml:space="preserve"> In the following Main Sections portion of the paper, under the EDA and Methods section, I shall evaluate and present my findings of these municipal operations GHG reduction results.</w:t>
      </w:r>
    </w:p>
    <w:p w:rsidR="00E84BD8" w:rsidRDefault="00E84BD8" w:rsidP="00330FB2">
      <w:pPr>
        <w:pStyle w:val="BodyText"/>
        <w:spacing w:before="20"/>
        <w:ind w:firstLine="720"/>
      </w:pPr>
    </w:p>
    <w:p w:rsidR="00E84BD8" w:rsidRPr="002F6ED6" w:rsidRDefault="00E84BD8" w:rsidP="002F6ED6">
      <w:pPr>
        <w:pStyle w:val="Heading1"/>
        <w:spacing w:before="20"/>
        <w:ind w:left="0"/>
        <w:rPr>
          <w:color w:val="4F81BD" w:themeColor="accent1"/>
        </w:rPr>
      </w:pPr>
      <w:r w:rsidRPr="00A02882">
        <w:rPr>
          <w:color w:val="4F81BD" w:themeColor="accent1"/>
        </w:rPr>
        <w:t>Data</w:t>
      </w:r>
    </w:p>
    <w:p w:rsidR="00E84BD8" w:rsidRDefault="00E84BD8" w:rsidP="00330FB2">
      <w:pPr>
        <w:pStyle w:val="BodyText"/>
        <w:spacing w:before="20"/>
        <w:ind w:firstLine="720"/>
      </w:pPr>
      <w:r>
        <w:t>The dataset was obtained from the data.boston.gov website. The dataset contains the total GHG emissions by municipal department, facility (asset use), fuel type, and fiscal year for all LGOs. Originally, the dataset had 7 variables, 5 of which were used for analysis. The 2 variables not of use were “Department”, which was the acronym for department responsible for energy use, and “Protocol”, indicating the protocol used for data reporting. The renamed variables of interest include: “Department” (full name of the department), “Facility” (GHG producing asset), “Fuel Type” (Type of energy producing GHGs), “Year” (Fiscal period of energy consumed from 2005- 2018), and “Emission” (Numeric quantity of GHGs produced in tons of carbon dioxide equivalents, tCO2e). The original data had 1014 observations with all 159 NA’s being removed during data cleaning. Initially after reading in the data, the “Emission” column was read in as a factor; hence, its datatype was changed to</w:t>
      </w:r>
      <w:r>
        <w:rPr>
          <w:spacing w:val="-2"/>
        </w:rPr>
        <w:t xml:space="preserve"> </w:t>
      </w:r>
      <w:r>
        <w:t xml:space="preserve">numeric. </w:t>
      </w:r>
    </w:p>
    <w:p w:rsidR="00E84BD8" w:rsidRDefault="00E84BD8" w:rsidP="00330FB2">
      <w:pPr>
        <w:pStyle w:val="BodyText"/>
        <w:spacing w:before="20"/>
        <w:ind w:firstLine="720"/>
      </w:pPr>
      <w:r>
        <w:t>Boston’s GHG inventory includes carbon</w:t>
      </w:r>
      <w:r>
        <w:rPr>
          <w:spacing w:val="-23"/>
        </w:rPr>
        <w:t xml:space="preserve"> </w:t>
      </w:r>
      <w:r>
        <w:t>dioxide (CO2), methane (CH4), and nitrous oxide (N2O). The formula used to determine the CO2e from a given energy use is</w:t>
      </w:r>
      <w:r w:rsidR="00ED6963">
        <w:t>:</w:t>
      </w:r>
    </w:p>
    <w:p w:rsidR="00E84BD8" w:rsidRDefault="00E84BD8" w:rsidP="00330FB2">
      <w:pPr>
        <w:pStyle w:val="BodyText"/>
        <w:spacing w:before="20"/>
        <w:ind w:firstLine="720"/>
        <w:sectPr w:rsidR="00E84BD8" w:rsidSect="00E84BD8">
          <w:headerReference w:type="even" r:id="rId8"/>
          <w:headerReference w:type="default" r:id="rId9"/>
          <w:footerReference w:type="even" r:id="rId10"/>
          <w:type w:val="continuous"/>
          <w:pgSz w:w="12240" w:h="15840"/>
          <w:pgMar w:top="1440" w:right="1440" w:bottom="1440" w:left="1440" w:header="720" w:footer="720" w:gutter="0"/>
          <w:cols w:space="720"/>
        </w:sectPr>
      </w:pPr>
      <w:r>
        <w:t>Activity Data * Emissions Factor = GHG Emissions from the Activity</w:t>
      </w:r>
      <w:r w:rsidR="000F7EC2">
        <w:rPr>
          <w:rStyle w:val="FootnoteReference"/>
        </w:rPr>
        <w:footnoteReference w:id="25"/>
      </w:r>
    </w:p>
    <w:p w:rsidR="004C705E" w:rsidRDefault="004C705E" w:rsidP="00CF25B5">
      <w:pPr>
        <w:pStyle w:val="BodyText"/>
        <w:ind w:right="1094"/>
        <w:sectPr w:rsidR="004C705E" w:rsidSect="00E84BD8">
          <w:footerReference w:type="default" r:id="rId11"/>
          <w:type w:val="continuous"/>
          <w:pgSz w:w="12240" w:h="15840"/>
          <w:pgMar w:top="1440" w:right="1440" w:bottom="1440" w:left="1440" w:header="720" w:footer="720" w:gutter="0"/>
          <w:pgNumType w:start="1"/>
          <w:cols w:space="720"/>
        </w:sectPr>
      </w:pPr>
    </w:p>
    <w:p w:rsidR="0063508B" w:rsidRDefault="0063508B" w:rsidP="0063508B">
      <w:pPr>
        <w:pStyle w:val="BodyText"/>
        <w:spacing w:before="181"/>
        <w:ind w:right="1095"/>
        <w:sectPr w:rsidR="0063508B" w:rsidSect="00E84BD8">
          <w:type w:val="continuous"/>
          <w:pgSz w:w="12240" w:h="15840"/>
          <w:pgMar w:top="1440" w:right="1440" w:bottom="1440" w:left="1440" w:header="720" w:footer="720" w:gutter="0"/>
          <w:cols w:space="720"/>
        </w:sectPr>
      </w:pPr>
    </w:p>
    <w:p w:rsidR="00B97222" w:rsidRDefault="007A51E0" w:rsidP="00E84BD8">
      <w:pPr>
        <w:pStyle w:val="Heading1"/>
        <w:spacing w:before="202"/>
        <w:ind w:left="0"/>
      </w:pPr>
      <w:r>
        <w:rPr>
          <w:color w:val="4F81BC"/>
        </w:rPr>
        <w:lastRenderedPageBreak/>
        <w:t>Exploratory Data Analysis</w:t>
      </w:r>
    </w:p>
    <w:p w:rsidR="00B97222" w:rsidRDefault="007A51E0">
      <w:pPr>
        <w:pStyle w:val="BodyText"/>
        <w:spacing w:before="179"/>
        <w:ind w:left="1429" w:right="1349"/>
        <w:jc w:val="center"/>
      </w:pPr>
      <w:r>
        <w:rPr>
          <w:u w:val="single"/>
        </w:rPr>
        <w:t xml:space="preserve">Table 1: Summary Statistics of </w:t>
      </w:r>
      <w:r w:rsidR="00E84BD8">
        <w:rPr>
          <w:u w:val="single"/>
        </w:rPr>
        <w:t xml:space="preserve">tCO2e </w:t>
      </w:r>
      <w:r>
        <w:rPr>
          <w:u w:val="single"/>
        </w:rPr>
        <w:t>Emission</w:t>
      </w:r>
    </w:p>
    <w:p w:rsidR="00B97222" w:rsidRDefault="00B97222">
      <w:pPr>
        <w:pStyle w:val="BodyText"/>
        <w:spacing w:before="8" w:after="1"/>
        <w:rPr>
          <w:sz w:val="15"/>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633"/>
        <w:gridCol w:w="1635"/>
        <w:gridCol w:w="1633"/>
        <w:gridCol w:w="1633"/>
        <w:gridCol w:w="1431"/>
      </w:tblGrid>
      <w:tr w:rsidR="00B97222" w:rsidTr="00E84BD8">
        <w:trPr>
          <w:trHeight w:val="294"/>
        </w:trPr>
        <w:tc>
          <w:tcPr>
            <w:tcW w:w="1246" w:type="dxa"/>
          </w:tcPr>
          <w:p w:rsidR="00B97222" w:rsidRDefault="007A51E0">
            <w:pPr>
              <w:pStyle w:val="TableParagraph"/>
              <w:ind w:left="368" w:right="367"/>
              <w:rPr>
                <w:sz w:val="24"/>
              </w:rPr>
            </w:pPr>
            <w:r>
              <w:rPr>
                <w:sz w:val="24"/>
              </w:rPr>
              <w:t>Min.</w:t>
            </w:r>
          </w:p>
        </w:tc>
        <w:tc>
          <w:tcPr>
            <w:tcW w:w="1633" w:type="dxa"/>
          </w:tcPr>
          <w:p w:rsidR="00B97222" w:rsidRDefault="007A51E0">
            <w:pPr>
              <w:pStyle w:val="TableParagraph"/>
              <w:ind w:left="425" w:right="421"/>
              <w:rPr>
                <w:sz w:val="24"/>
              </w:rPr>
            </w:pPr>
            <w:r>
              <w:rPr>
                <w:sz w:val="24"/>
              </w:rPr>
              <w:t>1st Qu.</w:t>
            </w:r>
          </w:p>
        </w:tc>
        <w:tc>
          <w:tcPr>
            <w:tcW w:w="1635" w:type="dxa"/>
          </w:tcPr>
          <w:p w:rsidR="00B97222" w:rsidRDefault="007A51E0">
            <w:pPr>
              <w:pStyle w:val="TableParagraph"/>
              <w:ind w:left="426" w:right="424"/>
              <w:rPr>
                <w:sz w:val="24"/>
              </w:rPr>
            </w:pPr>
            <w:r>
              <w:rPr>
                <w:sz w:val="24"/>
              </w:rPr>
              <w:t>Median</w:t>
            </w:r>
          </w:p>
        </w:tc>
        <w:tc>
          <w:tcPr>
            <w:tcW w:w="1633" w:type="dxa"/>
          </w:tcPr>
          <w:p w:rsidR="00B97222" w:rsidRDefault="007A51E0">
            <w:pPr>
              <w:pStyle w:val="TableParagraph"/>
              <w:ind w:left="425" w:right="422"/>
              <w:rPr>
                <w:sz w:val="24"/>
              </w:rPr>
            </w:pPr>
            <w:r>
              <w:rPr>
                <w:sz w:val="24"/>
              </w:rPr>
              <w:t>Mean</w:t>
            </w:r>
          </w:p>
        </w:tc>
        <w:tc>
          <w:tcPr>
            <w:tcW w:w="1633" w:type="dxa"/>
          </w:tcPr>
          <w:p w:rsidR="00B97222" w:rsidRDefault="007A51E0">
            <w:pPr>
              <w:pStyle w:val="TableParagraph"/>
              <w:ind w:left="425" w:right="423"/>
              <w:rPr>
                <w:sz w:val="24"/>
              </w:rPr>
            </w:pPr>
            <w:r>
              <w:rPr>
                <w:sz w:val="24"/>
              </w:rPr>
              <w:t>3rd Qu.</w:t>
            </w:r>
          </w:p>
        </w:tc>
        <w:tc>
          <w:tcPr>
            <w:tcW w:w="1431" w:type="dxa"/>
          </w:tcPr>
          <w:p w:rsidR="00B97222" w:rsidRDefault="007A51E0">
            <w:pPr>
              <w:pStyle w:val="TableParagraph"/>
              <w:ind w:left="421" w:right="417"/>
              <w:rPr>
                <w:sz w:val="24"/>
              </w:rPr>
            </w:pPr>
            <w:r>
              <w:rPr>
                <w:sz w:val="24"/>
              </w:rPr>
              <w:t>Max.</w:t>
            </w:r>
          </w:p>
        </w:tc>
      </w:tr>
      <w:tr w:rsidR="00B97222" w:rsidTr="00E84BD8">
        <w:trPr>
          <w:trHeight w:val="275"/>
        </w:trPr>
        <w:tc>
          <w:tcPr>
            <w:tcW w:w="1246" w:type="dxa"/>
          </w:tcPr>
          <w:p w:rsidR="00B97222" w:rsidRDefault="007A51E0">
            <w:pPr>
              <w:pStyle w:val="TableParagraph"/>
              <w:spacing w:line="256" w:lineRule="exact"/>
              <w:ind w:left="368" w:right="364"/>
              <w:rPr>
                <w:sz w:val="24"/>
              </w:rPr>
            </w:pPr>
            <w:r>
              <w:rPr>
                <w:sz w:val="24"/>
              </w:rPr>
              <w:t>1.0</w:t>
            </w:r>
          </w:p>
        </w:tc>
        <w:tc>
          <w:tcPr>
            <w:tcW w:w="1633" w:type="dxa"/>
          </w:tcPr>
          <w:p w:rsidR="00B97222" w:rsidRDefault="007A51E0">
            <w:pPr>
              <w:pStyle w:val="TableParagraph"/>
              <w:spacing w:line="256" w:lineRule="exact"/>
              <w:ind w:left="425" w:right="420"/>
              <w:rPr>
                <w:sz w:val="24"/>
              </w:rPr>
            </w:pPr>
            <w:r>
              <w:rPr>
                <w:sz w:val="24"/>
              </w:rPr>
              <w:t>183.5</w:t>
            </w:r>
          </w:p>
        </w:tc>
        <w:tc>
          <w:tcPr>
            <w:tcW w:w="1635" w:type="dxa"/>
          </w:tcPr>
          <w:p w:rsidR="00B97222" w:rsidRDefault="007A51E0">
            <w:pPr>
              <w:pStyle w:val="TableParagraph"/>
              <w:spacing w:line="256" w:lineRule="exact"/>
              <w:ind w:left="426" w:right="424"/>
              <w:rPr>
                <w:sz w:val="24"/>
              </w:rPr>
            </w:pPr>
            <w:r>
              <w:rPr>
                <w:sz w:val="24"/>
              </w:rPr>
              <w:t>344.0</w:t>
            </w:r>
          </w:p>
        </w:tc>
        <w:tc>
          <w:tcPr>
            <w:tcW w:w="1633" w:type="dxa"/>
          </w:tcPr>
          <w:p w:rsidR="00B97222" w:rsidRDefault="007A51E0">
            <w:pPr>
              <w:pStyle w:val="TableParagraph"/>
              <w:spacing w:line="256" w:lineRule="exact"/>
              <w:ind w:left="425" w:right="421"/>
              <w:rPr>
                <w:sz w:val="24"/>
              </w:rPr>
            </w:pPr>
            <w:r>
              <w:rPr>
                <w:sz w:val="24"/>
              </w:rPr>
              <w:t>347.9</w:t>
            </w:r>
          </w:p>
        </w:tc>
        <w:tc>
          <w:tcPr>
            <w:tcW w:w="1633" w:type="dxa"/>
          </w:tcPr>
          <w:p w:rsidR="00B97222" w:rsidRDefault="007A51E0">
            <w:pPr>
              <w:pStyle w:val="TableParagraph"/>
              <w:spacing w:line="256" w:lineRule="exact"/>
              <w:ind w:left="425" w:right="423"/>
              <w:rPr>
                <w:sz w:val="24"/>
              </w:rPr>
            </w:pPr>
            <w:r>
              <w:rPr>
                <w:sz w:val="24"/>
              </w:rPr>
              <w:t>512.5</w:t>
            </w:r>
          </w:p>
        </w:tc>
        <w:tc>
          <w:tcPr>
            <w:tcW w:w="1431" w:type="dxa"/>
          </w:tcPr>
          <w:p w:rsidR="00B97222" w:rsidRDefault="007A51E0">
            <w:pPr>
              <w:pStyle w:val="TableParagraph"/>
              <w:spacing w:line="256" w:lineRule="exact"/>
              <w:ind w:left="421" w:right="420"/>
              <w:rPr>
                <w:sz w:val="24"/>
              </w:rPr>
            </w:pPr>
            <w:r>
              <w:rPr>
                <w:sz w:val="24"/>
              </w:rPr>
              <w:t>696.0</w:t>
            </w:r>
          </w:p>
        </w:tc>
      </w:tr>
    </w:tbl>
    <w:p w:rsidR="00B97222" w:rsidRDefault="007A51E0">
      <w:pPr>
        <w:pStyle w:val="BodyText"/>
        <w:spacing w:before="179"/>
        <w:ind w:left="1425" w:right="1349"/>
        <w:jc w:val="center"/>
      </w:pPr>
      <w:r>
        <w:rPr>
          <w:u w:val="single"/>
        </w:rPr>
        <w:t xml:space="preserve">Table 2: Summary Statistics of </w:t>
      </w:r>
      <w:r w:rsidR="00E84BD8">
        <w:rPr>
          <w:u w:val="single"/>
        </w:rPr>
        <w:t xml:space="preserve">tCO2e </w:t>
      </w:r>
      <w:r>
        <w:rPr>
          <w:u w:val="single"/>
        </w:rPr>
        <w:t>Emission by Fuel Type</w:t>
      </w:r>
    </w:p>
    <w:p w:rsidR="00B97222" w:rsidRDefault="00B97222">
      <w:pPr>
        <w:pStyle w:val="BodyText"/>
        <w:spacing w:before="9"/>
        <w:rPr>
          <w:sz w:val="15"/>
        </w:rPr>
      </w:pPr>
    </w:p>
    <w:tbl>
      <w:tblPr>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4"/>
        <w:gridCol w:w="1645"/>
        <w:gridCol w:w="1964"/>
        <w:gridCol w:w="1728"/>
        <w:gridCol w:w="1297"/>
        <w:gridCol w:w="1524"/>
      </w:tblGrid>
      <w:tr w:rsidR="00B97222" w:rsidTr="00E84BD8">
        <w:trPr>
          <w:trHeight w:val="314"/>
        </w:trPr>
        <w:tc>
          <w:tcPr>
            <w:tcW w:w="1524" w:type="dxa"/>
          </w:tcPr>
          <w:p w:rsidR="00B97222" w:rsidRDefault="007A51E0">
            <w:pPr>
              <w:pStyle w:val="TableParagraph"/>
              <w:spacing w:before="1" w:line="240" w:lineRule="auto"/>
              <w:ind w:left="162" w:right="157"/>
              <w:rPr>
                <w:sz w:val="24"/>
              </w:rPr>
            </w:pPr>
            <w:r>
              <w:rPr>
                <w:sz w:val="24"/>
              </w:rPr>
              <w:t>Fuel Type</w:t>
            </w:r>
          </w:p>
        </w:tc>
        <w:tc>
          <w:tcPr>
            <w:tcW w:w="1645" w:type="dxa"/>
          </w:tcPr>
          <w:p w:rsidR="00B97222" w:rsidRDefault="007A51E0">
            <w:pPr>
              <w:pStyle w:val="TableParagraph"/>
              <w:spacing w:before="1" w:line="240" w:lineRule="auto"/>
              <w:ind w:left="165" w:right="162"/>
              <w:rPr>
                <w:sz w:val="24"/>
              </w:rPr>
            </w:pPr>
            <w:r>
              <w:rPr>
                <w:sz w:val="24"/>
              </w:rPr>
              <w:t>Observations</w:t>
            </w:r>
          </w:p>
        </w:tc>
        <w:tc>
          <w:tcPr>
            <w:tcW w:w="1964" w:type="dxa"/>
          </w:tcPr>
          <w:p w:rsidR="00B97222" w:rsidRDefault="007A51E0">
            <w:pPr>
              <w:pStyle w:val="TableParagraph"/>
              <w:spacing w:before="1" w:line="240" w:lineRule="auto"/>
              <w:ind w:left="569" w:right="564"/>
              <w:rPr>
                <w:sz w:val="24"/>
              </w:rPr>
            </w:pPr>
            <w:r>
              <w:rPr>
                <w:sz w:val="24"/>
              </w:rPr>
              <w:t>Mean</w:t>
            </w:r>
          </w:p>
        </w:tc>
        <w:tc>
          <w:tcPr>
            <w:tcW w:w="1728" w:type="dxa"/>
          </w:tcPr>
          <w:p w:rsidR="00B97222" w:rsidRDefault="007A51E0">
            <w:pPr>
              <w:pStyle w:val="TableParagraph"/>
              <w:spacing w:before="1" w:line="240" w:lineRule="auto"/>
              <w:ind w:left="177" w:right="173"/>
              <w:rPr>
                <w:sz w:val="24"/>
              </w:rPr>
            </w:pPr>
            <w:proofErr w:type="spellStart"/>
            <w:r>
              <w:rPr>
                <w:sz w:val="24"/>
              </w:rPr>
              <w:t>Std</w:t>
            </w:r>
            <w:proofErr w:type="spellEnd"/>
            <w:r>
              <w:rPr>
                <w:sz w:val="24"/>
              </w:rPr>
              <w:t xml:space="preserve"> Deviation</w:t>
            </w:r>
          </w:p>
        </w:tc>
        <w:tc>
          <w:tcPr>
            <w:tcW w:w="1297" w:type="dxa"/>
          </w:tcPr>
          <w:p w:rsidR="00B97222" w:rsidRDefault="007A51E0">
            <w:pPr>
              <w:pStyle w:val="TableParagraph"/>
              <w:spacing w:before="1" w:line="240" w:lineRule="auto"/>
              <w:ind w:left="144" w:right="141"/>
              <w:rPr>
                <w:sz w:val="24"/>
              </w:rPr>
            </w:pPr>
            <w:r>
              <w:rPr>
                <w:sz w:val="24"/>
              </w:rPr>
              <w:t>Minimum</w:t>
            </w:r>
          </w:p>
        </w:tc>
        <w:tc>
          <w:tcPr>
            <w:tcW w:w="1524" w:type="dxa"/>
          </w:tcPr>
          <w:p w:rsidR="00B97222" w:rsidRDefault="007A51E0">
            <w:pPr>
              <w:pStyle w:val="TableParagraph"/>
              <w:spacing w:before="1" w:line="240" w:lineRule="auto"/>
              <w:ind w:left="162" w:right="156"/>
              <w:rPr>
                <w:sz w:val="24"/>
              </w:rPr>
            </w:pPr>
            <w:r>
              <w:rPr>
                <w:sz w:val="24"/>
              </w:rPr>
              <w:t>Maximum</w:t>
            </w:r>
          </w:p>
        </w:tc>
      </w:tr>
      <w:tr w:rsidR="00B97222" w:rsidTr="00E84BD8">
        <w:trPr>
          <w:trHeight w:val="402"/>
        </w:trPr>
        <w:tc>
          <w:tcPr>
            <w:tcW w:w="1524" w:type="dxa"/>
          </w:tcPr>
          <w:p w:rsidR="00B97222" w:rsidRDefault="007A51E0">
            <w:pPr>
              <w:pStyle w:val="TableParagraph"/>
              <w:spacing w:before="37" w:line="240" w:lineRule="auto"/>
              <w:ind w:left="162" w:right="156"/>
              <w:rPr>
                <w:sz w:val="24"/>
              </w:rPr>
            </w:pPr>
            <w:r>
              <w:rPr>
                <w:sz w:val="24"/>
              </w:rPr>
              <w:t>Biodiesel</w:t>
            </w:r>
          </w:p>
        </w:tc>
        <w:tc>
          <w:tcPr>
            <w:tcW w:w="1645" w:type="dxa"/>
          </w:tcPr>
          <w:p w:rsidR="00B97222" w:rsidRDefault="007A51E0">
            <w:pPr>
              <w:pStyle w:val="TableParagraph"/>
              <w:spacing w:before="37" w:line="240" w:lineRule="auto"/>
              <w:ind w:left="6"/>
              <w:rPr>
                <w:sz w:val="24"/>
              </w:rPr>
            </w:pPr>
            <w:r>
              <w:rPr>
                <w:sz w:val="24"/>
              </w:rPr>
              <w:t>3</w:t>
            </w:r>
          </w:p>
        </w:tc>
        <w:tc>
          <w:tcPr>
            <w:tcW w:w="1964" w:type="dxa"/>
          </w:tcPr>
          <w:p w:rsidR="00B97222" w:rsidRDefault="007A51E0">
            <w:pPr>
              <w:pStyle w:val="TableParagraph"/>
              <w:spacing w:before="37" w:line="240" w:lineRule="auto"/>
              <w:ind w:left="569" w:right="564"/>
              <w:rPr>
                <w:sz w:val="24"/>
              </w:rPr>
            </w:pPr>
            <w:r>
              <w:rPr>
                <w:sz w:val="24"/>
              </w:rPr>
              <w:t>379.667</w:t>
            </w:r>
          </w:p>
        </w:tc>
        <w:tc>
          <w:tcPr>
            <w:tcW w:w="1728" w:type="dxa"/>
          </w:tcPr>
          <w:p w:rsidR="00B97222" w:rsidRDefault="007A51E0">
            <w:pPr>
              <w:pStyle w:val="TableParagraph"/>
              <w:spacing w:before="37" w:line="240" w:lineRule="auto"/>
              <w:ind w:left="177" w:right="172"/>
              <w:rPr>
                <w:sz w:val="24"/>
              </w:rPr>
            </w:pPr>
            <w:r>
              <w:rPr>
                <w:sz w:val="24"/>
              </w:rPr>
              <w:t>224.014</w:t>
            </w:r>
          </w:p>
        </w:tc>
        <w:tc>
          <w:tcPr>
            <w:tcW w:w="1297" w:type="dxa"/>
          </w:tcPr>
          <w:p w:rsidR="00B97222" w:rsidRDefault="007A51E0">
            <w:pPr>
              <w:pStyle w:val="TableParagraph"/>
              <w:spacing w:before="37" w:line="240" w:lineRule="auto"/>
              <w:ind w:left="143" w:right="141"/>
              <w:rPr>
                <w:sz w:val="24"/>
              </w:rPr>
            </w:pPr>
            <w:r>
              <w:rPr>
                <w:sz w:val="24"/>
              </w:rPr>
              <w:t>121</w:t>
            </w:r>
          </w:p>
        </w:tc>
        <w:tc>
          <w:tcPr>
            <w:tcW w:w="1524" w:type="dxa"/>
          </w:tcPr>
          <w:p w:rsidR="00B97222" w:rsidRDefault="007A51E0">
            <w:pPr>
              <w:pStyle w:val="TableParagraph"/>
              <w:spacing w:before="37" w:line="240" w:lineRule="auto"/>
              <w:ind w:left="162" w:right="158"/>
              <w:rPr>
                <w:sz w:val="24"/>
              </w:rPr>
            </w:pPr>
            <w:r>
              <w:rPr>
                <w:sz w:val="24"/>
              </w:rPr>
              <w:t>389</w:t>
            </w:r>
          </w:p>
        </w:tc>
      </w:tr>
      <w:tr w:rsidR="00B97222" w:rsidTr="00E84BD8">
        <w:trPr>
          <w:trHeight w:val="417"/>
        </w:trPr>
        <w:tc>
          <w:tcPr>
            <w:tcW w:w="1524" w:type="dxa"/>
          </w:tcPr>
          <w:p w:rsidR="00B97222" w:rsidRDefault="007A51E0">
            <w:pPr>
              <w:pStyle w:val="TableParagraph"/>
              <w:spacing w:before="35" w:line="240" w:lineRule="auto"/>
              <w:ind w:left="162" w:right="154"/>
              <w:rPr>
                <w:sz w:val="24"/>
              </w:rPr>
            </w:pPr>
            <w:r>
              <w:rPr>
                <w:sz w:val="24"/>
              </w:rPr>
              <w:t>Diesel</w:t>
            </w:r>
          </w:p>
        </w:tc>
        <w:tc>
          <w:tcPr>
            <w:tcW w:w="1645" w:type="dxa"/>
          </w:tcPr>
          <w:p w:rsidR="00B97222" w:rsidRDefault="007A51E0">
            <w:pPr>
              <w:pStyle w:val="TableParagraph"/>
              <w:spacing w:before="35" w:line="240" w:lineRule="auto"/>
              <w:ind w:left="165" w:right="159"/>
              <w:rPr>
                <w:sz w:val="24"/>
              </w:rPr>
            </w:pPr>
            <w:r>
              <w:rPr>
                <w:sz w:val="24"/>
              </w:rPr>
              <w:t>133</w:t>
            </w:r>
          </w:p>
        </w:tc>
        <w:tc>
          <w:tcPr>
            <w:tcW w:w="1964" w:type="dxa"/>
          </w:tcPr>
          <w:p w:rsidR="00B97222" w:rsidRDefault="007A51E0">
            <w:pPr>
              <w:pStyle w:val="TableParagraph"/>
              <w:spacing w:before="35" w:line="240" w:lineRule="auto"/>
              <w:ind w:left="569" w:right="564"/>
              <w:rPr>
                <w:sz w:val="24"/>
              </w:rPr>
            </w:pPr>
            <w:r>
              <w:rPr>
                <w:sz w:val="24"/>
              </w:rPr>
              <w:t>352.376</w:t>
            </w:r>
          </w:p>
        </w:tc>
        <w:tc>
          <w:tcPr>
            <w:tcW w:w="1728" w:type="dxa"/>
          </w:tcPr>
          <w:p w:rsidR="00B97222" w:rsidRDefault="007A51E0">
            <w:pPr>
              <w:pStyle w:val="TableParagraph"/>
              <w:spacing w:before="35" w:line="240" w:lineRule="auto"/>
              <w:ind w:left="177" w:right="172"/>
              <w:rPr>
                <w:sz w:val="24"/>
              </w:rPr>
            </w:pPr>
            <w:r>
              <w:rPr>
                <w:sz w:val="24"/>
              </w:rPr>
              <w:t>211.152</w:t>
            </w:r>
          </w:p>
        </w:tc>
        <w:tc>
          <w:tcPr>
            <w:tcW w:w="1297" w:type="dxa"/>
          </w:tcPr>
          <w:p w:rsidR="00B97222" w:rsidRDefault="007A51E0">
            <w:pPr>
              <w:pStyle w:val="TableParagraph"/>
              <w:spacing w:before="35" w:line="240" w:lineRule="auto"/>
              <w:ind w:left="2"/>
              <w:rPr>
                <w:sz w:val="24"/>
              </w:rPr>
            </w:pPr>
            <w:r>
              <w:rPr>
                <w:sz w:val="24"/>
              </w:rPr>
              <w:t>2</w:t>
            </w:r>
          </w:p>
        </w:tc>
        <w:tc>
          <w:tcPr>
            <w:tcW w:w="1524" w:type="dxa"/>
          </w:tcPr>
          <w:p w:rsidR="00B97222" w:rsidRDefault="007A51E0">
            <w:pPr>
              <w:pStyle w:val="TableParagraph"/>
              <w:spacing w:before="35" w:line="240" w:lineRule="auto"/>
              <w:ind w:left="162" w:right="158"/>
              <w:rPr>
                <w:sz w:val="24"/>
              </w:rPr>
            </w:pPr>
            <w:r>
              <w:rPr>
                <w:sz w:val="24"/>
              </w:rPr>
              <w:t>687</w:t>
            </w:r>
          </w:p>
        </w:tc>
      </w:tr>
      <w:tr w:rsidR="00B97222" w:rsidTr="00E84BD8">
        <w:trPr>
          <w:trHeight w:val="400"/>
        </w:trPr>
        <w:tc>
          <w:tcPr>
            <w:tcW w:w="1524" w:type="dxa"/>
          </w:tcPr>
          <w:p w:rsidR="00B97222" w:rsidRDefault="007A51E0">
            <w:pPr>
              <w:pStyle w:val="TableParagraph"/>
              <w:spacing w:before="35" w:line="240" w:lineRule="auto"/>
              <w:ind w:left="162" w:right="156"/>
              <w:rPr>
                <w:sz w:val="24"/>
              </w:rPr>
            </w:pPr>
            <w:r>
              <w:rPr>
                <w:sz w:val="24"/>
              </w:rPr>
              <w:t>Electricity</w:t>
            </w:r>
          </w:p>
        </w:tc>
        <w:tc>
          <w:tcPr>
            <w:tcW w:w="1645" w:type="dxa"/>
          </w:tcPr>
          <w:p w:rsidR="00B97222" w:rsidRDefault="007A51E0">
            <w:pPr>
              <w:pStyle w:val="TableParagraph"/>
              <w:spacing w:before="35" w:line="240" w:lineRule="auto"/>
              <w:ind w:left="165" w:right="159"/>
              <w:rPr>
                <w:sz w:val="24"/>
              </w:rPr>
            </w:pPr>
            <w:r>
              <w:rPr>
                <w:sz w:val="24"/>
              </w:rPr>
              <w:t>228</w:t>
            </w:r>
          </w:p>
        </w:tc>
        <w:tc>
          <w:tcPr>
            <w:tcW w:w="1964" w:type="dxa"/>
          </w:tcPr>
          <w:p w:rsidR="00B97222" w:rsidRDefault="007A51E0">
            <w:pPr>
              <w:pStyle w:val="TableParagraph"/>
              <w:spacing w:before="35" w:line="240" w:lineRule="auto"/>
              <w:ind w:left="569" w:right="564"/>
              <w:rPr>
                <w:sz w:val="24"/>
              </w:rPr>
            </w:pPr>
            <w:r>
              <w:rPr>
                <w:sz w:val="24"/>
              </w:rPr>
              <w:t>300.684</w:t>
            </w:r>
          </w:p>
        </w:tc>
        <w:tc>
          <w:tcPr>
            <w:tcW w:w="1728" w:type="dxa"/>
          </w:tcPr>
          <w:p w:rsidR="00B97222" w:rsidRDefault="007A51E0">
            <w:pPr>
              <w:pStyle w:val="TableParagraph"/>
              <w:spacing w:before="35" w:line="240" w:lineRule="auto"/>
              <w:ind w:left="177" w:right="172"/>
              <w:rPr>
                <w:sz w:val="24"/>
              </w:rPr>
            </w:pPr>
            <w:r>
              <w:rPr>
                <w:sz w:val="24"/>
              </w:rPr>
              <w:t>194.586</w:t>
            </w:r>
          </w:p>
        </w:tc>
        <w:tc>
          <w:tcPr>
            <w:tcW w:w="1297" w:type="dxa"/>
          </w:tcPr>
          <w:p w:rsidR="00B97222" w:rsidRDefault="007A51E0">
            <w:pPr>
              <w:pStyle w:val="TableParagraph"/>
              <w:spacing w:before="35" w:line="240" w:lineRule="auto"/>
              <w:ind w:left="143" w:right="141"/>
              <w:rPr>
                <w:sz w:val="24"/>
              </w:rPr>
            </w:pPr>
            <w:r>
              <w:rPr>
                <w:sz w:val="24"/>
              </w:rPr>
              <w:t>16</w:t>
            </w:r>
          </w:p>
        </w:tc>
        <w:tc>
          <w:tcPr>
            <w:tcW w:w="1524" w:type="dxa"/>
          </w:tcPr>
          <w:p w:rsidR="00B97222" w:rsidRDefault="007A51E0">
            <w:pPr>
              <w:pStyle w:val="TableParagraph"/>
              <w:spacing w:before="35" w:line="240" w:lineRule="auto"/>
              <w:ind w:left="162" w:right="158"/>
              <w:rPr>
                <w:sz w:val="24"/>
              </w:rPr>
            </w:pPr>
            <w:r>
              <w:rPr>
                <w:sz w:val="24"/>
              </w:rPr>
              <w:t>676</w:t>
            </w:r>
          </w:p>
        </w:tc>
      </w:tr>
      <w:tr w:rsidR="00B97222" w:rsidTr="00E84BD8">
        <w:trPr>
          <w:trHeight w:val="417"/>
        </w:trPr>
        <w:tc>
          <w:tcPr>
            <w:tcW w:w="1524" w:type="dxa"/>
          </w:tcPr>
          <w:p w:rsidR="00B97222" w:rsidRDefault="007A51E0">
            <w:pPr>
              <w:pStyle w:val="TableParagraph"/>
              <w:spacing w:before="35" w:line="240" w:lineRule="auto"/>
              <w:ind w:left="162" w:right="156"/>
              <w:rPr>
                <w:sz w:val="24"/>
              </w:rPr>
            </w:pPr>
            <w:r>
              <w:rPr>
                <w:sz w:val="24"/>
              </w:rPr>
              <w:t>Fuel Oil</w:t>
            </w:r>
          </w:p>
        </w:tc>
        <w:tc>
          <w:tcPr>
            <w:tcW w:w="1645" w:type="dxa"/>
          </w:tcPr>
          <w:p w:rsidR="00B97222" w:rsidRDefault="007A51E0">
            <w:pPr>
              <w:pStyle w:val="TableParagraph"/>
              <w:spacing w:before="35" w:line="240" w:lineRule="auto"/>
              <w:ind w:left="165" w:right="159"/>
              <w:rPr>
                <w:sz w:val="24"/>
              </w:rPr>
            </w:pPr>
            <w:r>
              <w:rPr>
                <w:sz w:val="24"/>
              </w:rPr>
              <w:t>108</w:t>
            </w:r>
          </w:p>
        </w:tc>
        <w:tc>
          <w:tcPr>
            <w:tcW w:w="1964" w:type="dxa"/>
          </w:tcPr>
          <w:p w:rsidR="00B97222" w:rsidRDefault="007A51E0">
            <w:pPr>
              <w:pStyle w:val="TableParagraph"/>
              <w:spacing w:before="35" w:line="240" w:lineRule="auto"/>
              <w:ind w:left="569" w:right="564"/>
              <w:rPr>
                <w:sz w:val="24"/>
              </w:rPr>
            </w:pPr>
            <w:r>
              <w:rPr>
                <w:sz w:val="24"/>
              </w:rPr>
              <w:t>340.593</w:t>
            </w:r>
          </w:p>
        </w:tc>
        <w:tc>
          <w:tcPr>
            <w:tcW w:w="1728" w:type="dxa"/>
          </w:tcPr>
          <w:p w:rsidR="00B97222" w:rsidRDefault="007A51E0">
            <w:pPr>
              <w:pStyle w:val="TableParagraph"/>
              <w:spacing w:before="35" w:line="240" w:lineRule="auto"/>
              <w:ind w:left="177" w:right="172"/>
              <w:rPr>
                <w:sz w:val="24"/>
              </w:rPr>
            </w:pPr>
            <w:r>
              <w:rPr>
                <w:sz w:val="24"/>
              </w:rPr>
              <w:t>163.475</w:t>
            </w:r>
          </w:p>
        </w:tc>
        <w:tc>
          <w:tcPr>
            <w:tcW w:w="1297" w:type="dxa"/>
          </w:tcPr>
          <w:p w:rsidR="00B97222" w:rsidRDefault="007A51E0">
            <w:pPr>
              <w:pStyle w:val="TableParagraph"/>
              <w:spacing w:before="35" w:line="240" w:lineRule="auto"/>
              <w:ind w:left="2"/>
              <w:rPr>
                <w:sz w:val="24"/>
              </w:rPr>
            </w:pPr>
            <w:r>
              <w:rPr>
                <w:sz w:val="24"/>
              </w:rPr>
              <w:t>1</w:t>
            </w:r>
          </w:p>
        </w:tc>
        <w:tc>
          <w:tcPr>
            <w:tcW w:w="1524" w:type="dxa"/>
          </w:tcPr>
          <w:p w:rsidR="00B97222" w:rsidRDefault="007A51E0">
            <w:pPr>
              <w:pStyle w:val="TableParagraph"/>
              <w:spacing w:before="35" w:line="240" w:lineRule="auto"/>
              <w:ind w:left="162" w:right="158"/>
              <w:rPr>
                <w:sz w:val="24"/>
              </w:rPr>
            </w:pPr>
            <w:r>
              <w:rPr>
                <w:sz w:val="24"/>
              </w:rPr>
              <w:t>689</w:t>
            </w:r>
          </w:p>
        </w:tc>
      </w:tr>
      <w:tr w:rsidR="00B97222" w:rsidTr="00E84BD8">
        <w:trPr>
          <w:trHeight w:val="400"/>
        </w:trPr>
        <w:tc>
          <w:tcPr>
            <w:tcW w:w="1524" w:type="dxa"/>
          </w:tcPr>
          <w:p w:rsidR="00B97222" w:rsidRDefault="007A51E0">
            <w:pPr>
              <w:pStyle w:val="TableParagraph"/>
              <w:spacing w:before="35" w:line="240" w:lineRule="auto"/>
              <w:ind w:left="162" w:right="152"/>
              <w:rPr>
                <w:sz w:val="24"/>
              </w:rPr>
            </w:pPr>
            <w:r>
              <w:rPr>
                <w:sz w:val="24"/>
              </w:rPr>
              <w:t>Gasoline</w:t>
            </w:r>
          </w:p>
        </w:tc>
        <w:tc>
          <w:tcPr>
            <w:tcW w:w="1645" w:type="dxa"/>
          </w:tcPr>
          <w:p w:rsidR="00B97222" w:rsidRDefault="007A51E0">
            <w:pPr>
              <w:pStyle w:val="TableParagraph"/>
              <w:spacing w:before="35" w:line="240" w:lineRule="auto"/>
              <w:ind w:left="165" w:right="159"/>
              <w:rPr>
                <w:sz w:val="24"/>
              </w:rPr>
            </w:pPr>
            <w:r>
              <w:rPr>
                <w:sz w:val="24"/>
              </w:rPr>
              <w:t>155</w:t>
            </w:r>
          </w:p>
        </w:tc>
        <w:tc>
          <w:tcPr>
            <w:tcW w:w="1964" w:type="dxa"/>
          </w:tcPr>
          <w:p w:rsidR="00B97222" w:rsidRDefault="007A51E0">
            <w:pPr>
              <w:pStyle w:val="TableParagraph"/>
              <w:spacing w:before="35" w:line="240" w:lineRule="auto"/>
              <w:ind w:left="569" w:right="564"/>
              <w:rPr>
                <w:sz w:val="24"/>
              </w:rPr>
            </w:pPr>
            <w:r>
              <w:rPr>
                <w:sz w:val="24"/>
              </w:rPr>
              <w:t>425.110</w:t>
            </w:r>
          </w:p>
        </w:tc>
        <w:tc>
          <w:tcPr>
            <w:tcW w:w="1728" w:type="dxa"/>
          </w:tcPr>
          <w:p w:rsidR="00B97222" w:rsidRDefault="007A51E0">
            <w:pPr>
              <w:pStyle w:val="TableParagraph"/>
              <w:spacing w:before="35" w:line="240" w:lineRule="auto"/>
              <w:ind w:left="177" w:right="172"/>
              <w:rPr>
                <w:sz w:val="24"/>
              </w:rPr>
            </w:pPr>
            <w:r>
              <w:rPr>
                <w:sz w:val="24"/>
              </w:rPr>
              <w:t>190.264</w:t>
            </w:r>
          </w:p>
        </w:tc>
        <w:tc>
          <w:tcPr>
            <w:tcW w:w="1297" w:type="dxa"/>
          </w:tcPr>
          <w:p w:rsidR="00B97222" w:rsidRDefault="007A51E0">
            <w:pPr>
              <w:pStyle w:val="TableParagraph"/>
              <w:spacing w:before="35" w:line="240" w:lineRule="auto"/>
              <w:ind w:left="2"/>
              <w:rPr>
                <w:sz w:val="24"/>
              </w:rPr>
            </w:pPr>
            <w:r>
              <w:rPr>
                <w:sz w:val="24"/>
              </w:rPr>
              <w:t>4</w:t>
            </w:r>
          </w:p>
        </w:tc>
        <w:tc>
          <w:tcPr>
            <w:tcW w:w="1524" w:type="dxa"/>
          </w:tcPr>
          <w:p w:rsidR="00B97222" w:rsidRDefault="007A51E0">
            <w:pPr>
              <w:pStyle w:val="TableParagraph"/>
              <w:spacing w:before="35" w:line="240" w:lineRule="auto"/>
              <w:ind w:left="162" w:right="158"/>
              <w:rPr>
                <w:sz w:val="24"/>
              </w:rPr>
            </w:pPr>
            <w:r>
              <w:rPr>
                <w:sz w:val="24"/>
              </w:rPr>
              <w:t>690</w:t>
            </w:r>
          </w:p>
        </w:tc>
      </w:tr>
      <w:tr w:rsidR="00B97222" w:rsidTr="00E84BD8">
        <w:trPr>
          <w:trHeight w:val="417"/>
        </w:trPr>
        <w:tc>
          <w:tcPr>
            <w:tcW w:w="1524" w:type="dxa"/>
          </w:tcPr>
          <w:p w:rsidR="00B97222" w:rsidRDefault="007A51E0">
            <w:pPr>
              <w:pStyle w:val="TableParagraph"/>
              <w:spacing w:before="37" w:line="240" w:lineRule="auto"/>
              <w:ind w:left="162" w:right="158"/>
              <w:rPr>
                <w:sz w:val="24"/>
              </w:rPr>
            </w:pPr>
            <w:r>
              <w:rPr>
                <w:sz w:val="24"/>
              </w:rPr>
              <w:t>Natural Gas</w:t>
            </w:r>
          </w:p>
        </w:tc>
        <w:tc>
          <w:tcPr>
            <w:tcW w:w="1645" w:type="dxa"/>
          </w:tcPr>
          <w:p w:rsidR="00B97222" w:rsidRDefault="007A51E0">
            <w:pPr>
              <w:pStyle w:val="TableParagraph"/>
              <w:spacing w:before="37" w:line="240" w:lineRule="auto"/>
              <w:ind w:left="165" w:right="159"/>
              <w:rPr>
                <w:sz w:val="24"/>
              </w:rPr>
            </w:pPr>
            <w:r>
              <w:rPr>
                <w:sz w:val="24"/>
              </w:rPr>
              <w:t>197</w:t>
            </w:r>
          </w:p>
        </w:tc>
        <w:tc>
          <w:tcPr>
            <w:tcW w:w="1964" w:type="dxa"/>
          </w:tcPr>
          <w:p w:rsidR="00B97222" w:rsidRDefault="007A51E0">
            <w:pPr>
              <w:pStyle w:val="TableParagraph"/>
              <w:spacing w:before="37" w:line="240" w:lineRule="auto"/>
              <w:ind w:left="569" w:right="564"/>
              <w:rPr>
                <w:sz w:val="24"/>
              </w:rPr>
            </w:pPr>
            <w:r>
              <w:rPr>
                <w:sz w:val="24"/>
              </w:rPr>
              <w:t>349.056</w:t>
            </w:r>
          </w:p>
        </w:tc>
        <w:tc>
          <w:tcPr>
            <w:tcW w:w="1728" w:type="dxa"/>
          </w:tcPr>
          <w:p w:rsidR="00B97222" w:rsidRDefault="007A51E0">
            <w:pPr>
              <w:pStyle w:val="TableParagraph"/>
              <w:spacing w:before="37" w:line="240" w:lineRule="auto"/>
              <w:ind w:left="177" w:right="172"/>
              <w:rPr>
                <w:sz w:val="24"/>
              </w:rPr>
            </w:pPr>
            <w:r>
              <w:rPr>
                <w:sz w:val="24"/>
              </w:rPr>
              <w:t>181.447</w:t>
            </w:r>
          </w:p>
        </w:tc>
        <w:tc>
          <w:tcPr>
            <w:tcW w:w="1297" w:type="dxa"/>
          </w:tcPr>
          <w:p w:rsidR="00B97222" w:rsidRDefault="007A51E0">
            <w:pPr>
              <w:pStyle w:val="TableParagraph"/>
              <w:spacing w:before="37" w:line="240" w:lineRule="auto"/>
              <w:ind w:left="2"/>
              <w:rPr>
                <w:sz w:val="24"/>
              </w:rPr>
            </w:pPr>
            <w:r>
              <w:rPr>
                <w:sz w:val="24"/>
              </w:rPr>
              <w:t>3</w:t>
            </w:r>
          </w:p>
        </w:tc>
        <w:tc>
          <w:tcPr>
            <w:tcW w:w="1524" w:type="dxa"/>
          </w:tcPr>
          <w:p w:rsidR="00B97222" w:rsidRDefault="007A51E0">
            <w:pPr>
              <w:pStyle w:val="TableParagraph"/>
              <w:spacing w:before="37" w:line="240" w:lineRule="auto"/>
              <w:ind w:left="162" w:right="158"/>
              <w:rPr>
                <w:sz w:val="24"/>
              </w:rPr>
            </w:pPr>
            <w:r>
              <w:rPr>
                <w:sz w:val="24"/>
              </w:rPr>
              <w:t>692</w:t>
            </w:r>
          </w:p>
        </w:tc>
      </w:tr>
      <w:tr w:rsidR="00B97222" w:rsidTr="00E84BD8">
        <w:trPr>
          <w:trHeight w:val="402"/>
        </w:trPr>
        <w:tc>
          <w:tcPr>
            <w:tcW w:w="1524" w:type="dxa"/>
          </w:tcPr>
          <w:p w:rsidR="00B97222" w:rsidRDefault="007A51E0">
            <w:pPr>
              <w:pStyle w:val="TableParagraph"/>
              <w:spacing w:before="35" w:line="240" w:lineRule="auto"/>
              <w:ind w:left="162" w:right="157"/>
              <w:rPr>
                <w:sz w:val="24"/>
              </w:rPr>
            </w:pPr>
            <w:r>
              <w:rPr>
                <w:sz w:val="24"/>
              </w:rPr>
              <w:t>Propane</w:t>
            </w:r>
          </w:p>
        </w:tc>
        <w:tc>
          <w:tcPr>
            <w:tcW w:w="1645" w:type="dxa"/>
          </w:tcPr>
          <w:p w:rsidR="00B97222" w:rsidRDefault="007A51E0">
            <w:pPr>
              <w:pStyle w:val="TableParagraph"/>
              <w:spacing w:before="35" w:line="240" w:lineRule="auto"/>
              <w:ind w:left="6"/>
              <w:rPr>
                <w:sz w:val="24"/>
              </w:rPr>
            </w:pPr>
            <w:r>
              <w:rPr>
                <w:sz w:val="24"/>
              </w:rPr>
              <w:t>3</w:t>
            </w:r>
          </w:p>
        </w:tc>
        <w:tc>
          <w:tcPr>
            <w:tcW w:w="1964" w:type="dxa"/>
          </w:tcPr>
          <w:p w:rsidR="00B97222" w:rsidRDefault="007A51E0">
            <w:pPr>
              <w:pStyle w:val="TableParagraph"/>
              <w:spacing w:before="35" w:line="240" w:lineRule="auto"/>
              <w:ind w:left="569" w:right="564"/>
              <w:rPr>
                <w:sz w:val="24"/>
              </w:rPr>
            </w:pPr>
            <w:r>
              <w:rPr>
                <w:sz w:val="24"/>
              </w:rPr>
              <w:t>409.000</w:t>
            </w:r>
          </w:p>
        </w:tc>
        <w:tc>
          <w:tcPr>
            <w:tcW w:w="1728" w:type="dxa"/>
          </w:tcPr>
          <w:p w:rsidR="00B97222" w:rsidRDefault="007A51E0">
            <w:pPr>
              <w:pStyle w:val="TableParagraph"/>
              <w:spacing w:before="35" w:line="240" w:lineRule="auto"/>
              <w:ind w:left="177" w:right="172"/>
              <w:rPr>
                <w:sz w:val="24"/>
              </w:rPr>
            </w:pPr>
            <w:r>
              <w:rPr>
                <w:sz w:val="24"/>
              </w:rPr>
              <w:t>187.832</w:t>
            </w:r>
          </w:p>
        </w:tc>
        <w:tc>
          <w:tcPr>
            <w:tcW w:w="1297" w:type="dxa"/>
          </w:tcPr>
          <w:p w:rsidR="00B97222" w:rsidRDefault="007A51E0">
            <w:pPr>
              <w:pStyle w:val="TableParagraph"/>
              <w:spacing w:before="35" w:line="240" w:lineRule="auto"/>
              <w:ind w:left="143" w:right="141"/>
              <w:rPr>
                <w:sz w:val="24"/>
              </w:rPr>
            </w:pPr>
            <w:r>
              <w:rPr>
                <w:sz w:val="24"/>
              </w:rPr>
              <w:t>193</w:t>
            </w:r>
          </w:p>
        </w:tc>
        <w:tc>
          <w:tcPr>
            <w:tcW w:w="1524" w:type="dxa"/>
          </w:tcPr>
          <w:p w:rsidR="00B97222" w:rsidRDefault="007A51E0">
            <w:pPr>
              <w:pStyle w:val="TableParagraph"/>
              <w:spacing w:before="35" w:line="240" w:lineRule="auto"/>
              <w:ind w:left="162" w:right="158"/>
              <w:rPr>
                <w:sz w:val="24"/>
              </w:rPr>
            </w:pPr>
            <w:r>
              <w:rPr>
                <w:sz w:val="24"/>
              </w:rPr>
              <w:t>341</w:t>
            </w:r>
          </w:p>
        </w:tc>
      </w:tr>
      <w:tr w:rsidR="00B97222" w:rsidTr="00E84BD8">
        <w:trPr>
          <w:trHeight w:val="415"/>
        </w:trPr>
        <w:tc>
          <w:tcPr>
            <w:tcW w:w="1524" w:type="dxa"/>
          </w:tcPr>
          <w:p w:rsidR="00B97222" w:rsidRDefault="007A51E0">
            <w:pPr>
              <w:pStyle w:val="TableParagraph"/>
              <w:spacing w:before="35" w:line="240" w:lineRule="auto"/>
              <w:ind w:left="162" w:right="156"/>
              <w:rPr>
                <w:sz w:val="24"/>
              </w:rPr>
            </w:pPr>
            <w:r>
              <w:rPr>
                <w:sz w:val="24"/>
              </w:rPr>
              <w:t>Steam</w:t>
            </w:r>
          </w:p>
        </w:tc>
        <w:tc>
          <w:tcPr>
            <w:tcW w:w="1645" w:type="dxa"/>
          </w:tcPr>
          <w:p w:rsidR="00B97222" w:rsidRDefault="007A51E0">
            <w:pPr>
              <w:pStyle w:val="TableParagraph"/>
              <w:spacing w:before="35" w:line="240" w:lineRule="auto"/>
              <w:ind w:left="165" w:right="159"/>
              <w:rPr>
                <w:sz w:val="24"/>
              </w:rPr>
            </w:pPr>
            <w:r>
              <w:rPr>
                <w:sz w:val="24"/>
              </w:rPr>
              <w:t>28</w:t>
            </w:r>
          </w:p>
        </w:tc>
        <w:tc>
          <w:tcPr>
            <w:tcW w:w="1964" w:type="dxa"/>
          </w:tcPr>
          <w:p w:rsidR="00B97222" w:rsidRDefault="007A51E0">
            <w:pPr>
              <w:pStyle w:val="TableParagraph"/>
              <w:spacing w:before="35" w:line="240" w:lineRule="auto"/>
              <w:ind w:left="569" w:right="564"/>
              <w:rPr>
                <w:sz w:val="24"/>
              </w:rPr>
            </w:pPr>
            <w:r>
              <w:rPr>
                <w:sz w:val="24"/>
              </w:rPr>
              <w:t>293.286</w:t>
            </w:r>
          </w:p>
        </w:tc>
        <w:tc>
          <w:tcPr>
            <w:tcW w:w="1728" w:type="dxa"/>
          </w:tcPr>
          <w:p w:rsidR="00B97222" w:rsidRDefault="007A51E0">
            <w:pPr>
              <w:pStyle w:val="TableParagraph"/>
              <w:spacing w:before="35" w:line="240" w:lineRule="auto"/>
              <w:ind w:left="177" w:right="172"/>
              <w:rPr>
                <w:sz w:val="24"/>
              </w:rPr>
            </w:pPr>
            <w:r>
              <w:rPr>
                <w:sz w:val="24"/>
              </w:rPr>
              <w:t>201.891</w:t>
            </w:r>
          </w:p>
        </w:tc>
        <w:tc>
          <w:tcPr>
            <w:tcW w:w="1297" w:type="dxa"/>
          </w:tcPr>
          <w:p w:rsidR="00B97222" w:rsidRDefault="007A51E0">
            <w:pPr>
              <w:pStyle w:val="TableParagraph"/>
              <w:spacing w:before="35" w:line="240" w:lineRule="auto"/>
              <w:ind w:left="2"/>
              <w:rPr>
                <w:sz w:val="24"/>
              </w:rPr>
            </w:pPr>
            <w:r>
              <w:rPr>
                <w:sz w:val="24"/>
              </w:rPr>
              <w:t>7</w:t>
            </w:r>
          </w:p>
        </w:tc>
        <w:tc>
          <w:tcPr>
            <w:tcW w:w="1524" w:type="dxa"/>
          </w:tcPr>
          <w:p w:rsidR="00B97222" w:rsidRDefault="007A51E0">
            <w:pPr>
              <w:pStyle w:val="TableParagraph"/>
              <w:spacing w:before="35" w:line="240" w:lineRule="auto"/>
              <w:ind w:left="162" w:right="158"/>
              <w:rPr>
                <w:sz w:val="24"/>
              </w:rPr>
            </w:pPr>
            <w:r>
              <w:rPr>
                <w:sz w:val="24"/>
              </w:rPr>
              <w:t>689</w:t>
            </w:r>
          </w:p>
        </w:tc>
      </w:tr>
    </w:tbl>
    <w:p w:rsidR="00B97222" w:rsidRDefault="007A51E0">
      <w:pPr>
        <w:pStyle w:val="BodyText"/>
        <w:spacing w:before="179"/>
        <w:ind w:left="1422" w:right="1349"/>
        <w:jc w:val="center"/>
      </w:pPr>
      <w:r>
        <w:rPr>
          <w:u w:val="single"/>
        </w:rPr>
        <w:t xml:space="preserve">Table 3: Summary Statistics of </w:t>
      </w:r>
      <w:r w:rsidR="00E84BD8">
        <w:rPr>
          <w:u w:val="single"/>
        </w:rPr>
        <w:t xml:space="preserve">tCO2e </w:t>
      </w:r>
      <w:r>
        <w:rPr>
          <w:u w:val="single"/>
        </w:rPr>
        <w:t>Emission by Year</w:t>
      </w:r>
    </w:p>
    <w:p w:rsidR="00B97222" w:rsidRDefault="00B97222">
      <w:pPr>
        <w:pStyle w:val="BodyText"/>
        <w:spacing w:before="8"/>
        <w:rPr>
          <w:sz w:val="15"/>
        </w:rPr>
      </w:pPr>
    </w:p>
    <w:tbl>
      <w:tblPr>
        <w:tblW w:w="95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4"/>
        <w:gridCol w:w="1637"/>
        <w:gridCol w:w="1634"/>
        <w:gridCol w:w="1750"/>
        <w:gridCol w:w="1227"/>
        <w:gridCol w:w="1656"/>
      </w:tblGrid>
      <w:tr w:rsidR="00B97222" w:rsidTr="00E84BD8">
        <w:trPr>
          <w:trHeight w:val="275"/>
        </w:trPr>
        <w:tc>
          <w:tcPr>
            <w:tcW w:w="1634" w:type="dxa"/>
          </w:tcPr>
          <w:p w:rsidR="00B97222" w:rsidRDefault="007A51E0">
            <w:pPr>
              <w:pStyle w:val="TableParagraph"/>
              <w:spacing w:line="256" w:lineRule="exact"/>
              <w:ind w:right="239"/>
              <w:rPr>
                <w:sz w:val="24"/>
              </w:rPr>
            </w:pPr>
            <w:r>
              <w:rPr>
                <w:sz w:val="24"/>
              </w:rPr>
              <w:t>Fiscal Year</w:t>
            </w:r>
          </w:p>
        </w:tc>
        <w:tc>
          <w:tcPr>
            <w:tcW w:w="1637" w:type="dxa"/>
          </w:tcPr>
          <w:p w:rsidR="00B97222" w:rsidRDefault="007A51E0">
            <w:pPr>
              <w:pStyle w:val="TableParagraph"/>
              <w:spacing w:line="256" w:lineRule="exact"/>
              <w:ind w:left="161" w:right="159"/>
              <w:rPr>
                <w:sz w:val="24"/>
              </w:rPr>
            </w:pPr>
            <w:r>
              <w:rPr>
                <w:sz w:val="24"/>
              </w:rPr>
              <w:t>Observations</w:t>
            </w:r>
          </w:p>
        </w:tc>
        <w:tc>
          <w:tcPr>
            <w:tcW w:w="1634" w:type="dxa"/>
          </w:tcPr>
          <w:p w:rsidR="00B97222" w:rsidRDefault="007A51E0">
            <w:pPr>
              <w:pStyle w:val="TableParagraph"/>
              <w:spacing w:line="256" w:lineRule="exact"/>
              <w:ind w:right="238"/>
              <w:rPr>
                <w:sz w:val="24"/>
              </w:rPr>
            </w:pPr>
            <w:r>
              <w:rPr>
                <w:sz w:val="24"/>
              </w:rPr>
              <w:t>Mean</w:t>
            </w:r>
          </w:p>
        </w:tc>
        <w:tc>
          <w:tcPr>
            <w:tcW w:w="1750" w:type="dxa"/>
          </w:tcPr>
          <w:p w:rsidR="00B97222" w:rsidRDefault="007A51E0">
            <w:pPr>
              <w:pStyle w:val="TableParagraph"/>
              <w:spacing w:line="256" w:lineRule="exact"/>
              <w:ind w:left="192" w:right="181"/>
              <w:rPr>
                <w:sz w:val="24"/>
              </w:rPr>
            </w:pPr>
            <w:proofErr w:type="spellStart"/>
            <w:r>
              <w:rPr>
                <w:sz w:val="24"/>
              </w:rPr>
              <w:t>Std</w:t>
            </w:r>
            <w:proofErr w:type="spellEnd"/>
            <w:r>
              <w:rPr>
                <w:sz w:val="24"/>
              </w:rPr>
              <w:t xml:space="preserve"> Deviation</w:t>
            </w:r>
          </w:p>
        </w:tc>
        <w:tc>
          <w:tcPr>
            <w:tcW w:w="1227" w:type="dxa"/>
          </w:tcPr>
          <w:p w:rsidR="00B97222" w:rsidRDefault="007A51E0">
            <w:pPr>
              <w:pStyle w:val="TableParagraph"/>
              <w:spacing w:line="256" w:lineRule="exact"/>
              <w:ind w:left="112" w:right="103"/>
              <w:rPr>
                <w:sz w:val="24"/>
              </w:rPr>
            </w:pPr>
            <w:r>
              <w:rPr>
                <w:sz w:val="24"/>
              </w:rPr>
              <w:t>Minimum</w:t>
            </w:r>
          </w:p>
        </w:tc>
        <w:tc>
          <w:tcPr>
            <w:tcW w:w="1656" w:type="dxa"/>
          </w:tcPr>
          <w:p w:rsidR="00B97222" w:rsidRDefault="007A51E0">
            <w:pPr>
              <w:pStyle w:val="TableParagraph"/>
              <w:spacing w:line="256" w:lineRule="exact"/>
              <w:ind w:left="307" w:right="299"/>
              <w:rPr>
                <w:sz w:val="24"/>
              </w:rPr>
            </w:pPr>
            <w:r>
              <w:rPr>
                <w:sz w:val="24"/>
              </w:rPr>
              <w:t>Maximum</w:t>
            </w:r>
          </w:p>
        </w:tc>
      </w:tr>
      <w:tr w:rsidR="00B97222" w:rsidTr="00E84BD8">
        <w:trPr>
          <w:trHeight w:val="369"/>
        </w:trPr>
        <w:tc>
          <w:tcPr>
            <w:tcW w:w="1634" w:type="dxa"/>
          </w:tcPr>
          <w:p w:rsidR="00B97222" w:rsidRDefault="007A51E0">
            <w:pPr>
              <w:pStyle w:val="TableParagraph"/>
              <w:spacing w:before="1" w:line="240" w:lineRule="auto"/>
              <w:ind w:right="237"/>
              <w:rPr>
                <w:sz w:val="24"/>
              </w:rPr>
            </w:pPr>
            <w:r>
              <w:rPr>
                <w:sz w:val="24"/>
              </w:rPr>
              <w:t>2005</w:t>
            </w:r>
          </w:p>
        </w:tc>
        <w:tc>
          <w:tcPr>
            <w:tcW w:w="1637" w:type="dxa"/>
          </w:tcPr>
          <w:p w:rsidR="00B97222" w:rsidRDefault="007A51E0">
            <w:pPr>
              <w:pStyle w:val="TableParagraph"/>
              <w:spacing w:before="1" w:line="240" w:lineRule="auto"/>
              <w:ind w:left="161" w:right="156"/>
              <w:rPr>
                <w:sz w:val="24"/>
              </w:rPr>
            </w:pPr>
            <w:r>
              <w:rPr>
                <w:sz w:val="24"/>
              </w:rPr>
              <w:t>52</w:t>
            </w:r>
          </w:p>
        </w:tc>
        <w:tc>
          <w:tcPr>
            <w:tcW w:w="1634" w:type="dxa"/>
          </w:tcPr>
          <w:p w:rsidR="00B97222" w:rsidRDefault="007A51E0">
            <w:pPr>
              <w:pStyle w:val="TableParagraph"/>
              <w:spacing w:before="1" w:line="240" w:lineRule="auto"/>
              <w:ind w:right="233"/>
              <w:rPr>
                <w:sz w:val="24"/>
              </w:rPr>
            </w:pPr>
            <w:r>
              <w:rPr>
                <w:sz w:val="24"/>
              </w:rPr>
              <w:t>379.577</w:t>
            </w:r>
          </w:p>
        </w:tc>
        <w:tc>
          <w:tcPr>
            <w:tcW w:w="1750" w:type="dxa"/>
          </w:tcPr>
          <w:p w:rsidR="00B97222" w:rsidRDefault="007A51E0">
            <w:pPr>
              <w:pStyle w:val="TableParagraph"/>
              <w:spacing w:before="1" w:line="240" w:lineRule="auto"/>
              <w:ind w:left="192" w:right="180"/>
              <w:rPr>
                <w:sz w:val="24"/>
              </w:rPr>
            </w:pPr>
            <w:r>
              <w:rPr>
                <w:sz w:val="24"/>
              </w:rPr>
              <w:t>180.378</w:t>
            </w:r>
          </w:p>
        </w:tc>
        <w:tc>
          <w:tcPr>
            <w:tcW w:w="1227" w:type="dxa"/>
          </w:tcPr>
          <w:p w:rsidR="00B97222" w:rsidRDefault="007A51E0">
            <w:pPr>
              <w:pStyle w:val="TableParagraph"/>
              <w:spacing w:before="1" w:line="240" w:lineRule="auto"/>
              <w:ind w:left="111" w:right="103"/>
              <w:rPr>
                <w:sz w:val="24"/>
              </w:rPr>
            </w:pPr>
            <w:r>
              <w:rPr>
                <w:sz w:val="24"/>
              </w:rPr>
              <w:t>43</w:t>
            </w:r>
          </w:p>
        </w:tc>
        <w:tc>
          <w:tcPr>
            <w:tcW w:w="1656" w:type="dxa"/>
          </w:tcPr>
          <w:p w:rsidR="00B97222" w:rsidRDefault="007A51E0">
            <w:pPr>
              <w:pStyle w:val="TableParagraph"/>
              <w:spacing w:before="1" w:line="240" w:lineRule="auto"/>
              <w:ind w:left="307" w:right="296"/>
              <w:rPr>
                <w:sz w:val="24"/>
              </w:rPr>
            </w:pPr>
            <w:r>
              <w:rPr>
                <w:sz w:val="24"/>
              </w:rPr>
              <w:t>686</w:t>
            </w:r>
          </w:p>
        </w:tc>
      </w:tr>
      <w:tr w:rsidR="00B97222" w:rsidTr="00E84BD8">
        <w:trPr>
          <w:trHeight w:val="383"/>
        </w:trPr>
        <w:tc>
          <w:tcPr>
            <w:tcW w:w="1634" w:type="dxa"/>
          </w:tcPr>
          <w:p w:rsidR="00B97222" w:rsidRDefault="007A51E0">
            <w:pPr>
              <w:pStyle w:val="TableParagraph"/>
              <w:ind w:right="237"/>
              <w:rPr>
                <w:sz w:val="24"/>
              </w:rPr>
            </w:pPr>
            <w:r>
              <w:rPr>
                <w:sz w:val="24"/>
              </w:rPr>
              <w:t>2006</w:t>
            </w:r>
          </w:p>
        </w:tc>
        <w:tc>
          <w:tcPr>
            <w:tcW w:w="1637" w:type="dxa"/>
          </w:tcPr>
          <w:p w:rsidR="00B97222" w:rsidRDefault="007A51E0">
            <w:pPr>
              <w:pStyle w:val="TableParagraph"/>
              <w:ind w:left="161" w:right="156"/>
              <w:rPr>
                <w:sz w:val="24"/>
              </w:rPr>
            </w:pPr>
            <w:r>
              <w:rPr>
                <w:sz w:val="24"/>
              </w:rPr>
              <w:t>53</w:t>
            </w:r>
          </w:p>
        </w:tc>
        <w:tc>
          <w:tcPr>
            <w:tcW w:w="1634" w:type="dxa"/>
          </w:tcPr>
          <w:p w:rsidR="00B97222" w:rsidRDefault="007A51E0">
            <w:pPr>
              <w:pStyle w:val="TableParagraph"/>
              <w:ind w:right="233"/>
              <w:rPr>
                <w:sz w:val="24"/>
              </w:rPr>
            </w:pPr>
            <w:r>
              <w:rPr>
                <w:sz w:val="24"/>
              </w:rPr>
              <w:t>364.075</w:t>
            </w:r>
          </w:p>
        </w:tc>
        <w:tc>
          <w:tcPr>
            <w:tcW w:w="1750" w:type="dxa"/>
          </w:tcPr>
          <w:p w:rsidR="00B97222" w:rsidRDefault="007A51E0">
            <w:pPr>
              <w:pStyle w:val="TableParagraph"/>
              <w:ind w:left="192" w:right="180"/>
              <w:rPr>
                <w:sz w:val="24"/>
              </w:rPr>
            </w:pPr>
            <w:r>
              <w:rPr>
                <w:sz w:val="24"/>
              </w:rPr>
              <w:t>192.700</w:t>
            </w:r>
          </w:p>
        </w:tc>
        <w:tc>
          <w:tcPr>
            <w:tcW w:w="1227" w:type="dxa"/>
          </w:tcPr>
          <w:p w:rsidR="00B97222" w:rsidRDefault="007A51E0">
            <w:pPr>
              <w:pStyle w:val="TableParagraph"/>
              <w:ind w:left="111" w:right="103"/>
              <w:rPr>
                <w:sz w:val="24"/>
              </w:rPr>
            </w:pPr>
            <w:r>
              <w:rPr>
                <w:sz w:val="24"/>
              </w:rPr>
              <w:t>53</w:t>
            </w:r>
          </w:p>
        </w:tc>
        <w:tc>
          <w:tcPr>
            <w:tcW w:w="1656" w:type="dxa"/>
          </w:tcPr>
          <w:p w:rsidR="00B97222" w:rsidRDefault="007A51E0">
            <w:pPr>
              <w:pStyle w:val="TableParagraph"/>
              <w:ind w:left="307" w:right="296"/>
              <w:rPr>
                <w:sz w:val="24"/>
              </w:rPr>
            </w:pPr>
            <w:r>
              <w:rPr>
                <w:sz w:val="24"/>
              </w:rPr>
              <w:t>682</w:t>
            </w:r>
          </w:p>
        </w:tc>
      </w:tr>
      <w:tr w:rsidR="00B97222" w:rsidTr="00E84BD8">
        <w:trPr>
          <w:trHeight w:val="381"/>
        </w:trPr>
        <w:tc>
          <w:tcPr>
            <w:tcW w:w="1634" w:type="dxa"/>
          </w:tcPr>
          <w:p w:rsidR="00B97222" w:rsidRDefault="007A51E0">
            <w:pPr>
              <w:pStyle w:val="TableParagraph"/>
              <w:ind w:right="237"/>
              <w:rPr>
                <w:sz w:val="24"/>
              </w:rPr>
            </w:pPr>
            <w:r>
              <w:rPr>
                <w:sz w:val="24"/>
              </w:rPr>
              <w:t>2007</w:t>
            </w:r>
          </w:p>
        </w:tc>
        <w:tc>
          <w:tcPr>
            <w:tcW w:w="1637" w:type="dxa"/>
          </w:tcPr>
          <w:p w:rsidR="00B97222" w:rsidRDefault="007A51E0">
            <w:pPr>
              <w:pStyle w:val="TableParagraph"/>
              <w:ind w:left="161" w:right="156"/>
              <w:rPr>
                <w:sz w:val="24"/>
              </w:rPr>
            </w:pPr>
            <w:r>
              <w:rPr>
                <w:sz w:val="24"/>
              </w:rPr>
              <w:t>54</w:t>
            </w:r>
          </w:p>
        </w:tc>
        <w:tc>
          <w:tcPr>
            <w:tcW w:w="1634" w:type="dxa"/>
          </w:tcPr>
          <w:p w:rsidR="00B97222" w:rsidRDefault="007A51E0">
            <w:pPr>
              <w:pStyle w:val="TableParagraph"/>
              <w:ind w:right="233"/>
              <w:rPr>
                <w:sz w:val="24"/>
              </w:rPr>
            </w:pPr>
            <w:r>
              <w:rPr>
                <w:sz w:val="24"/>
              </w:rPr>
              <w:t>353.167</w:t>
            </w:r>
          </w:p>
        </w:tc>
        <w:tc>
          <w:tcPr>
            <w:tcW w:w="1750" w:type="dxa"/>
          </w:tcPr>
          <w:p w:rsidR="00B97222" w:rsidRDefault="007A51E0">
            <w:pPr>
              <w:pStyle w:val="TableParagraph"/>
              <w:ind w:left="192" w:right="180"/>
              <w:rPr>
                <w:sz w:val="24"/>
              </w:rPr>
            </w:pPr>
            <w:r>
              <w:rPr>
                <w:sz w:val="24"/>
              </w:rPr>
              <w:t>189.518</w:t>
            </w:r>
          </w:p>
        </w:tc>
        <w:tc>
          <w:tcPr>
            <w:tcW w:w="1227" w:type="dxa"/>
          </w:tcPr>
          <w:p w:rsidR="00B97222" w:rsidRDefault="007A51E0">
            <w:pPr>
              <w:pStyle w:val="TableParagraph"/>
              <w:ind w:left="8"/>
              <w:rPr>
                <w:sz w:val="24"/>
              </w:rPr>
            </w:pPr>
            <w:r>
              <w:rPr>
                <w:sz w:val="24"/>
              </w:rPr>
              <w:t>3</w:t>
            </w:r>
          </w:p>
        </w:tc>
        <w:tc>
          <w:tcPr>
            <w:tcW w:w="1656" w:type="dxa"/>
          </w:tcPr>
          <w:p w:rsidR="00B97222" w:rsidRDefault="007A51E0">
            <w:pPr>
              <w:pStyle w:val="TableParagraph"/>
              <w:ind w:left="307" w:right="296"/>
              <w:rPr>
                <w:sz w:val="24"/>
              </w:rPr>
            </w:pPr>
            <w:r>
              <w:rPr>
                <w:sz w:val="24"/>
              </w:rPr>
              <w:t>662</w:t>
            </w:r>
          </w:p>
        </w:tc>
      </w:tr>
      <w:tr w:rsidR="00B97222" w:rsidTr="00E84BD8">
        <w:trPr>
          <w:trHeight w:val="381"/>
        </w:trPr>
        <w:tc>
          <w:tcPr>
            <w:tcW w:w="1634" w:type="dxa"/>
          </w:tcPr>
          <w:p w:rsidR="00B97222" w:rsidRDefault="007A51E0">
            <w:pPr>
              <w:pStyle w:val="TableParagraph"/>
              <w:ind w:right="237"/>
              <w:rPr>
                <w:sz w:val="24"/>
              </w:rPr>
            </w:pPr>
            <w:r>
              <w:rPr>
                <w:sz w:val="24"/>
              </w:rPr>
              <w:t>2008</w:t>
            </w:r>
          </w:p>
        </w:tc>
        <w:tc>
          <w:tcPr>
            <w:tcW w:w="1637" w:type="dxa"/>
          </w:tcPr>
          <w:p w:rsidR="00B97222" w:rsidRDefault="007A51E0">
            <w:pPr>
              <w:pStyle w:val="TableParagraph"/>
              <w:ind w:left="161" w:right="156"/>
              <w:rPr>
                <w:sz w:val="24"/>
              </w:rPr>
            </w:pPr>
            <w:r>
              <w:rPr>
                <w:sz w:val="24"/>
              </w:rPr>
              <w:t>68</w:t>
            </w:r>
          </w:p>
        </w:tc>
        <w:tc>
          <w:tcPr>
            <w:tcW w:w="1634" w:type="dxa"/>
          </w:tcPr>
          <w:p w:rsidR="00B97222" w:rsidRDefault="007A51E0">
            <w:pPr>
              <w:pStyle w:val="TableParagraph"/>
              <w:ind w:right="233"/>
              <w:rPr>
                <w:sz w:val="24"/>
              </w:rPr>
            </w:pPr>
            <w:r>
              <w:rPr>
                <w:sz w:val="24"/>
              </w:rPr>
              <w:t>344.250</w:t>
            </w:r>
          </w:p>
        </w:tc>
        <w:tc>
          <w:tcPr>
            <w:tcW w:w="1750" w:type="dxa"/>
          </w:tcPr>
          <w:p w:rsidR="00B97222" w:rsidRDefault="007A51E0">
            <w:pPr>
              <w:pStyle w:val="TableParagraph"/>
              <w:ind w:left="192" w:right="180"/>
              <w:rPr>
                <w:sz w:val="24"/>
              </w:rPr>
            </w:pPr>
            <w:r>
              <w:rPr>
                <w:sz w:val="24"/>
              </w:rPr>
              <w:t>198.413</w:t>
            </w:r>
          </w:p>
        </w:tc>
        <w:tc>
          <w:tcPr>
            <w:tcW w:w="1227" w:type="dxa"/>
          </w:tcPr>
          <w:p w:rsidR="00B97222" w:rsidRDefault="007A51E0">
            <w:pPr>
              <w:pStyle w:val="TableParagraph"/>
              <w:ind w:left="8"/>
              <w:rPr>
                <w:sz w:val="24"/>
              </w:rPr>
            </w:pPr>
            <w:r>
              <w:rPr>
                <w:sz w:val="24"/>
              </w:rPr>
              <w:t>2</w:t>
            </w:r>
          </w:p>
        </w:tc>
        <w:tc>
          <w:tcPr>
            <w:tcW w:w="1656" w:type="dxa"/>
          </w:tcPr>
          <w:p w:rsidR="00B97222" w:rsidRDefault="007A51E0">
            <w:pPr>
              <w:pStyle w:val="TableParagraph"/>
              <w:ind w:left="307" w:right="296"/>
              <w:rPr>
                <w:sz w:val="24"/>
              </w:rPr>
            </w:pPr>
            <w:r>
              <w:rPr>
                <w:sz w:val="24"/>
              </w:rPr>
              <w:t>691</w:t>
            </w:r>
          </w:p>
        </w:tc>
      </w:tr>
      <w:tr w:rsidR="00B97222" w:rsidTr="00E84BD8">
        <w:trPr>
          <w:trHeight w:val="369"/>
        </w:trPr>
        <w:tc>
          <w:tcPr>
            <w:tcW w:w="1634" w:type="dxa"/>
          </w:tcPr>
          <w:p w:rsidR="00B97222" w:rsidRDefault="007A51E0">
            <w:pPr>
              <w:pStyle w:val="TableParagraph"/>
              <w:ind w:right="237"/>
              <w:rPr>
                <w:sz w:val="24"/>
              </w:rPr>
            </w:pPr>
            <w:r>
              <w:rPr>
                <w:sz w:val="24"/>
              </w:rPr>
              <w:t>2009</w:t>
            </w:r>
          </w:p>
        </w:tc>
        <w:tc>
          <w:tcPr>
            <w:tcW w:w="1637" w:type="dxa"/>
          </w:tcPr>
          <w:p w:rsidR="00B97222" w:rsidRDefault="007A51E0">
            <w:pPr>
              <w:pStyle w:val="TableParagraph"/>
              <w:ind w:left="161" w:right="156"/>
              <w:rPr>
                <w:sz w:val="24"/>
              </w:rPr>
            </w:pPr>
            <w:r>
              <w:rPr>
                <w:sz w:val="24"/>
              </w:rPr>
              <w:t>70</w:t>
            </w:r>
          </w:p>
        </w:tc>
        <w:tc>
          <w:tcPr>
            <w:tcW w:w="1634" w:type="dxa"/>
          </w:tcPr>
          <w:p w:rsidR="00B97222" w:rsidRDefault="007A51E0">
            <w:pPr>
              <w:pStyle w:val="TableParagraph"/>
              <w:ind w:right="233"/>
              <w:rPr>
                <w:sz w:val="24"/>
              </w:rPr>
            </w:pPr>
            <w:r>
              <w:rPr>
                <w:sz w:val="24"/>
              </w:rPr>
              <w:t>372.714</w:t>
            </w:r>
          </w:p>
        </w:tc>
        <w:tc>
          <w:tcPr>
            <w:tcW w:w="1750" w:type="dxa"/>
          </w:tcPr>
          <w:p w:rsidR="00B97222" w:rsidRDefault="007A51E0">
            <w:pPr>
              <w:pStyle w:val="TableParagraph"/>
              <w:ind w:left="192" w:right="180"/>
              <w:rPr>
                <w:sz w:val="24"/>
              </w:rPr>
            </w:pPr>
            <w:r>
              <w:rPr>
                <w:sz w:val="24"/>
              </w:rPr>
              <w:t>189.071</w:t>
            </w:r>
          </w:p>
        </w:tc>
        <w:tc>
          <w:tcPr>
            <w:tcW w:w="1227" w:type="dxa"/>
          </w:tcPr>
          <w:p w:rsidR="00B97222" w:rsidRDefault="007A51E0">
            <w:pPr>
              <w:pStyle w:val="TableParagraph"/>
              <w:ind w:left="111" w:right="103"/>
              <w:rPr>
                <w:sz w:val="24"/>
              </w:rPr>
            </w:pPr>
            <w:r>
              <w:rPr>
                <w:sz w:val="24"/>
              </w:rPr>
              <w:t>50</w:t>
            </w:r>
          </w:p>
        </w:tc>
        <w:tc>
          <w:tcPr>
            <w:tcW w:w="1656" w:type="dxa"/>
          </w:tcPr>
          <w:p w:rsidR="00B97222" w:rsidRDefault="007A51E0">
            <w:pPr>
              <w:pStyle w:val="TableParagraph"/>
              <w:ind w:left="307" w:right="296"/>
              <w:rPr>
                <w:sz w:val="24"/>
              </w:rPr>
            </w:pPr>
            <w:r>
              <w:rPr>
                <w:sz w:val="24"/>
              </w:rPr>
              <w:t>694</w:t>
            </w:r>
          </w:p>
        </w:tc>
      </w:tr>
      <w:tr w:rsidR="00B97222" w:rsidTr="00E84BD8">
        <w:trPr>
          <w:trHeight w:val="384"/>
        </w:trPr>
        <w:tc>
          <w:tcPr>
            <w:tcW w:w="1634" w:type="dxa"/>
          </w:tcPr>
          <w:p w:rsidR="00B97222" w:rsidRDefault="007A51E0">
            <w:pPr>
              <w:pStyle w:val="TableParagraph"/>
              <w:spacing w:line="276" w:lineRule="exact"/>
              <w:ind w:right="237"/>
              <w:rPr>
                <w:sz w:val="24"/>
              </w:rPr>
            </w:pPr>
            <w:r>
              <w:rPr>
                <w:sz w:val="24"/>
              </w:rPr>
              <w:t>2010</w:t>
            </w:r>
          </w:p>
        </w:tc>
        <w:tc>
          <w:tcPr>
            <w:tcW w:w="1637" w:type="dxa"/>
          </w:tcPr>
          <w:p w:rsidR="00B97222" w:rsidRDefault="007A51E0">
            <w:pPr>
              <w:pStyle w:val="TableParagraph"/>
              <w:spacing w:line="276" w:lineRule="exact"/>
              <w:ind w:left="161" w:right="156"/>
              <w:rPr>
                <w:sz w:val="24"/>
              </w:rPr>
            </w:pPr>
            <w:r>
              <w:rPr>
                <w:sz w:val="24"/>
              </w:rPr>
              <w:t>69</w:t>
            </w:r>
          </w:p>
        </w:tc>
        <w:tc>
          <w:tcPr>
            <w:tcW w:w="1634" w:type="dxa"/>
          </w:tcPr>
          <w:p w:rsidR="00B97222" w:rsidRDefault="007A51E0">
            <w:pPr>
              <w:pStyle w:val="TableParagraph"/>
              <w:spacing w:line="276" w:lineRule="exact"/>
              <w:ind w:right="233"/>
              <w:rPr>
                <w:sz w:val="24"/>
              </w:rPr>
            </w:pPr>
            <w:r>
              <w:rPr>
                <w:sz w:val="24"/>
              </w:rPr>
              <w:t>325.884</w:t>
            </w:r>
          </w:p>
        </w:tc>
        <w:tc>
          <w:tcPr>
            <w:tcW w:w="1750" w:type="dxa"/>
          </w:tcPr>
          <w:p w:rsidR="00B97222" w:rsidRDefault="007A51E0">
            <w:pPr>
              <w:pStyle w:val="TableParagraph"/>
              <w:spacing w:line="276" w:lineRule="exact"/>
              <w:ind w:left="192" w:right="180"/>
              <w:rPr>
                <w:sz w:val="24"/>
              </w:rPr>
            </w:pPr>
            <w:r>
              <w:rPr>
                <w:sz w:val="24"/>
              </w:rPr>
              <w:t>196.590</w:t>
            </w:r>
          </w:p>
        </w:tc>
        <w:tc>
          <w:tcPr>
            <w:tcW w:w="1227" w:type="dxa"/>
          </w:tcPr>
          <w:p w:rsidR="00B97222" w:rsidRDefault="007A51E0">
            <w:pPr>
              <w:pStyle w:val="TableParagraph"/>
              <w:spacing w:line="276" w:lineRule="exact"/>
              <w:ind w:left="8"/>
              <w:rPr>
                <w:sz w:val="24"/>
              </w:rPr>
            </w:pPr>
            <w:r>
              <w:rPr>
                <w:sz w:val="24"/>
              </w:rPr>
              <w:t>4</w:t>
            </w:r>
          </w:p>
        </w:tc>
        <w:tc>
          <w:tcPr>
            <w:tcW w:w="1656" w:type="dxa"/>
          </w:tcPr>
          <w:p w:rsidR="00B97222" w:rsidRDefault="007A51E0">
            <w:pPr>
              <w:pStyle w:val="TableParagraph"/>
              <w:spacing w:line="276" w:lineRule="exact"/>
              <w:ind w:left="307" w:right="296"/>
              <w:rPr>
                <w:sz w:val="24"/>
              </w:rPr>
            </w:pPr>
            <w:r>
              <w:rPr>
                <w:sz w:val="24"/>
              </w:rPr>
              <w:t>689</w:t>
            </w:r>
          </w:p>
        </w:tc>
      </w:tr>
      <w:tr w:rsidR="00B97222" w:rsidTr="00E84BD8">
        <w:trPr>
          <w:trHeight w:val="381"/>
        </w:trPr>
        <w:tc>
          <w:tcPr>
            <w:tcW w:w="1634" w:type="dxa"/>
          </w:tcPr>
          <w:p w:rsidR="00B97222" w:rsidRDefault="007A51E0">
            <w:pPr>
              <w:pStyle w:val="TableParagraph"/>
              <w:ind w:right="237"/>
              <w:rPr>
                <w:sz w:val="24"/>
              </w:rPr>
            </w:pPr>
            <w:r>
              <w:rPr>
                <w:sz w:val="24"/>
              </w:rPr>
              <w:t>2011</w:t>
            </w:r>
          </w:p>
        </w:tc>
        <w:tc>
          <w:tcPr>
            <w:tcW w:w="1637" w:type="dxa"/>
          </w:tcPr>
          <w:p w:rsidR="00B97222" w:rsidRDefault="007A51E0">
            <w:pPr>
              <w:pStyle w:val="TableParagraph"/>
              <w:ind w:left="161" w:right="156"/>
              <w:rPr>
                <w:sz w:val="24"/>
              </w:rPr>
            </w:pPr>
            <w:r>
              <w:rPr>
                <w:sz w:val="24"/>
              </w:rPr>
              <w:t>70</w:t>
            </w:r>
          </w:p>
        </w:tc>
        <w:tc>
          <w:tcPr>
            <w:tcW w:w="1634" w:type="dxa"/>
          </w:tcPr>
          <w:p w:rsidR="00B97222" w:rsidRDefault="007A51E0">
            <w:pPr>
              <w:pStyle w:val="TableParagraph"/>
              <w:ind w:right="233"/>
              <w:rPr>
                <w:sz w:val="24"/>
              </w:rPr>
            </w:pPr>
            <w:r>
              <w:rPr>
                <w:sz w:val="24"/>
              </w:rPr>
              <w:t>333.343</w:t>
            </w:r>
          </w:p>
        </w:tc>
        <w:tc>
          <w:tcPr>
            <w:tcW w:w="1750" w:type="dxa"/>
          </w:tcPr>
          <w:p w:rsidR="00B97222" w:rsidRDefault="007A51E0">
            <w:pPr>
              <w:pStyle w:val="TableParagraph"/>
              <w:ind w:left="192" w:right="180"/>
              <w:rPr>
                <w:sz w:val="24"/>
              </w:rPr>
            </w:pPr>
            <w:r>
              <w:rPr>
                <w:sz w:val="24"/>
              </w:rPr>
              <w:t>193.797</w:t>
            </w:r>
          </w:p>
        </w:tc>
        <w:tc>
          <w:tcPr>
            <w:tcW w:w="1227" w:type="dxa"/>
          </w:tcPr>
          <w:p w:rsidR="00B97222" w:rsidRDefault="007A51E0">
            <w:pPr>
              <w:pStyle w:val="TableParagraph"/>
              <w:ind w:left="8"/>
              <w:rPr>
                <w:sz w:val="24"/>
              </w:rPr>
            </w:pPr>
            <w:r>
              <w:rPr>
                <w:sz w:val="24"/>
              </w:rPr>
              <w:t>8</w:t>
            </w:r>
          </w:p>
        </w:tc>
        <w:tc>
          <w:tcPr>
            <w:tcW w:w="1656" w:type="dxa"/>
          </w:tcPr>
          <w:p w:rsidR="00B97222" w:rsidRDefault="007A51E0">
            <w:pPr>
              <w:pStyle w:val="TableParagraph"/>
              <w:ind w:left="307" w:right="296"/>
              <w:rPr>
                <w:sz w:val="24"/>
              </w:rPr>
            </w:pPr>
            <w:r>
              <w:rPr>
                <w:sz w:val="24"/>
              </w:rPr>
              <w:t>685</w:t>
            </w:r>
          </w:p>
        </w:tc>
      </w:tr>
      <w:tr w:rsidR="00B97222" w:rsidTr="00E84BD8">
        <w:trPr>
          <w:trHeight w:val="381"/>
        </w:trPr>
        <w:tc>
          <w:tcPr>
            <w:tcW w:w="1634" w:type="dxa"/>
          </w:tcPr>
          <w:p w:rsidR="00B97222" w:rsidRDefault="007A51E0">
            <w:pPr>
              <w:pStyle w:val="TableParagraph"/>
              <w:ind w:right="237"/>
              <w:rPr>
                <w:sz w:val="24"/>
              </w:rPr>
            </w:pPr>
            <w:r>
              <w:rPr>
                <w:sz w:val="24"/>
              </w:rPr>
              <w:t>2012</w:t>
            </w:r>
          </w:p>
        </w:tc>
        <w:tc>
          <w:tcPr>
            <w:tcW w:w="1637" w:type="dxa"/>
          </w:tcPr>
          <w:p w:rsidR="00B97222" w:rsidRDefault="007A51E0">
            <w:pPr>
              <w:pStyle w:val="TableParagraph"/>
              <w:ind w:left="161" w:right="156"/>
              <w:rPr>
                <w:sz w:val="24"/>
              </w:rPr>
            </w:pPr>
            <w:r>
              <w:rPr>
                <w:sz w:val="24"/>
              </w:rPr>
              <w:t>71</w:t>
            </w:r>
          </w:p>
        </w:tc>
        <w:tc>
          <w:tcPr>
            <w:tcW w:w="1634" w:type="dxa"/>
          </w:tcPr>
          <w:p w:rsidR="00B97222" w:rsidRDefault="007A51E0">
            <w:pPr>
              <w:pStyle w:val="TableParagraph"/>
              <w:ind w:right="233"/>
              <w:rPr>
                <w:sz w:val="24"/>
              </w:rPr>
            </w:pPr>
            <w:r>
              <w:rPr>
                <w:sz w:val="24"/>
              </w:rPr>
              <w:t>338.859</w:t>
            </w:r>
          </w:p>
        </w:tc>
        <w:tc>
          <w:tcPr>
            <w:tcW w:w="1750" w:type="dxa"/>
          </w:tcPr>
          <w:p w:rsidR="00B97222" w:rsidRDefault="007A51E0">
            <w:pPr>
              <w:pStyle w:val="TableParagraph"/>
              <w:ind w:left="192" w:right="180"/>
              <w:rPr>
                <w:sz w:val="24"/>
              </w:rPr>
            </w:pPr>
            <w:r>
              <w:rPr>
                <w:sz w:val="24"/>
              </w:rPr>
              <w:t>200.558</w:t>
            </w:r>
          </w:p>
        </w:tc>
        <w:tc>
          <w:tcPr>
            <w:tcW w:w="1227" w:type="dxa"/>
          </w:tcPr>
          <w:p w:rsidR="00B97222" w:rsidRDefault="007A51E0">
            <w:pPr>
              <w:pStyle w:val="TableParagraph"/>
              <w:ind w:left="8"/>
              <w:rPr>
                <w:sz w:val="24"/>
              </w:rPr>
            </w:pPr>
            <w:r>
              <w:rPr>
                <w:sz w:val="24"/>
              </w:rPr>
              <w:t>9</w:t>
            </w:r>
          </w:p>
        </w:tc>
        <w:tc>
          <w:tcPr>
            <w:tcW w:w="1656" w:type="dxa"/>
          </w:tcPr>
          <w:p w:rsidR="00B97222" w:rsidRDefault="007A51E0">
            <w:pPr>
              <w:pStyle w:val="TableParagraph"/>
              <w:ind w:left="307" w:right="296"/>
              <w:rPr>
                <w:sz w:val="24"/>
              </w:rPr>
            </w:pPr>
            <w:r>
              <w:rPr>
                <w:sz w:val="24"/>
              </w:rPr>
              <w:t>696</w:t>
            </w:r>
          </w:p>
        </w:tc>
      </w:tr>
      <w:tr w:rsidR="00B97222" w:rsidTr="00E84BD8">
        <w:trPr>
          <w:trHeight w:val="369"/>
        </w:trPr>
        <w:tc>
          <w:tcPr>
            <w:tcW w:w="1634" w:type="dxa"/>
          </w:tcPr>
          <w:p w:rsidR="00B97222" w:rsidRDefault="007A51E0">
            <w:pPr>
              <w:pStyle w:val="TableParagraph"/>
              <w:ind w:right="237"/>
              <w:rPr>
                <w:sz w:val="24"/>
              </w:rPr>
            </w:pPr>
            <w:r>
              <w:rPr>
                <w:sz w:val="24"/>
              </w:rPr>
              <w:t>2013</w:t>
            </w:r>
          </w:p>
        </w:tc>
        <w:tc>
          <w:tcPr>
            <w:tcW w:w="1637" w:type="dxa"/>
          </w:tcPr>
          <w:p w:rsidR="00B97222" w:rsidRDefault="007A51E0">
            <w:pPr>
              <w:pStyle w:val="TableParagraph"/>
              <w:ind w:left="161" w:right="156"/>
              <w:rPr>
                <w:sz w:val="24"/>
              </w:rPr>
            </w:pPr>
            <w:r>
              <w:rPr>
                <w:sz w:val="24"/>
              </w:rPr>
              <w:t>69</w:t>
            </w:r>
          </w:p>
        </w:tc>
        <w:tc>
          <w:tcPr>
            <w:tcW w:w="1634" w:type="dxa"/>
          </w:tcPr>
          <w:p w:rsidR="00B97222" w:rsidRDefault="007A51E0">
            <w:pPr>
              <w:pStyle w:val="TableParagraph"/>
              <w:ind w:right="233"/>
              <w:rPr>
                <w:sz w:val="24"/>
              </w:rPr>
            </w:pPr>
            <w:r>
              <w:rPr>
                <w:sz w:val="24"/>
              </w:rPr>
              <w:t>300.029</w:t>
            </w:r>
          </w:p>
        </w:tc>
        <w:tc>
          <w:tcPr>
            <w:tcW w:w="1750" w:type="dxa"/>
          </w:tcPr>
          <w:p w:rsidR="00B97222" w:rsidRDefault="007A51E0">
            <w:pPr>
              <w:pStyle w:val="TableParagraph"/>
              <w:ind w:left="192" w:right="180"/>
              <w:rPr>
                <w:sz w:val="24"/>
              </w:rPr>
            </w:pPr>
            <w:r>
              <w:rPr>
                <w:sz w:val="24"/>
              </w:rPr>
              <w:t>193.310</w:t>
            </w:r>
          </w:p>
        </w:tc>
        <w:tc>
          <w:tcPr>
            <w:tcW w:w="1227" w:type="dxa"/>
          </w:tcPr>
          <w:p w:rsidR="00B97222" w:rsidRDefault="007A51E0">
            <w:pPr>
              <w:pStyle w:val="TableParagraph"/>
              <w:ind w:left="8"/>
              <w:rPr>
                <w:sz w:val="24"/>
              </w:rPr>
            </w:pPr>
            <w:r>
              <w:rPr>
                <w:sz w:val="24"/>
              </w:rPr>
              <w:t>5</w:t>
            </w:r>
          </w:p>
        </w:tc>
        <w:tc>
          <w:tcPr>
            <w:tcW w:w="1656" w:type="dxa"/>
          </w:tcPr>
          <w:p w:rsidR="00B97222" w:rsidRDefault="007A51E0">
            <w:pPr>
              <w:pStyle w:val="TableParagraph"/>
              <w:ind w:left="307" w:right="296"/>
              <w:rPr>
                <w:sz w:val="24"/>
              </w:rPr>
            </w:pPr>
            <w:r>
              <w:rPr>
                <w:sz w:val="24"/>
              </w:rPr>
              <w:t>661</w:t>
            </w:r>
          </w:p>
        </w:tc>
      </w:tr>
      <w:tr w:rsidR="00B97222" w:rsidTr="00E84BD8">
        <w:trPr>
          <w:trHeight w:val="381"/>
        </w:trPr>
        <w:tc>
          <w:tcPr>
            <w:tcW w:w="1634" w:type="dxa"/>
          </w:tcPr>
          <w:p w:rsidR="00B97222" w:rsidRDefault="007A51E0">
            <w:pPr>
              <w:pStyle w:val="TableParagraph"/>
              <w:ind w:right="237"/>
              <w:rPr>
                <w:sz w:val="24"/>
              </w:rPr>
            </w:pPr>
            <w:r>
              <w:rPr>
                <w:sz w:val="24"/>
              </w:rPr>
              <w:t>2014</w:t>
            </w:r>
          </w:p>
        </w:tc>
        <w:tc>
          <w:tcPr>
            <w:tcW w:w="1637" w:type="dxa"/>
          </w:tcPr>
          <w:p w:rsidR="00B97222" w:rsidRDefault="007A51E0">
            <w:pPr>
              <w:pStyle w:val="TableParagraph"/>
              <w:ind w:left="161" w:right="156"/>
              <w:rPr>
                <w:sz w:val="24"/>
              </w:rPr>
            </w:pPr>
            <w:r>
              <w:rPr>
                <w:sz w:val="24"/>
              </w:rPr>
              <w:t>65</w:t>
            </w:r>
          </w:p>
        </w:tc>
        <w:tc>
          <w:tcPr>
            <w:tcW w:w="1634" w:type="dxa"/>
          </w:tcPr>
          <w:p w:rsidR="00B97222" w:rsidRDefault="007A51E0">
            <w:pPr>
              <w:pStyle w:val="TableParagraph"/>
              <w:ind w:right="233"/>
              <w:rPr>
                <w:sz w:val="24"/>
              </w:rPr>
            </w:pPr>
            <w:r>
              <w:rPr>
                <w:sz w:val="24"/>
              </w:rPr>
              <w:t>326.338</w:t>
            </w:r>
          </w:p>
        </w:tc>
        <w:tc>
          <w:tcPr>
            <w:tcW w:w="1750" w:type="dxa"/>
          </w:tcPr>
          <w:p w:rsidR="00B97222" w:rsidRDefault="007A51E0">
            <w:pPr>
              <w:pStyle w:val="TableParagraph"/>
              <w:ind w:left="192" w:right="180"/>
              <w:rPr>
                <w:sz w:val="24"/>
              </w:rPr>
            </w:pPr>
            <w:r>
              <w:rPr>
                <w:sz w:val="24"/>
              </w:rPr>
              <w:t>202.240</w:t>
            </w:r>
          </w:p>
        </w:tc>
        <w:tc>
          <w:tcPr>
            <w:tcW w:w="1227" w:type="dxa"/>
          </w:tcPr>
          <w:p w:rsidR="00B97222" w:rsidRDefault="007A51E0">
            <w:pPr>
              <w:pStyle w:val="TableParagraph"/>
              <w:ind w:left="111" w:right="103"/>
              <w:rPr>
                <w:sz w:val="24"/>
              </w:rPr>
            </w:pPr>
            <w:r>
              <w:rPr>
                <w:sz w:val="24"/>
              </w:rPr>
              <w:t>14</w:t>
            </w:r>
          </w:p>
        </w:tc>
        <w:tc>
          <w:tcPr>
            <w:tcW w:w="1656" w:type="dxa"/>
          </w:tcPr>
          <w:p w:rsidR="00B97222" w:rsidRDefault="007A51E0">
            <w:pPr>
              <w:pStyle w:val="TableParagraph"/>
              <w:ind w:left="307" w:right="296"/>
              <w:rPr>
                <w:sz w:val="24"/>
              </w:rPr>
            </w:pPr>
            <w:r>
              <w:rPr>
                <w:sz w:val="24"/>
              </w:rPr>
              <w:t>692</w:t>
            </w:r>
          </w:p>
        </w:tc>
      </w:tr>
      <w:tr w:rsidR="00B97222" w:rsidTr="00E84BD8">
        <w:trPr>
          <w:trHeight w:val="383"/>
        </w:trPr>
        <w:tc>
          <w:tcPr>
            <w:tcW w:w="1634" w:type="dxa"/>
          </w:tcPr>
          <w:p w:rsidR="00B97222" w:rsidRDefault="007A51E0">
            <w:pPr>
              <w:pStyle w:val="TableParagraph"/>
              <w:spacing w:before="1" w:line="240" w:lineRule="auto"/>
              <w:ind w:right="237"/>
              <w:rPr>
                <w:sz w:val="24"/>
              </w:rPr>
            </w:pPr>
            <w:r>
              <w:rPr>
                <w:sz w:val="24"/>
              </w:rPr>
              <w:t>2015</w:t>
            </w:r>
          </w:p>
        </w:tc>
        <w:tc>
          <w:tcPr>
            <w:tcW w:w="1637" w:type="dxa"/>
          </w:tcPr>
          <w:p w:rsidR="00B97222" w:rsidRDefault="007A51E0">
            <w:pPr>
              <w:pStyle w:val="TableParagraph"/>
              <w:spacing w:before="1" w:line="240" w:lineRule="auto"/>
              <w:ind w:left="161" w:right="156"/>
              <w:rPr>
                <w:sz w:val="24"/>
              </w:rPr>
            </w:pPr>
            <w:r>
              <w:rPr>
                <w:sz w:val="24"/>
              </w:rPr>
              <w:t>55</w:t>
            </w:r>
          </w:p>
        </w:tc>
        <w:tc>
          <w:tcPr>
            <w:tcW w:w="1634" w:type="dxa"/>
          </w:tcPr>
          <w:p w:rsidR="00B97222" w:rsidRDefault="007A51E0">
            <w:pPr>
              <w:pStyle w:val="TableParagraph"/>
              <w:spacing w:before="1" w:line="240" w:lineRule="auto"/>
              <w:ind w:right="233"/>
              <w:rPr>
                <w:sz w:val="24"/>
              </w:rPr>
            </w:pPr>
            <w:r>
              <w:rPr>
                <w:sz w:val="24"/>
              </w:rPr>
              <w:t>306.836</w:t>
            </w:r>
          </w:p>
        </w:tc>
        <w:tc>
          <w:tcPr>
            <w:tcW w:w="1750" w:type="dxa"/>
          </w:tcPr>
          <w:p w:rsidR="00B97222" w:rsidRDefault="007A51E0">
            <w:pPr>
              <w:pStyle w:val="TableParagraph"/>
              <w:spacing w:before="1" w:line="240" w:lineRule="auto"/>
              <w:ind w:left="192" w:right="180"/>
              <w:rPr>
                <w:sz w:val="24"/>
              </w:rPr>
            </w:pPr>
            <w:r>
              <w:rPr>
                <w:sz w:val="24"/>
              </w:rPr>
              <w:t>196.223</w:t>
            </w:r>
          </w:p>
        </w:tc>
        <w:tc>
          <w:tcPr>
            <w:tcW w:w="1227" w:type="dxa"/>
          </w:tcPr>
          <w:p w:rsidR="00B97222" w:rsidRDefault="007A51E0">
            <w:pPr>
              <w:pStyle w:val="TableParagraph"/>
              <w:spacing w:before="1" w:line="240" w:lineRule="auto"/>
              <w:ind w:left="8"/>
              <w:rPr>
                <w:sz w:val="24"/>
              </w:rPr>
            </w:pPr>
            <w:r>
              <w:rPr>
                <w:sz w:val="24"/>
              </w:rPr>
              <w:t>1</w:t>
            </w:r>
          </w:p>
        </w:tc>
        <w:tc>
          <w:tcPr>
            <w:tcW w:w="1656" w:type="dxa"/>
          </w:tcPr>
          <w:p w:rsidR="00B97222" w:rsidRDefault="007A51E0">
            <w:pPr>
              <w:pStyle w:val="TableParagraph"/>
              <w:spacing w:before="1" w:line="240" w:lineRule="auto"/>
              <w:ind w:left="307" w:right="296"/>
              <w:rPr>
                <w:sz w:val="24"/>
              </w:rPr>
            </w:pPr>
            <w:r>
              <w:rPr>
                <w:sz w:val="24"/>
              </w:rPr>
              <w:t>695</w:t>
            </w:r>
          </w:p>
        </w:tc>
      </w:tr>
      <w:tr w:rsidR="00B97222" w:rsidTr="00E84BD8">
        <w:trPr>
          <w:trHeight w:val="381"/>
        </w:trPr>
        <w:tc>
          <w:tcPr>
            <w:tcW w:w="1634" w:type="dxa"/>
          </w:tcPr>
          <w:p w:rsidR="00B97222" w:rsidRDefault="007A51E0">
            <w:pPr>
              <w:pStyle w:val="TableParagraph"/>
              <w:ind w:right="237"/>
              <w:rPr>
                <w:sz w:val="24"/>
              </w:rPr>
            </w:pPr>
            <w:r>
              <w:rPr>
                <w:sz w:val="24"/>
              </w:rPr>
              <w:t>2016</w:t>
            </w:r>
          </w:p>
        </w:tc>
        <w:tc>
          <w:tcPr>
            <w:tcW w:w="1637" w:type="dxa"/>
          </w:tcPr>
          <w:p w:rsidR="00B97222" w:rsidRDefault="007A51E0">
            <w:pPr>
              <w:pStyle w:val="TableParagraph"/>
              <w:ind w:left="161" w:right="156"/>
              <w:rPr>
                <w:sz w:val="24"/>
              </w:rPr>
            </w:pPr>
            <w:r>
              <w:rPr>
                <w:sz w:val="24"/>
              </w:rPr>
              <w:t>51</w:t>
            </w:r>
          </w:p>
        </w:tc>
        <w:tc>
          <w:tcPr>
            <w:tcW w:w="1634" w:type="dxa"/>
          </w:tcPr>
          <w:p w:rsidR="00B97222" w:rsidRDefault="007A51E0">
            <w:pPr>
              <w:pStyle w:val="TableParagraph"/>
              <w:ind w:right="233"/>
              <w:rPr>
                <w:sz w:val="24"/>
              </w:rPr>
            </w:pPr>
            <w:r>
              <w:rPr>
                <w:sz w:val="24"/>
              </w:rPr>
              <w:t>367.176</w:t>
            </w:r>
          </w:p>
        </w:tc>
        <w:tc>
          <w:tcPr>
            <w:tcW w:w="1750" w:type="dxa"/>
          </w:tcPr>
          <w:p w:rsidR="00B97222" w:rsidRDefault="007A51E0">
            <w:pPr>
              <w:pStyle w:val="TableParagraph"/>
              <w:ind w:left="192" w:right="180"/>
              <w:rPr>
                <w:sz w:val="24"/>
              </w:rPr>
            </w:pPr>
            <w:r>
              <w:rPr>
                <w:sz w:val="24"/>
              </w:rPr>
              <w:t>210.160</w:t>
            </w:r>
          </w:p>
        </w:tc>
        <w:tc>
          <w:tcPr>
            <w:tcW w:w="1227" w:type="dxa"/>
          </w:tcPr>
          <w:p w:rsidR="00B97222" w:rsidRDefault="007A51E0">
            <w:pPr>
              <w:pStyle w:val="TableParagraph"/>
              <w:ind w:left="111" w:right="103"/>
              <w:rPr>
                <w:sz w:val="24"/>
              </w:rPr>
            </w:pPr>
            <w:r>
              <w:rPr>
                <w:sz w:val="24"/>
              </w:rPr>
              <w:t>20</w:t>
            </w:r>
          </w:p>
        </w:tc>
        <w:tc>
          <w:tcPr>
            <w:tcW w:w="1656" w:type="dxa"/>
          </w:tcPr>
          <w:p w:rsidR="00B97222" w:rsidRDefault="007A51E0">
            <w:pPr>
              <w:pStyle w:val="TableParagraph"/>
              <w:ind w:left="307" w:right="296"/>
              <w:rPr>
                <w:sz w:val="24"/>
              </w:rPr>
            </w:pPr>
            <w:r>
              <w:rPr>
                <w:sz w:val="24"/>
              </w:rPr>
              <w:t>693</w:t>
            </w:r>
          </w:p>
        </w:tc>
      </w:tr>
      <w:tr w:rsidR="0063508B" w:rsidTr="00E84BD8">
        <w:trPr>
          <w:trHeight w:val="381"/>
        </w:trPr>
        <w:tc>
          <w:tcPr>
            <w:tcW w:w="1634" w:type="dxa"/>
          </w:tcPr>
          <w:p w:rsidR="0063508B" w:rsidRDefault="0063508B" w:rsidP="0063508B">
            <w:pPr>
              <w:pStyle w:val="TableParagraph"/>
              <w:ind w:right="237"/>
              <w:rPr>
                <w:sz w:val="24"/>
              </w:rPr>
            </w:pPr>
            <w:r>
              <w:rPr>
                <w:sz w:val="24"/>
              </w:rPr>
              <w:t>2017</w:t>
            </w:r>
          </w:p>
        </w:tc>
        <w:tc>
          <w:tcPr>
            <w:tcW w:w="1637" w:type="dxa"/>
          </w:tcPr>
          <w:p w:rsidR="0063508B" w:rsidRDefault="0063508B" w:rsidP="0063508B">
            <w:pPr>
              <w:pStyle w:val="TableParagraph"/>
              <w:ind w:left="161" w:right="156"/>
              <w:rPr>
                <w:sz w:val="24"/>
              </w:rPr>
            </w:pPr>
            <w:r>
              <w:rPr>
                <w:sz w:val="24"/>
              </w:rPr>
              <w:t>52</w:t>
            </w:r>
          </w:p>
        </w:tc>
        <w:tc>
          <w:tcPr>
            <w:tcW w:w="1634" w:type="dxa"/>
          </w:tcPr>
          <w:p w:rsidR="0063508B" w:rsidRDefault="0063508B" w:rsidP="0063508B">
            <w:pPr>
              <w:pStyle w:val="TableParagraph"/>
              <w:ind w:right="233"/>
              <w:rPr>
                <w:sz w:val="24"/>
              </w:rPr>
            </w:pPr>
            <w:r>
              <w:rPr>
                <w:sz w:val="24"/>
              </w:rPr>
              <w:t>385.173</w:t>
            </w:r>
          </w:p>
        </w:tc>
        <w:tc>
          <w:tcPr>
            <w:tcW w:w="1750" w:type="dxa"/>
          </w:tcPr>
          <w:p w:rsidR="0063508B" w:rsidRDefault="0063508B" w:rsidP="0063508B">
            <w:pPr>
              <w:pStyle w:val="TableParagraph"/>
              <w:ind w:left="192" w:right="180"/>
              <w:rPr>
                <w:sz w:val="24"/>
              </w:rPr>
            </w:pPr>
            <w:r>
              <w:rPr>
                <w:sz w:val="24"/>
              </w:rPr>
              <w:t>178.833</w:t>
            </w:r>
          </w:p>
        </w:tc>
        <w:tc>
          <w:tcPr>
            <w:tcW w:w="1227" w:type="dxa"/>
          </w:tcPr>
          <w:p w:rsidR="0063508B" w:rsidRDefault="0063508B" w:rsidP="0063508B">
            <w:pPr>
              <w:pStyle w:val="TableParagraph"/>
              <w:ind w:left="111" w:right="103"/>
              <w:rPr>
                <w:sz w:val="24"/>
              </w:rPr>
            </w:pPr>
            <w:r>
              <w:rPr>
                <w:sz w:val="24"/>
              </w:rPr>
              <w:t>105</w:t>
            </w:r>
          </w:p>
        </w:tc>
        <w:tc>
          <w:tcPr>
            <w:tcW w:w="1656" w:type="dxa"/>
          </w:tcPr>
          <w:p w:rsidR="0063508B" w:rsidRDefault="0063508B" w:rsidP="0063508B">
            <w:pPr>
              <w:pStyle w:val="TableParagraph"/>
              <w:ind w:left="307" w:right="296"/>
              <w:rPr>
                <w:sz w:val="24"/>
              </w:rPr>
            </w:pPr>
            <w:r>
              <w:rPr>
                <w:sz w:val="24"/>
              </w:rPr>
              <w:t>690</w:t>
            </w:r>
          </w:p>
        </w:tc>
      </w:tr>
      <w:tr w:rsidR="0063508B" w:rsidTr="00E84BD8">
        <w:trPr>
          <w:trHeight w:val="381"/>
        </w:trPr>
        <w:tc>
          <w:tcPr>
            <w:tcW w:w="1634" w:type="dxa"/>
          </w:tcPr>
          <w:p w:rsidR="0063508B" w:rsidRDefault="0063508B" w:rsidP="0063508B">
            <w:pPr>
              <w:pStyle w:val="TableParagraph"/>
              <w:ind w:right="237"/>
              <w:rPr>
                <w:sz w:val="24"/>
              </w:rPr>
            </w:pPr>
            <w:r>
              <w:rPr>
                <w:sz w:val="24"/>
              </w:rPr>
              <w:t>2018</w:t>
            </w:r>
          </w:p>
        </w:tc>
        <w:tc>
          <w:tcPr>
            <w:tcW w:w="1637" w:type="dxa"/>
          </w:tcPr>
          <w:p w:rsidR="0063508B" w:rsidRDefault="0063508B" w:rsidP="0063508B">
            <w:pPr>
              <w:pStyle w:val="TableParagraph"/>
              <w:ind w:left="161" w:right="156"/>
              <w:rPr>
                <w:sz w:val="24"/>
              </w:rPr>
            </w:pPr>
            <w:r>
              <w:rPr>
                <w:sz w:val="24"/>
              </w:rPr>
              <w:t>56</w:t>
            </w:r>
          </w:p>
        </w:tc>
        <w:tc>
          <w:tcPr>
            <w:tcW w:w="1634" w:type="dxa"/>
          </w:tcPr>
          <w:p w:rsidR="0063508B" w:rsidRDefault="0063508B" w:rsidP="0063508B">
            <w:pPr>
              <w:pStyle w:val="TableParagraph"/>
              <w:ind w:right="233"/>
              <w:rPr>
                <w:sz w:val="24"/>
              </w:rPr>
            </w:pPr>
            <w:r>
              <w:rPr>
                <w:sz w:val="24"/>
              </w:rPr>
              <w:t>400.214</w:t>
            </w:r>
          </w:p>
        </w:tc>
        <w:tc>
          <w:tcPr>
            <w:tcW w:w="1750" w:type="dxa"/>
          </w:tcPr>
          <w:p w:rsidR="0063508B" w:rsidRDefault="0063508B" w:rsidP="0063508B">
            <w:pPr>
              <w:pStyle w:val="TableParagraph"/>
              <w:ind w:left="192" w:right="180"/>
              <w:rPr>
                <w:sz w:val="24"/>
              </w:rPr>
            </w:pPr>
            <w:r>
              <w:rPr>
                <w:sz w:val="24"/>
              </w:rPr>
              <w:t>179.693</w:t>
            </w:r>
          </w:p>
        </w:tc>
        <w:tc>
          <w:tcPr>
            <w:tcW w:w="1227" w:type="dxa"/>
          </w:tcPr>
          <w:p w:rsidR="0063508B" w:rsidRDefault="0063508B" w:rsidP="0063508B">
            <w:pPr>
              <w:pStyle w:val="TableParagraph"/>
              <w:ind w:left="111" w:right="103"/>
              <w:rPr>
                <w:sz w:val="24"/>
              </w:rPr>
            </w:pPr>
            <w:r>
              <w:rPr>
                <w:sz w:val="24"/>
              </w:rPr>
              <w:t>116</w:t>
            </w:r>
          </w:p>
        </w:tc>
        <w:tc>
          <w:tcPr>
            <w:tcW w:w="1656" w:type="dxa"/>
          </w:tcPr>
          <w:p w:rsidR="0063508B" w:rsidRDefault="0063508B" w:rsidP="0063508B">
            <w:pPr>
              <w:pStyle w:val="TableParagraph"/>
              <w:ind w:left="307" w:right="296"/>
              <w:rPr>
                <w:sz w:val="24"/>
              </w:rPr>
            </w:pPr>
            <w:r>
              <w:rPr>
                <w:sz w:val="24"/>
              </w:rPr>
              <w:t>678</w:t>
            </w:r>
          </w:p>
        </w:tc>
      </w:tr>
    </w:tbl>
    <w:p w:rsidR="00B97222" w:rsidRDefault="00B97222">
      <w:pPr>
        <w:rPr>
          <w:sz w:val="24"/>
        </w:rPr>
        <w:sectPr w:rsidR="00B97222" w:rsidSect="00E84BD8">
          <w:type w:val="continuous"/>
          <w:pgSz w:w="12240" w:h="15840"/>
          <w:pgMar w:top="1440" w:right="1440" w:bottom="1440" w:left="1440" w:header="720" w:footer="720" w:gutter="0"/>
          <w:cols w:space="720"/>
        </w:sectPr>
      </w:pPr>
    </w:p>
    <w:p w:rsidR="00B97222" w:rsidRDefault="00B97222">
      <w:pPr>
        <w:pStyle w:val="BodyText"/>
        <w:spacing w:before="8"/>
        <w:rPr>
          <w:sz w:val="7"/>
        </w:rPr>
      </w:pPr>
    </w:p>
    <w:p w:rsidR="00B97222" w:rsidRDefault="007A51E0">
      <w:pPr>
        <w:pStyle w:val="BodyText"/>
        <w:spacing w:before="90"/>
        <w:ind w:left="1423" w:right="1349"/>
        <w:jc w:val="center"/>
      </w:pPr>
      <w:r>
        <w:rPr>
          <w:u w:val="single"/>
        </w:rPr>
        <w:lastRenderedPageBreak/>
        <w:t>Table 4: Summary Statistics of Dependent Variable, Emission, by Department</w:t>
      </w:r>
    </w:p>
    <w:p w:rsidR="00B97222" w:rsidRDefault="00B97222">
      <w:pPr>
        <w:pStyle w:val="BodyText"/>
        <w:spacing w:before="9"/>
        <w:rPr>
          <w:sz w:val="15"/>
        </w:rPr>
      </w:pPr>
    </w:p>
    <w:tbl>
      <w:tblPr>
        <w:tblW w:w="101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9"/>
        <w:gridCol w:w="1484"/>
        <w:gridCol w:w="1415"/>
        <w:gridCol w:w="1549"/>
        <w:gridCol w:w="1322"/>
        <w:gridCol w:w="1350"/>
      </w:tblGrid>
      <w:tr w:rsidR="00B97222" w:rsidTr="00E84BD8">
        <w:trPr>
          <w:trHeight w:val="275"/>
        </w:trPr>
        <w:tc>
          <w:tcPr>
            <w:tcW w:w="2999" w:type="dxa"/>
          </w:tcPr>
          <w:p w:rsidR="00B97222" w:rsidRDefault="007A51E0">
            <w:pPr>
              <w:pStyle w:val="TableParagraph"/>
              <w:spacing w:line="256" w:lineRule="exact"/>
              <w:ind w:left="931"/>
              <w:jc w:val="left"/>
              <w:rPr>
                <w:sz w:val="24"/>
              </w:rPr>
            </w:pPr>
            <w:r>
              <w:rPr>
                <w:sz w:val="24"/>
              </w:rPr>
              <w:t>Department</w:t>
            </w:r>
          </w:p>
        </w:tc>
        <w:tc>
          <w:tcPr>
            <w:tcW w:w="1484" w:type="dxa"/>
          </w:tcPr>
          <w:p w:rsidR="00B97222" w:rsidRDefault="007A51E0">
            <w:pPr>
              <w:pStyle w:val="TableParagraph"/>
              <w:spacing w:line="256" w:lineRule="exact"/>
              <w:ind w:left="86" w:right="81"/>
              <w:rPr>
                <w:sz w:val="24"/>
              </w:rPr>
            </w:pPr>
            <w:r>
              <w:rPr>
                <w:sz w:val="24"/>
              </w:rPr>
              <w:t>Observations</w:t>
            </w:r>
          </w:p>
        </w:tc>
        <w:tc>
          <w:tcPr>
            <w:tcW w:w="1415" w:type="dxa"/>
          </w:tcPr>
          <w:p w:rsidR="00B97222" w:rsidRDefault="007A51E0">
            <w:pPr>
              <w:pStyle w:val="TableParagraph"/>
              <w:spacing w:line="256" w:lineRule="exact"/>
              <w:ind w:left="290" w:right="290"/>
              <w:rPr>
                <w:sz w:val="24"/>
              </w:rPr>
            </w:pPr>
            <w:r>
              <w:rPr>
                <w:sz w:val="24"/>
              </w:rPr>
              <w:t>Mean</w:t>
            </w:r>
          </w:p>
        </w:tc>
        <w:tc>
          <w:tcPr>
            <w:tcW w:w="1549" w:type="dxa"/>
          </w:tcPr>
          <w:p w:rsidR="00B97222" w:rsidRDefault="007A51E0">
            <w:pPr>
              <w:pStyle w:val="TableParagraph"/>
              <w:spacing w:line="256" w:lineRule="exact"/>
              <w:ind w:left="87" w:right="84"/>
              <w:rPr>
                <w:sz w:val="24"/>
              </w:rPr>
            </w:pPr>
            <w:proofErr w:type="spellStart"/>
            <w:r>
              <w:rPr>
                <w:sz w:val="24"/>
              </w:rPr>
              <w:t>Std</w:t>
            </w:r>
            <w:proofErr w:type="spellEnd"/>
            <w:r>
              <w:rPr>
                <w:sz w:val="24"/>
              </w:rPr>
              <w:t xml:space="preserve"> Deviation</w:t>
            </w:r>
          </w:p>
        </w:tc>
        <w:tc>
          <w:tcPr>
            <w:tcW w:w="1322" w:type="dxa"/>
          </w:tcPr>
          <w:p w:rsidR="00B97222" w:rsidRDefault="007A51E0">
            <w:pPr>
              <w:pStyle w:val="TableParagraph"/>
              <w:spacing w:line="256" w:lineRule="exact"/>
              <w:ind w:left="155" w:right="155"/>
              <w:rPr>
                <w:sz w:val="24"/>
              </w:rPr>
            </w:pPr>
            <w:r>
              <w:rPr>
                <w:sz w:val="24"/>
              </w:rPr>
              <w:t>Minimum</w:t>
            </w:r>
          </w:p>
        </w:tc>
        <w:tc>
          <w:tcPr>
            <w:tcW w:w="1350" w:type="dxa"/>
          </w:tcPr>
          <w:p w:rsidR="00B97222" w:rsidRDefault="007A51E0">
            <w:pPr>
              <w:pStyle w:val="TableParagraph"/>
              <w:spacing w:line="256" w:lineRule="exact"/>
              <w:ind w:left="147" w:right="153"/>
              <w:rPr>
                <w:sz w:val="24"/>
              </w:rPr>
            </w:pPr>
            <w:r>
              <w:rPr>
                <w:sz w:val="24"/>
              </w:rPr>
              <w:t>Maximum</w:t>
            </w:r>
          </w:p>
        </w:tc>
      </w:tr>
      <w:tr w:rsidR="00B97222" w:rsidTr="00E84BD8">
        <w:trPr>
          <w:trHeight w:val="369"/>
        </w:trPr>
        <w:tc>
          <w:tcPr>
            <w:tcW w:w="2999" w:type="dxa"/>
          </w:tcPr>
          <w:p w:rsidR="00B97222" w:rsidRDefault="007A51E0">
            <w:pPr>
              <w:pStyle w:val="TableParagraph"/>
              <w:ind w:left="1116" w:right="1112"/>
              <w:rPr>
                <w:sz w:val="24"/>
              </w:rPr>
            </w:pPr>
            <w:r>
              <w:rPr>
                <w:sz w:val="24"/>
              </w:rPr>
              <w:t>Library</w:t>
            </w:r>
          </w:p>
        </w:tc>
        <w:tc>
          <w:tcPr>
            <w:tcW w:w="1484" w:type="dxa"/>
          </w:tcPr>
          <w:p w:rsidR="00B97222" w:rsidRDefault="007A51E0">
            <w:pPr>
              <w:pStyle w:val="TableParagraph"/>
              <w:ind w:left="86" w:right="78"/>
              <w:rPr>
                <w:sz w:val="24"/>
              </w:rPr>
            </w:pPr>
            <w:r>
              <w:rPr>
                <w:sz w:val="24"/>
              </w:rPr>
              <w:t>61</w:t>
            </w:r>
          </w:p>
        </w:tc>
        <w:tc>
          <w:tcPr>
            <w:tcW w:w="1415" w:type="dxa"/>
          </w:tcPr>
          <w:p w:rsidR="00B97222" w:rsidRDefault="007A51E0">
            <w:pPr>
              <w:pStyle w:val="TableParagraph"/>
              <w:ind w:left="295" w:right="290"/>
              <w:rPr>
                <w:sz w:val="24"/>
              </w:rPr>
            </w:pPr>
            <w:r>
              <w:rPr>
                <w:sz w:val="24"/>
              </w:rPr>
              <w:t>454.475</w:t>
            </w:r>
          </w:p>
        </w:tc>
        <w:tc>
          <w:tcPr>
            <w:tcW w:w="1549" w:type="dxa"/>
          </w:tcPr>
          <w:p w:rsidR="00B97222" w:rsidRDefault="007A51E0">
            <w:pPr>
              <w:pStyle w:val="TableParagraph"/>
              <w:ind w:left="87" w:right="83"/>
              <w:rPr>
                <w:sz w:val="24"/>
              </w:rPr>
            </w:pPr>
            <w:r>
              <w:rPr>
                <w:sz w:val="24"/>
              </w:rPr>
              <w:t>170.744</w:t>
            </w:r>
          </w:p>
        </w:tc>
        <w:tc>
          <w:tcPr>
            <w:tcW w:w="1322" w:type="dxa"/>
          </w:tcPr>
          <w:p w:rsidR="00B97222" w:rsidRDefault="007A51E0">
            <w:pPr>
              <w:pStyle w:val="TableParagraph"/>
              <w:ind w:left="155" w:right="155"/>
              <w:rPr>
                <w:sz w:val="24"/>
              </w:rPr>
            </w:pPr>
            <w:r>
              <w:rPr>
                <w:sz w:val="24"/>
              </w:rPr>
              <w:t>43</w:t>
            </w:r>
          </w:p>
        </w:tc>
        <w:tc>
          <w:tcPr>
            <w:tcW w:w="1350" w:type="dxa"/>
          </w:tcPr>
          <w:p w:rsidR="00B97222" w:rsidRDefault="007A51E0">
            <w:pPr>
              <w:pStyle w:val="TableParagraph"/>
              <w:ind w:left="147" w:right="150"/>
              <w:rPr>
                <w:sz w:val="24"/>
              </w:rPr>
            </w:pPr>
            <w:r>
              <w:rPr>
                <w:sz w:val="24"/>
              </w:rPr>
              <w:t>686</w:t>
            </w:r>
          </w:p>
        </w:tc>
      </w:tr>
      <w:tr w:rsidR="00B97222" w:rsidTr="00E84BD8">
        <w:trPr>
          <w:trHeight w:val="275"/>
        </w:trPr>
        <w:tc>
          <w:tcPr>
            <w:tcW w:w="2999" w:type="dxa"/>
          </w:tcPr>
          <w:p w:rsidR="00B97222" w:rsidRDefault="007A51E0">
            <w:pPr>
              <w:pStyle w:val="TableParagraph"/>
              <w:spacing w:line="256" w:lineRule="exact"/>
              <w:ind w:left="0" w:right="401"/>
              <w:jc w:val="right"/>
              <w:rPr>
                <w:sz w:val="24"/>
              </w:rPr>
            </w:pPr>
            <w:r>
              <w:rPr>
                <w:sz w:val="24"/>
              </w:rPr>
              <w:t>Boston Public Schools</w:t>
            </w:r>
          </w:p>
        </w:tc>
        <w:tc>
          <w:tcPr>
            <w:tcW w:w="1484" w:type="dxa"/>
          </w:tcPr>
          <w:p w:rsidR="00B97222" w:rsidRDefault="007A51E0">
            <w:pPr>
              <w:pStyle w:val="TableParagraph"/>
              <w:spacing w:line="256" w:lineRule="exact"/>
              <w:ind w:left="86" w:right="78"/>
              <w:rPr>
                <w:sz w:val="24"/>
              </w:rPr>
            </w:pPr>
            <w:r>
              <w:rPr>
                <w:sz w:val="24"/>
              </w:rPr>
              <w:t>70</w:t>
            </w:r>
          </w:p>
        </w:tc>
        <w:tc>
          <w:tcPr>
            <w:tcW w:w="1415" w:type="dxa"/>
          </w:tcPr>
          <w:p w:rsidR="00B97222" w:rsidRDefault="007A51E0">
            <w:pPr>
              <w:pStyle w:val="TableParagraph"/>
              <w:spacing w:line="256" w:lineRule="exact"/>
              <w:ind w:left="295" w:right="290"/>
              <w:rPr>
                <w:sz w:val="24"/>
              </w:rPr>
            </w:pPr>
            <w:r>
              <w:rPr>
                <w:sz w:val="24"/>
              </w:rPr>
              <w:t>330.129</w:t>
            </w:r>
          </w:p>
        </w:tc>
        <w:tc>
          <w:tcPr>
            <w:tcW w:w="1549" w:type="dxa"/>
          </w:tcPr>
          <w:p w:rsidR="00B97222" w:rsidRDefault="007A51E0">
            <w:pPr>
              <w:pStyle w:val="TableParagraph"/>
              <w:spacing w:line="256" w:lineRule="exact"/>
              <w:ind w:left="87" w:right="83"/>
              <w:rPr>
                <w:sz w:val="24"/>
              </w:rPr>
            </w:pPr>
            <w:r>
              <w:rPr>
                <w:sz w:val="24"/>
              </w:rPr>
              <w:t>155.148</w:t>
            </w:r>
          </w:p>
        </w:tc>
        <w:tc>
          <w:tcPr>
            <w:tcW w:w="1322" w:type="dxa"/>
          </w:tcPr>
          <w:p w:rsidR="00B97222" w:rsidRDefault="007A51E0">
            <w:pPr>
              <w:pStyle w:val="TableParagraph"/>
              <w:spacing w:line="256" w:lineRule="exact"/>
              <w:ind w:left="155" w:right="155"/>
              <w:rPr>
                <w:sz w:val="24"/>
              </w:rPr>
            </w:pPr>
            <w:r>
              <w:rPr>
                <w:sz w:val="24"/>
              </w:rPr>
              <w:t>53</w:t>
            </w:r>
          </w:p>
        </w:tc>
        <w:tc>
          <w:tcPr>
            <w:tcW w:w="1350" w:type="dxa"/>
          </w:tcPr>
          <w:p w:rsidR="00B97222" w:rsidRDefault="007A51E0">
            <w:pPr>
              <w:pStyle w:val="TableParagraph"/>
              <w:spacing w:line="256" w:lineRule="exact"/>
              <w:ind w:left="147" w:right="150"/>
              <w:rPr>
                <w:sz w:val="24"/>
              </w:rPr>
            </w:pPr>
            <w:r>
              <w:rPr>
                <w:sz w:val="24"/>
              </w:rPr>
              <w:t>682</w:t>
            </w:r>
          </w:p>
        </w:tc>
      </w:tr>
      <w:tr w:rsidR="00B97222" w:rsidTr="00E84BD8">
        <w:trPr>
          <w:trHeight w:val="376"/>
        </w:trPr>
        <w:tc>
          <w:tcPr>
            <w:tcW w:w="2999" w:type="dxa"/>
          </w:tcPr>
          <w:p w:rsidR="00B97222" w:rsidRDefault="007A51E0">
            <w:pPr>
              <w:pStyle w:val="TableParagraph"/>
              <w:ind w:left="1116" w:right="1109"/>
              <w:rPr>
                <w:sz w:val="24"/>
              </w:rPr>
            </w:pPr>
            <w:r>
              <w:rPr>
                <w:sz w:val="24"/>
              </w:rPr>
              <w:t>Fire</w:t>
            </w:r>
          </w:p>
        </w:tc>
        <w:tc>
          <w:tcPr>
            <w:tcW w:w="1484" w:type="dxa"/>
          </w:tcPr>
          <w:p w:rsidR="00B97222" w:rsidRDefault="007A51E0">
            <w:pPr>
              <w:pStyle w:val="TableParagraph"/>
              <w:ind w:left="86" w:right="78"/>
              <w:rPr>
                <w:sz w:val="24"/>
              </w:rPr>
            </w:pPr>
            <w:r>
              <w:rPr>
                <w:sz w:val="24"/>
              </w:rPr>
              <w:t>70</w:t>
            </w:r>
          </w:p>
        </w:tc>
        <w:tc>
          <w:tcPr>
            <w:tcW w:w="1415" w:type="dxa"/>
          </w:tcPr>
          <w:p w:rsidR="00B97222" w:rsidRDefault="007A51E0">
            <w:pPr>
              <w:pStyle w:val="TableParagraph"/>
              <w:ind w:left="295" w:right="290"/>
              <w:rPr>
                <w:sz w:val="24"/>
              </w:rPr>
            </w:pPr>
            <w:r>
              <w:rPr>
                <w:sz w:val="24"/>
              </w:rPr>
              <w:t>292.043</w:t>
            </w:r>
          </w:p>
        </w:tc>
        <w:tc>
          <w:tcPr>
            <w:tcW w:w="1549" w:type="dxa"/>
          </w:tcPr>
          <w:p w:rsidR="00B97222" w:rsidRDefault="007A51E0">
            <w:pPr>
              <w:pStyle w:val="TableParagraph"/>
              <w:ind w:left="87" w:right="83"/>
              <w:rPr>
                <w:sz w:val="24"/>
              </w:rPr>
            </w:pPr>
            <w:r>
              <w:rPr>
                <w:sz w:val="24"/>
              </w:rPr>
              <w:t>173.793</w:t>
            </w:r>
          </w:p>
        </w:tc>
        <w:tc>
          <w:tcPr>
            <w:tcW w:w="1322" w:type="dxa"/>
          </w:tcPr>
          <w:p w:rsidR="00B97222" w:rsidRDefault="007A51E0">
            <w:pPr>
              <w:pStyle w:val="TableParagraph"/>
              <w:ind w:left="0"/>
              <w:rPr>
                <w:sz w:val="24"/>
              </w:rPr>
            </w:pPr>
            <w:r>
              <w:rPr>
                <w:sz w:val="24"/>
              </w:rPr>
              <w:t>3</w:t>
            </w:r>
          </w:p>
        </w:tc>
        <w:tc>
          <w:tcPr>
            <w:tcW w:w="1350" w:type="dxa"/>
          </w:tcPr>
          <w:p w:rsidR="00B97222" w:rsidRDefault="007A51E0">
            <w:pPr>
              <w:pStyle w:val="TableParagraph"/>
              <w:ind w:left="147" w:right="150"/>
              <w:rPr>
                <w:sz w:val="24"/>
              </w:rPr>
            </w:pPr>
            <w:r>
              <w:rPr>
                <w:sz w:val="24"/>
              </w:rPr>
              <w:t>662</w:t>
            </w:r>
          </w:p>
        </w:tc>
      </w:tr>
      <w:tr w:rsidR="00B97222" w:rsidTr="00E84BD8">
        <w:trPr>
          <w:trHeight w:val="383"/>
        </w:trPr>
        <w:tc>
          <w:tcPr>
            <w:tcW w:w="2999" w:type="dxa"/>
          </w:tcPr>
          <w:p w:rsidR="00B97222" w:rsidRDefault="007A51E0">
            <w:pPr>
              <w:pStyle w:val="TableParagraph"/>
              <w:ind w:left="0" w:right="472"/>
              <w:jc w:val="right"/>
              <w:rPr>
                <w:sz w:val="24"/>
              </w:rPr>
            </w:pPr>
            <w:r>
              <w:rPr>
                <w:sz w:val="24"/>
              </w:rPr>
              <w:t>Parks and Recreation</w:t>
            </w:r>
          </w:p>
        </w:tc>
        <w:tc>
          <w:tcPr>
            <w:tcW w:w="1484" w:type="dxa"/>
          </w:tcPr>
          <w:p w:rsidR="00B97222" w:rsidRDefault="007A51E0">
            <w:pPr>
              <w:pStyle w:val="TableParagraph"/>
              <w:ind w:left="86" w:right="78"/>
              <w:rPr>
                <w:sz w:val="24"/>
              </w:rPr>
            </w:pPr>
            <w:r>
              <w:rPr>
                <w:sz w:val="24"/>
              </w:rPr>
              <w:t>71</w:t>
            </w:r>
          </w:p>
        </w:tc>
        <w:tc>
          <w:tcPr>
            <w:tcW w:w="1415" w:type="dxa"/>
          </w:tcPr>
          <w:p w:rsidR="00B97222" w:rsidRDefault="007A51E0">
            <w:pPr>
              <w:pStyle w:val="TableParagraph"/>
              <w:ind w:left="295" w:right="290"/>
              <w:rPr>
                <w:sz w:val="24"/>
              </w:rPr>
            </w:pPr>
            <w:r>
              <w:rPr>
                <w:sz w:val="24"/>
              </w:rPr>
              <w:t>372.775</w:t>
            </w:r>
          </w:p>
        </w:tc>
        <w:tc>
          <w:tcPr>
            <w:tcW w:w="1549" w:type="dxa"/>
          </w:tcPr>
          <w:p w:rsidR="00B97222" w:rsidRDefault="007A51E0">
            <w:pPr>
              <w:pStyle w:val="TableParagraph"/>
              <w:ind w:left="87" w:right="83"/>
              <w:rPr>
                <w:sz w:val="24"/>
              </w:rPr>
            </w:pPr>
            <w:r>
              <w:rPr>
                <w:sz w:val="24"/>
              </w:rPr>
              <w:t>186.345</w:t>
            </w:r>
          </w:p>
        </w:tc>
        <w:tc>
          <w:tcPr>
            <w:tcW w:w="1322" w:type="dxa"/>
          </w:tcPr>
          <w:p w:rsidR="00B97222" w:rsidRDefault="007A51E0">
            <w:pPr>
              <w:pStyle w:val="TableParagraph"/>
              <w:ind w:left="0"/>
              <w:rPr>
                <w:sz w:val="24"/>
              </w:rPr>
            </w:pPr>
            <w:r>
              <w:rPr>
                <w:sz w:val="24"/>
              </w:rPr>
              <w:t>2</w:t>
            </w:r>
          </w:p>
        </w:tc>
        <w:tc>
          <w:tcPr>
            <w:tcW w:w="1350" w:type="dxa"/>
          </w:tcPr>
          <w:p w:rsidR="00B97222" w:rsidRDefault="007A51E0">
            <w:pPr>
              <w:pStyle w:val="TableParagraph"/>
              <w:ind w:left="147" w:right="150"/>
              <w:rPr>
                <w:sz w:val="24"/>
              </w:rPr>
            </w:pPr>
            <w:r>
              <w:rPr>
                <w:sz w:val="24"/>
              </w:rPr>
              <w:t>691</w:t>
            </w:r>
          </w:p>
        </w:tc>
      </w:tr>
      <w:tr w:rsidR="00B97222" w:rsidTr="00E84BD8">
        <w:trPr>
          <w:trHeight w:val="369"/>
        </w:trPr>
        <w:tc>
          <w:tcPr>
            <w:tcW w:w="2999" w:type="dxa"/>
          </w:tcPr>
          <w:p w:rsidR="00B97222" w:rsidRDefault="007A51E0">
            <w:pPr>
              <w:pStyle w:val="TableParagraph"/>
              <w:ind w:left="1116" w:right="1110"/>
              <w:rPr>
                <w:sz w:val="24"/>
              </w:rPr>
            </w:pPr>
            <w:r>
              <w:rPr>
                <w:sz w:val="24"/>
              </w:rPr>
              <w:t>Police</w:t>
            </w:r>
          </w:p>
        </w:tc>
        <w:tc>
          <w:tcPr>
            <w:tcW w:w="1484" w:type="dxa"/>
          </w:tcPr>
          <w:p w:rsidR="00B97222" w:rsidRDefault="007A51E0">
            <w:pPr>
              <w:pStyle w:val="TableParagraph"/>
              <w:ind w:left="86" w:right="78"/>
              <w:rPr>
                <w:sz w:val="24"/>
              </w:rPr>
            </w:pPr>
            <w:r>
              <w:rPr>
                <w:sz w:val="24"/>
              </w:rPr>
              <w:t>67</w:t>
            </w:r>
          </w:p>
        </w:tc>
        <w:tc>
          <w:tcPr>
            <w:tcW w:w="1415" w:type="dxa"/>
          </w:tcPr>
          <w:p w:rsidR="00B97222" w:rsidRDefault="007A51E0">
            <w:pPr>
              <w:pStyle w:val="TableParagraph"/>
              <w:ind w:left="295" w:right="290"/>
              <w:rPr>
                <w:sz w:val="24"/>
              </w:rPr>
            </w:pPr>
            <w:r>
              <w:rPr>
                <w:sz w:val="24"/>
              </w:rPr>
              <w:t>440.254</w:t>
            </w:r>
          </w:p>
        </w:tc>
        <w:tc>
          <w:tcPr>
            <w:tcW w:w="1549" w:type="dxa"/>
          </w:tcPr>
          <w:p w:rsidR="00B97222" w:rsidRDefault="007A51E0">
            <w:pPr>
              <w:pStyle w:val="TableParagraph"/>
              <w:ind w:left="87" w:right="83"/>
              <w:rPr>
                <w:sz w:val="24"/>
              </w:rPr>
            </w:pPr>
            <w:r>
              <w:rPr>
                <w:sz w:val="24"/>
              </w:rPr>
              <w:t>139.686</w:t>
            </w:r>
          </w:p>
        </w:tc>
        <w:tc>
          <w:tcPr>
            <w:tcW w:w="1322" w:type="dxa"/>
          </w:tcPr>
          <w:p w:rsidR="00B97222" w:rsidRDefault="007A51E0">
            <w:pPr>
              <w:pStyle w:val="TableParagraph"/>
              <w:ind w:left="155" w:right="155"/>
              <w:rPr>
                <w:sz w:val="24"/>
              </w:rPr>
            </w:pPr>
            <w:r>
              <w:rPr>
                <w:sz w:val="24"/>
              </w:rPr>
              <w:t>50</w:t>
            </w:r>
          </w:p>
        </w:tc>
        <w:tc>
          <w:tcPr>
            <w:tcW w:w="1350" w:type="dxa"/>
          </w:tcPr>
          <w:p w:rsidR="00B97222" w:rsidRDefault="007A51E0">
            <w:pPr>
              <w:pStyle w:val="TableParagraph"/>
              <w:ind w:left="147" w:right="150"/>
              <w:rPr>
                <w:sz w:val="24"/>
              </w:rPr>
            </w:pPr>
            <w:r>
              <w:rPr>
                <w:sz w:val="24"/>
              </w:rPr>
              <w:t>694</w:t>
            </w:r>
          </w:p>
        </w:tc>
      </w:tr>
      <w:tr w:rsidR="00B97222" w:rsidTr="00E84BD8">
        <w:trPr>
          <w:trHeight w:val="551"/>
        </w:trPr>
        <w:tc>
          <w:tcPr>
            <w:tcW w:w="2999" w:type="dxa"/>
          </w:tcPr>
          <w:p w:rsidR="00B97222" w:rsidRDefault="007A51E0">
            <w:pPr>
              <w:pStyle w:val="TableParagraph"/>
              <w:spacing w:before="2" w:line="276" w:lineRule="exact"/>
              <w:ind w:left="890" w:right="645" w:hanging="219"/>
              <w:jc w:val="left"/>
              <w:rPr>
                <w:sz w:val="24"/>
              </w:rPr>
            </w:pPr>
            <w:r>
              <w:rPr>
                <w:sz w:val="24"/>
              </w:rPr>
              <w:t>Water and Sewer Commission</w:t>
            </w:r>
          </w:p>
        </w:tc>
        <w:tc>
          <w:tcPr>
            <w:tcW w:w="1484" w:type="dxa"/>
          </w:tcPr>
          <w:p w:rsidR="00B97222" w:rsidRDefault="007A51E0">
            <w:pPr>
              <w:pStyle w:val="TableParagraph"/>
              <w:ind w:left="86" w:right="78"/>
              <w:rPr>
                <w:sz w:val="24"/>
              </w:rPr>
            </w:pPr>
            <w:r>
              <w:rPr>
                <w:sz w:val="24"/>
              </w:rPr>
              <w:t>57</w:t>
            </w:r>
          </w:p>
        </w:tc>
        <w:tc>
          <w:tcPr>
            <w:tcW w:w="1415" w:type="dxa"/>
          </w:tcPr>
          <w:p w:rsidR="00B97222" w:rsidRDefault="007A51E0">
            <w:pPr>
              <w:pStyle w:val="TableParagraph"/>
              <w:ind w:left="295" w:right="290"/>
              <w:rPr>
                <w:sz w:val="24"/>
              </w:rPr>
            </w:pPr>
            <w:r>
              <w:rPr>
                <w:sz w:val="24"/>
              </w:rPr>
              <w:t>451.825</w:t>
            </w:r>
          </w:p>
        </w:tc>
        <w:tc>
          <w:tcPr>
            <w:tcW w:w="1549" w:type="dxa"/>
          </w:tcPr>
          <w:p w:rsidR="00B97222" w:rsidRDefault="007A51E0">
            <w:pPr>
              <w:pStyle w:val="TableParagraph"/>
              <w:ind w:left="87" w:right="83"/>
              <w:rPr>
                <w:sz w:val="24"/>
              </w:rPr>
            </w:pPr>
            <w:r>
              <w:rPr>
                <w:sz w:val="24"/>
              </w:rPr>
              <w:t>234.234</w:t>
            </w:r>
          </w:p>
        </w:tc>
        <w:tc>
          <w:tcPr>
            <w:tcW w:w="1322" w:type="dxa"/>
          </w:tcPr>
          <w:p w:rsidR="00B97222" w:rsidRDefault="007A51E0">
            <w:pPr>
              <w:pStyle w:val="TableParagraph"/>
              <w:ind w:left="0"/>
              <w:rPr>
                <w:sz w:val="24"/>
              </w:rPr>
            </w:pPr>
            <w:r>
              <w:rPr>
                <w:sz w:val="24"/>
              </w:rPr>
              <w:t>4</w:t>
            </w:r>
          </w:p>
        </w:tc>
        <w:tc>
          <w:tcPr>
            <w:tcW w:w="1350" w:type="dxa"/>
          </w:tcPr>
          <w:p w:rsidR="00B97222" w:rsidRDefault="007A51E0">
            <w:pPr>
              <w:pStyle w:val="TableParagraph"/>
              <w:ind w:left="147" w:right="150"/>
              <w:rPr>
                <w:sz w:val="24"/>
              </w:rPr>
            </w:pPr>
            <w:r>
              <w:rPr>
                <w:sz w:val="24"/>
              </w:rPr>
              <w:t>689</w:t>
            </w:r>
          </w:p>
        </w:tc>
      </w:tr>
      <w:tr w:rsidR="00B97222" w:rsidTr="00E84BD8">
        <w:trPr>
          <w:trHeight w:val="379"/>
        </w:trPr>
        <w:tc>
          <w:tcPr>
            <w:tcW w:w="2999" w:type="dxa"/>
          </w:tcPr>
          <w:p w:rsidR="00B97222" w:rsidRDefault="007A51E0">
            <w:pPr>
              <w:pStyle w:val="TableParagraph"/>
              <w:spacing w:line="273" w:lineRule="exact"/>
              <w:ind w:left="792"/>
              <w:jc w:val="left"/>
              <w:rPr>
                <w:sz w:val="24"/>
              </w:rPr>
            </w:pPr>
            <w:r>
              <w:rPr>
                <w:sz w:val="24"/>
              </w:rPr>
              <w:t>Transportation</w:t>
            </w:r>
          </w:p>
        </w:tc>
        <w:tc>
          <w:tcPr>
            <w:tcW w:w="1484" w:type="dxa"/>
          </w:tcPr>
          <w:p w:rsidR="00B97222" w:rsidRDefault="007A51E0">
            <w:pPr>
              <w:pStyle w:val="TableParagraph"/>
              <w:spacing w:line="273" w:lineRule="exact"/>
              <w:ind w:left="86" w:right="78"/>
              <w:rPr>
                <w:sz w:val="24"/>
              </w:rPr>
            </w:pPr>
            <w:r>
              <w:rPr>
                <w:sz w:val="24"/>
              </w:rPr>
              <w:t>67</w:t>
            </w:r>
          </w:p>
        </w:tc>
        <w:tc>
          <w:tcPr>
            <w:tcW w:w="1415" w:type="dxa"/>
          </w:tcPr>
          <w:p w:rsidR="00B97222" w:rsidRDefault="007A51E0">
            <w:pPr>
              <w:pStyle w:val="TableParagraph"/>
              <w:spacing w:line="273" w:lineRule="exact"/>
              <w:ind w:left="295" w:right="290"/>
              <w:rPr>
                <w:sz w:val="24"/>
              </w:rPr>
            </w:pPr>
            <w:r>
              <w:rPr>
                <w:sz w:val="24"/>
              </w:rPr>
              <w:t>407.896</w:t>
            </w:r>
          </w:p>
        </w:tc>
        <w:tc>
          <w:tcPr>
            <w:tcW w:w="1549" w:type="dxa"/>
          </w:tcPr>
          <w:p w:rsidR="00B97222" w:rsidRDefault="007A51E0">
            <w:pPr>
              <w:pStyle w:val="TableParagraph"/>
              <w:spacing w:line="273" w:lineRule="exact"/>
              <w:ind w:left="87" w:right="83"/>
              <w:rPr>
                <w:sz w:val="24"/>
              </w:rPr>
            </w:pPr>
            <w:r>
              <w:rPr>
                <w:sz w:val="24"/>
              </w:rPr>
              <w:t>211.901</w:t>
            </w:r>
          </w:p>
        </w:tc>
        <w:tc>
          <w:tcPr>
            <w:tcW w:w="1322" w:type="dxa"/>
          </w:tcPr>
          <w:p w:rsidR="00B97222" w:rsidRDefault="007A51E0">
            <w:pPr>
              <w:pStyle w:val="TableParagraph"/>
              <w:spacing w:line="273" w:lineRule="exact"/>
              <w:ind w:left="0"/>
              <w:rPr>
                <w:sz w:val="24"/>
              </w:rPr>
            </w:pPr>
            <w:r>
              <w:rPr>
                <w:sz w:val="24"/>
              </w:rPr>
              <w:t>8</w:t>
            </w:r>
          </w:p>
        </w:tc>
        <w:tc>
          <w:tcPr>
            <w:tcW w:w="1350" w:type="dxa"/>
          </w:tcPr>
          <w:p w:rsidR="00B97222" w:rsidRDefault="007A51E0">
            <w:pPr>
              <w:pStyle w:val="TableParagraph"/>
              <w:spacing w:line="273" w:lineRule="exact"/>
              <w:ind w:left="147" w:right="150"/>
              <w:rPr>
                <w:sz w:val="24"/>
              </w:rPr>
            </w:pPr>
            <w:r>
              <w:rPr>
                <w:sz w:val="24"/>
              </w:rPr>
              <w:t>685</w:t>
            </w:r>
          </w:p>
        </w:tc>
      </w:tr>
      <w:tr w:rsidR="00B97222" w:rsidTr="00E84BD8">
        <w:trPr>
          <w:trHeight w:val="551"/>
        </w:trPr>
        <w:tc>
          <w:tcPr>
            <w:tcW w:w="2999" w:type="dxa"/>
          </w:tcPr>
          <w:p w:rsidR="00B97222" w:rsidRDefault="007A51E0">
            <w:pPr>
              <w:pStyle w:val="TableParagraph"/>
              <w:spacing w:before="2" w:line="276" w:lineRule="exact"/>
              <w:ind w:left="1205" w:right="283" w:hanging="893"/>
              <w:jc w:val="left"/>
              <w:rPr>
                <w:sz w:val="24"/>
              </w:rPr>
            </w:pPr>
            <w:r>
              <w:rPr>
                <w:sz w:val="24"/>
              </w:rPr>
              <w:t xml:space="preserve">Property &amp; Construction </w:t>
            </w:r>
            <w:proofErr w:type="spellStart"/>
            <w:r>
              <w:rPr>
                <w:sz w:val="24"/>
              </w:rPr>
              <w:t>Mgmt</w:t>
            </w:r>
            <w:proofErr w:type="spellEnd"/>
          </w:p>
        </w:tc>
        <w:tc>
          <w:tcPr>
            <w:tcW w:w="1484" w:type="dxa"/>
          </w:tcPr>
          <w:p w:rsidR="00B97222" w:rsidRDefault="007A51E0">
            <w:pPr>
              <w:pStyle w:val="TableParagraph"/>
              <w:ind w:left="86" w:right="78"/>
              <w:rPr>
                <w:sz w:val="24"/>
              </w:rPr>
            </w:pPr>
            <w:r>
              <w:rPr>
                <w:sz w:val="24"/>
              </w:rPr>
              <w:t>66</w:t>
            </w:r>
          </w:p>
        </w:tc>
        <w:tc>
          <w:tcPr>
            <w:tcW w:w="1415" w:type="dxa"/>
          </w:tcPr>
          <w:p w:rsidR="00B97222" w:rsidRDefault="007A51E0">
            <w:pPr>
              <w:pStyle w:val="TableParagraph"/>
              <w:ind w:left="295" w:right="290"/>
              <w:rPr>
                <w:sz w:val="24"/>
              </w:rPr>
            </w:pPr>
            <w:r>
              <w:rPr>
                <w:sz w:val="24"/>
              </w:rPr>
              <w:t>356.182</w:t>
            </w:r>
          </w:p>
        </w:tc>
        <w:tc>
          <w:tcPr>
            <w:tcW w:w="1549" w:type="dxa"/>
          </w:tcPr>
          <w:p w:rsidR="00B97222" w:rsidRDefault="007A51E0">
            <w:pPr>
              <w:pStyle w:val="TableParagraph"/>
              <w:ind w:left="87" w:right="83"/>
              <w:rPr>
                <w:sz w:val="24"/>
              </w:rPr>
            </w:pPr>
            <w:r>
              <w:rPr>
                <w:sz w:val="24"/>
              </w:rPr>
              <w:t>222.215</w:t>
            </w:r>
          </w:p>
        </w:tc>
        <w:tc>
          <w:tcPr>
            <w:tcW w:w="1322" w:type="dxa"/>
          </w:tcPr>
          <w:p w:rsidR="00B97222" w:rsidRDefault="007A51E0">
            <w:pPr>
              <w:pStyle w:val="TableParagraph"/>
              <w:ind w:left="0"/>
              <w:rPr>
                <w:sz w:val="24"/>
              </w:rPr>
            </w:pPr>
            <w:r>
              <w:rPr>
                <w:sz w:val="24"/>
              </w:rPr>
              <w:t>9</w:t>
            </w:r>
          </w:p>
        </w:tc>
        <w:tc>
          <w:tcPr>
            <w:tcW w:w="1350" w:type="dxa"/>
          </w:tcPr>
          <w:p w:rsidR="00B97222" w:rsidRDefault="007A51E0">
            <w:pPr>
              <w:pStyle w:val="TableParagraph"/>
              <w:ind w:left="147" w:right="150"/>
              <w:rPr>
                <w:sz w:val="24"/>
              </w:rPr>
            </w:pPr>
            <w:r>
              <w:rPr>
                <w:sz w:val="24"/>
              </w:rPr>
              <w:t>696</w:t>
            </w:r>
          </w:p>
        </w:tc>
      </w:tr>
      <w:tr w:rsidR="00B97222" w:rsidTr="00E84BD8">
        <w:trPr>
          <w:trHeight w:val="367"/>
        </w:trPr>
        <w:tc>
          <w:tcPr>
            <w:tcW w:w="2999" w:type="dxa"/>
          </w:tcPr>
          <w:p w:rsidR="00B97222" w:rsidRDefault="007A51E0">
            <w:pPr>
              <w:pStyle w:val="TableParagraph"/>
              <w:spacing w:line="273" w:lineRule="exact"/>
              <w:ind w:left="842"/>
              <w:jc w:val="left"/>
              <w:rPr>
                <w:sz w:val="24"/>
              </w:rPr>
            </w:pPr>
            <w:r>
              <w:rPr>
                <w:sz w:val="24"/>
              </w:rPr>
              <w:t>Public Works</w:t>
            </w:r>
          </w:p>
        </w:tc>
        <w:tc>
          <w:tcPr>
            <w:tcW w:w="1484" w:type="dxa"/>
          </w:tcPr>
          <w:p w:rsidR="00B97222" w:rsidRDefault="007A51E0">
            <w:pPr>
              <w:pStyle w:val="TableParagraph"/>
              <w:spacing w:line="273" w:lineRule="exact"/>
              <w:ind w:left="86" w:right="78"/>
              <w:rPr>
                <w:sz w:val="24"/>
              </w:rPr>
            </w:pPr>
            <w:r>
              <w:rPr>
                <w:sz w:val="24"/>
              </w:rPr>
              <w:t>99</w:t>
            </w:r>
          </w:p>
        </w:tc>
        <w:tc>
          <w:tcPr>
            <w:tcW w:w="1415" w:type="dxa"/>
          </w:tcPr>
          <w:p w:rsidR="00B97222" w:rsidRDefault="007A51E0">
            <w:pPr>
              <w:pStyle w:val="TableParagraph"/>
              <w:spacing w:line="273" w:lineRule="exact"/>
              <w:ind w:left="295" w:right="290"/>
              <w:rPr>
                <w:sz w:val="24"/>
              </w:rPr>
            </w:pPr>
            <w:r>
              <w:rPr>
                <w:sz w:val="24"/>
              </w:rPr>
              <w:t>234.485</w:t>
            </w:r>
          </w:p>
        </w:tc>
        <w:tc>
          <w:tcPr>
            <w:tcW w:w="1549" w:type="dxa"/>
          </w:tcPr>
          <w:p w:rsidR="00B97222" w:rsidRDefault="007A51E0">
            <w:pPr>
              <w:pStyle w:val="TableParagraph"/>
              <w:spacing w:line="273" w:lineRule="exact"/>
              <w:ind w:left="87" w:right="83"/>
              <w:rPr>
                <w:sz w:val="24"/>
              </w:rPr>
            </w:pPr>
            <w:r>
              <w:rPr>
                <w:sz w:val="24"/>
              </w:rPr>
              <w:t>193.255</w:t>
            </w:r>
          </w:p>
        </w:tc>
        <w:tc>
          <w:tcPr>
            <w:tcW w:w="1322" w:type="dxa"/>
          </w:tcPr>
          <w:p w:rsidR="00B97222" w:rsidRDefault="007A51E0">
            <w:pPr>
              <w:pStyle w:val="TableParagraph"/>
              <w:spacing w:line="273" w:lineRule="exact"/>
              <w:ind w:left="0"/>
              <w:rPr>
                <w:sz w:val="24"/>
              </w:rPr>
            </w:pPr>
            <w:r>
              <w:rPr>
                <w:sz w:val="24"/>
              </w:rPr>
              <w:t>5</w:t>
            </w:r>
          </w:p>
        </w:tc>
        <w:tc>
          <w:tcPr>
            <w:tcW w:w="1350" w:type="dxa"/>
          </w:tcPr>
          <w:p w:rsidR="00B97222" w:rsidRDefault="007A51E0">
            <w:pPr>
              <w:pStyle w:val="TableParagraph"/>
              <w:spacing w:line="273" w:lineRule="exact"/>
              <w:ind w:left="147" w:right="150"/>
              <w:rPr>
                <w:sz w:val="24"/>
              </w:rPr>
            </w:pPr>
            <w:r>
              <w:rPr>
                <w:sz w:val="24"/>
              </w:rPr>
              <w:t>661</w:t>
            </w:r>
          </w:p>
        </w:tc>
      </w:tr>
    </w:tbl>
    <w:p w:rsidR="0063508B" w:rsidRDefault="0063508B">
      <w:pPr>
        <w:pStyle w:val="BodyText"/>
        <w:spacing w:before="179"/>
        <w:ind w:left="1425" w:right="1349"/>
        <w:jc w:val="center"/>
        <w:rPr>
          <w:u w:val="single"/>
        </w:rPr>
      </w:pPr>
    </w:p>
    <w:p w:rsidR="00B97222" w:rsidRDefault="00E84BD8">
      <w:pPr>
        <w:pStyle w:val="BodyText"/>
        <w:spacing w:before="179"/>
        <w:ind w:left="1425" w:right="1349"/>
        <w:jc w:val="center"/>
      </w:pPr>
      <w:r>
        <w:rPr>
          <w:noProof/>
          <w:sz w:val="25"/>
        </w:rPr>
        <w:drawing>
          <wp:anchor distT="0" distB="0" distL="114300" distR="114300" simplePos="0" relativeHeight="251669504" behindDoc="0" locked="0" layoutInCell="1" allowOverlap="1">
            <wp:simplePos x="0" y="0"/>
            <wp:positionH relativeFrom="margin">
              <wp:posOffset>3135239</wp:posOffset>
            </wp:positionH>
            <wp:positionV relativeFrom="margin">
              <wp:posOffset>3775710</wp:posOffset>
            </wp:positionV>
            <wp:extent cx="3493770" cy="426974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da1.png"/>
                    <pic:cNvPicPr/>
                  </pic:nvPicPr>
                  <pic:blipFill>
                    <a:blip r:embed="rId12">
                      <a:extLst>
                        <a:ext uri="{28A0092B-C50C-407E-A947-70E740481C1C}">
                          <a14:useLocalDpi xmlns:a14="http://schemas.microsoft.com/office/drawing/2010/main" val="0"/>
                        </a:ext>
                      </a:extLst>
                    </a:blip>
                    <a:stretch>
                      <a:fillRect/>
                    </a:stretch>
                  </pic:blipFill>
                  <pic:spPr>
                    <a:xfrm>
                      <a:off x="0" y="0"/>
                      <a:ext cx="3493770" cy="4269740"/>
                    </a:xfrm>
                    <a:prstGeom prst="rect">
                      <a:avLst/>
                    </a:prstGeom>
                  </pic:spPr>
                </pic:pic>
              </a:graphicData>
            </a:graphic>
            <wp14:sizeRelH relativeFrom="margin">
              <wp14:pctWidth>0</wp14:pctWidth>
            </wp14:sizeRelH>
            <wp14:sizeRelV relativeFrom="margin">
              <wp14:pctHeight>0</wp14:pctHeight>
            </wp14:sizeRelV>
          </wp:anchor>
        </w:drawing>
      </w:r>
      <w:r w:rsidR="007A51E0">
        <w:rPr>
          <w:u w:val="single"/>
        </w:rPr>
        <w:t>Plots and Figures</w:t>
      </w:r>
    </w:p>
    <w:p w:rsidR="00B97222" w:rsidRDefault="00E84BD8">
      <w:pPr>
        <w:pStyle w:val="BodyText"/>
        <w:spacing w:before="7"/>
        <w:rPr>
          <w:sz w:val="25"/>
        </w:rPr>
      </w:pPr>
      <w:r>
        <w:rPr>
          <w:noProof/>
          <w:sz w:val="25"/>
        </w:rPr>
        <w:drawing>
          <wp:anchor distT="0" distB="0" distL="114300" distR="114300" simplePos="0" relativeHeight="251668480" behindDoc="0" locked="0" layoutInCell="1" allowOverlap="1">
            <wp:simplePos x="0" y="0"/>
            <wp:positionH relativeFrom="margin">
              <wp:posOffset>-556260</wp:posOffset>
            </wp:positionH>
            <wp:positionV relativeFrom="margin">
              <wp:posOffset>3770630</wp:posOffset>
            </wp:positionV>
            <wp:extent cx="3681095" cy="422719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da3.png"/>
                    <pic:cNvPicPr/>
                  </pic:nvPicPr>
                  <pic:blipFill>
                    <a:blip r:embed="rId13">
                      <a:extLst>
                        <a:ext uri="{28A0092B-C50C-407E-A947-70E740481C1C}">
                          <a14:useLocalDpi xmlns:a14="http://schemas.microsoft.com/office/drawing/2010/main" val="0"/>
                        </a:ext>
                      </a:extLst>
                    </a:blip>
                    <a:stretch>
                      <a:fillRect/>
                    </a:stretch>
                  </pic:blipFill>
                  <pic:spPr>
                    <a:xfrm>
                      <a:off x="0" y="0"/>
                      <a:ext cx="3681095" cy="4227195"/>
                    </a:xfrm>
                    <a:prstGeom prst="rect">
                      <a:avLst/>
                    </a:prstGeom>
                  </pic:spPr>
                </pic:pic>
              </a:graphicData>
            </a:graphic>
            <wp14:sizeRelH relativeFrom="margin">
              <wp14:pctWidth>0</wp14:pctWidth>
            </wp14:sizeRelH>
            <wp14:sizeRelV relativeFrom="margin">
              <wp14:pctHeight>0</wp14:pctHeight>
            </wp14:sizeRelV>
          </wp:anchor>
        </w:drawing>
      </w:r>
    </w:p>
    <w:p w:rsidR="00B97222" w:rsidRDefault="00B97222">
      <w:pPr>
        <w:rPr>
          <w:sz w:val="25"/>
        </w:rPr>
        <w:sectPr w:rsidR="00B97222" w:rsidSect="00E84BD8">
          <w:type w:val="continuous"/>
          <w:pgSz w:w="12240" w:h="15840"/>
          <w:pgMar w:top="1440" w:right="1440" w:bottom="1440" w:left="1440" w:header="720" w:footer="720" w:gutter="0"/>
          <w:cols w:space="720"/>
        </w:sectPr>
      </w:pPr>
    </w:p>
    <w:p w:rsidR="00B97222" w:rsidRDefault="00E84BD8">
      <w:pPr>
        <w:ind w:left="374"/>
        <w:rPr>
          <w:sz w:val="20"/>
        </w:rPr>
      </w:pPr>
      <w:r>
        <w:rPr>
          <w:noProof/>
        </w:rPr>
        <w:lastRenderedPageBreak/>
        <w:drawing>
          <wp:anchor distT="0" distB="0" distL="114300" distR="114300" simplePos="0" relativeHeight="251671552" behindDoc="0" locked="0" layoutInCell="1" allowOverlap="1">
            <wp:simplePos x="0" y="0"/>
            <wp:positionH relativeFrom="margin">
              <wp:posOffset>3138805</wp:posOffset>
            </wp:positionH>
            <wp:positionV relativeFrom="margin">
              <wp:posOffset>-23495</wp:posOffset>
            </wp:positionV>
            <wp:extent cx="3464560" cy="400304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da4.png"/>
                    <pic:cNvPicPr/>
                  </pic:nvPicPr>
                  <pic:blipFill>
                    <a:blip r:embed="rId14">
                      <a:extLst>
                        <a:ext uri="{28A0092B-C50C-407E-A947-70E740481C1C}">
                          <a14:useLocalDpi xmlns:a14="http://schemas.microsoft.com/office/drawing/2010/main" val="0"/>
                        </a:ext>
                      </a:extLst>
                    </a:blip>
                    <a:stretch>
                      <a:fillRect/>
                    </a:stretch>
                  </pic:blipFill>
                  <pic:spPr>
                    <a:xfrm>
                      <a:off x="0" y="0"/>
                      <a:ext cx="3464560" cy="4003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simplePos x="0" y="0"/>
            <wp:positionH relativeFrom="margin">
              <wp:posOffset>-641790</wp:posOffset>
            </wp:positionH>
            <wp:positionV relativeFrom="margin">
              <wp:posOffset>-82354</wp:posOffset>
            </wp:positionV>
            <wp:extent cx="3787140" cy="40614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a2.png"/>
                    <pic:cNvPicPr/>
                  </pic:nvPicPr>
                  <pic:blipFill>
                    <a:blip r:embed="rId15">
                      <a:extLst>
                        <a:ext uri="{28A0092B-C50C-407E-A947-70E740481C1C}">
                          <a14:useLocalDpi xmlns:a14="http://schemas.microsoft.com/office/drawing/2010/main" val="0"/>
                        </a:ext>
                      </a:extLst>
                    </a:blip>
                    <a:stretch>
                      <a:fillRect/>
                    </a:stretch>
                  </pic:blipFill>
                  <pic:spPr>
                    <a:xfrm>
                      <a:off x="0" y="0"/>
                      <a:ext cx="3787140" cy="4061460"/>
                    </a:xfrm>
                    <a:prstGeom prst="rect">
                      <a:avLst/>
                    </a:prstGeom>
                  </pic:spPr>
                </pic:pic>
              </a:graphicData>
            </a:graphic>
            <wp14:sizeRelH relativeFrom="margin">
              <wp14:pctWidth>0</wp14:pctWidth>
            </wp14:sizeRelH>
            <wp14:sizeRelV relativeFrom="margin">
              <wp14:pctHeight>0</wp14:pctHeight>
            </wp14:sizeRelV>
          </wp:anchor>
        </w:drawing>
      </w:r>
      <w:r w:rsidR="007A51E0">
        <w:rPr>
          <w:spacing w:val="136"/>
          <w:sz w:val="20"/>
        </w:rPr>
        <w:t xml:space="preserve"> </w:t>
      </w:r>
    </w:p>
    <w:p w:rsidR="00B97222" w:rsidRDefault="00E84BD8">
      <w:pPr>
        <w:pStyle w:val="BodyText"/>
        <w:rPr>
          <w:sz w:val="20"/>
        </w:rPr>
      </w:pPr>
      <w:r>
        <w:rPr>
          <w:noProof/>
        </w:rPr>
        <w:drawing>
          <wp:anchor distT="0" distB="0" distL="114300" distR="114300" simplePos="0" relativeHeight="251665408" behindDoc="0" locked="0" layoutInCell="1" allowOverlap="1">
            <wp:simplePos x="0" y="0"/>
            <wp:positionH relativeFrom="margin">
              <wp:posOffset>3235325</wp:posOffset>
            </wp:positionH>
            <wp:positionV relativeFrom="margin">
              <wp:posOffset>4360545</wp:posOffset>
            </wp:positionV>
            <wp:extent cx="3380105" cy="39268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a6.png"/>
                    <pic:cNvPicPr/>
                  </pic:nvPicPr>
                  <pic:blipFill>
                    <a:blip r:embed="rId16">
                      <a:extLst>
                        <a:ext uri="{28A0092B-C50C-407E-A947-70E740481C1C}">
                          <a14:useLocalDpi xmlns:a14="http://schemas.microsoft.com/office/drawing/2010/main" val="0"/>
                        </a:ext>
                      </a:extLst>
                    </a:blip>
                    <a:stretch>
                      <a:fillRect/>
                    </a:stretch>
                  </pic:blipFill>
                  <pic:spPr>
                    <a:xfrm>
                      <a:off x="0" y="0"/>
                      <a:ext cx="3380105" cy="3926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simplePos x="0" y="0"/>
            <wp:positionH relativeFrom="margin">
              <wp:posOffset>-445770</wp:posOffset>
            </wp:positionH>
            <wp:positionV relativeFrom="margin">
              <wp:posOffset>4372610</wp:posOffset>
            </wp:positionV>
            <wp:extent cx="3597910" cy="391541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a5.png"/>
                    <pic:cNvPicPr/>
                  </pic:nvPicPr>
                  <pic:blipFill>
                    <a:blip r:embed="rId17">
                      <a:extLst>
                        <a:ext uri="{28A0092B-C50C-407E-A947-70E740481C1C}">
                          <a14:useLocalDpi xmlns:a14="http://schemas.microsoft.com/office/drawing/2010/main" val="0"/>
                        </a:ext>
                      </a:extLst>
                    </a:blip>
                    <a:stretch>
                      <a:fillRect/>
                    </a:stretch>
                  </pic:blipFill>
                  <pic:spPr>
                    <a:xfrm>
                      <a:off x="0" y="0"/>
                      <a:ext cx="3597910" cy="3915410"/>
                    </a:xfrm>
                    <a:prstGeom prst="rect">
                      <a:avLst/>
                    </a:prstGeom>
                  </pic:spPr>
                </pic:pic>
              </a:graphicData>
            </a:graphic>
            <wp14:sizeRelH relativeFrom="margin">
              <wp14:pctWidth>0</wp14:pctWidth>
            </wp14:sizeRelH>
            <wp14:sizeRelV relativeFrom="margin">
              <wp14:pctHeight>0</wp14:pctHeight>
            </wp14:sizeRelV>
          </wp:anchor>
        </w:drawing>
      </w:r>
    </w:p>
    <w:p w:rsidR="00B97222" w:rsidRDefault="00B97222">
      <w:pPr>
        <w:pStyle w:val="BodyText"/>
        <w:spacing w:before="6"/>
      </w:pPr>
    </w:p>
    <w:p w:rsidR="00B97222" w:rsidRDefault="00B97222">
      <w:pPr>
        <w:sectPr w:rsidR="00B97222" w:rsidSect="00E84BD8">
          <w:type w:val="continuous"/>
          <w:pgSz w:w="12240" w:h="15840"/>
          <w:pgMar w:top="1440" w:right="1440" w:bottom="1440" w:left="1440" w:header="720" w:footer="720" w:gutter="0"/>
          <w:cols w:space="720"/>
        </w:sectPr>
      </w:pPr>
    </w:p>
    <w:p w:rsidR="009F6353" w:rsidRPr="00F9747D" w:rsidRDefault="008C11F4" w:rsidP="003B70CF">
      <w:pPr>
        <w:pStyle w:val="BodyText"/>
        <w:spacing w:before="1"/>
        <w:ind w:firstLine="720"/>
        <w:rPr>
          <w:sz w:val="26"/>
        </w:rPr>
      </w:pPr>
      <w:r>
        <w:rPr>
          <w:noProof/>
        </w:rPr>
        <w:drawing>
          <wp:anchor distT="0" distB="0" distL="114300" distR="114300" simplePos="0" relativeHeight="251664384" behindDoc="0" locked="0" layoutInCell="1" allowOverlap="1">
            <wp:simplePos x="0" y="0"/>
            <wp:positionH relativeFrom="margin">
              <wp:posOffset>-444500</wp:posOffset>
            </wp:positionH>
            <wp:positionV relativeFrom="margin">
              <wp:posOffset>36641</wp:posOffset>
            </wp:positionV>
            <wp:extent cx="3566160" cy="37064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a7.png"/>
                    <pic:cNvPicPr/>
                  </pic:nvPicPr>
                  <pic:blipFill>
                    <a:blip r:embed="rId18">
                      <a:extLst>
                        <a:ext uri="{28A0092B-C50C-407E-A947-70E740481C1C}">
                          <a14:useLocalDpi xmlns:a14="http://schemas.microsoft.com/office/drawing/2010/main" val="0"/>
                        </a:ext>
                      </a:extLst>
                    </a:blip>
                    <a:stretch>
                      <a:fillRect/>
                    </a:stretch>
                  </pic:blipFill>
                  <pic:spPr>
                    <a:xfrm>
                      <a:off x="0" y="0"/>
                      <a:ext cx="3566160" cy="3706495"/>
                    </a:xfrm>
                    <a:prstGeom prst="rect">
                      <a:avLst/>
                    </a:prstGeom>
                  </pic:spPr>
                </pic:pic>
              </a:graphicData>
            </a:graphic>
            <wp14:sizeRelH relativeFrom="margin">
              <wp14:pctWidth>0</wp14:pctWidth>
            </wp14:sizeRelH>
            <wp14:sizeRelV relativeFrom="margin">
              <wp14:pctHeight>0</wp14:pctHeight>
            </wp14:sizeRelV>
          </wp:anchor>
        </w:drawing>
      </w:r>
      <w:r w:rsidR="009F6353" w:rsidRPr="008C11F4">
        <w:t>Recall that according to the 2014 CAP, LGO emissions had been reduced by almost 25 percent since 2005. This claim does, to a large extent, agree with figures 2 and 4 on pages 5 and 6 respectively, as we observe a downward trend in tCO2e Emissions until its minimum point corresponding to year 2013. However, our data then paints a wholly different picture after 2014 with respect to GHG emissions. Recall that the GHG Inventory Report had claimed that emissions from LGO’s in 2017 were 41</w:t>
      </w:r>
      <w:r w:rsidR="009F6353">
        <w:t xml:space="preserve">% </w:t>
      </w:r>
      <w:r w:rsidR="009F6353" w:rsidRPr="008C11F4">
        <w:t xml:space="preserve">less than they were in 2005. However, from the same figures 2 and 4, we see that overall trend in  tCO2e Emissions increases after 2014 and, actually, reaches the point where it crosses 2005 levels in 2017. This discrepancy between the claims of the reports and our EDA is worth diving deeper into in our Methods section, where we model and test for significance </w:t>
      </w:r>
      <w:r w:rsidR="009F6353">
        <w:t>the</w:t>
      </w:r>
      <w:r w:rsidR="009F6353" w:rsidRPr="008C11F4">
        <w:t xml:space="preserve"> tCO2e Emissions values.</w:t>
      </w:r>
      <w:r w:rsidR="009F6353">
        <w:t xml:space="preserve"> </w:t>
      </w:r>
    </w:p>
    <w:p w:rsidR="009F6353" w:rsidRDefault="009F6353" w:rsidP="009F6353">
      <w:pPr>
        <w:pStyle w:val="BodyText"/>
        <w:ind w:firstLine="720"/>
      </w:pPr>
      <w:r>
        <w:t>We only used 9 out of the 15 Departments in the dataset in Figure 5 for convenience of visualization and these were selected if their respective total tCO2e Emissions across 2005-2018 was greater than 20,000 tCO2e. Our analysis, from Table 4 and Figure 3, also agrees with the claim stated by the GHG Inventory Report that Boston Public Schools (BPS), Public Works, and Boston Police Department are among the largest Departments of GHG contributors. It should also be observed that the Fuel Biodiesel, a renewable source of energy, first got used in 2018 and Propane first got used in the year 2016, as BPS switched its fleets from diesel to cleaner propane-powered school buses.</w:t>
      </w:r>
    </w:p>
    <w:p w:rsidR="009F6353" w:rsidRDefault="009F6353" w:rsidP="00F9747D">
      <w:pPr>
        <w:pStyle w:val="BodyText"/>
        <w:ind w:firstLine="720"/>
      </w:pPr>
      <w:r>
        <w:t xml:space="preserve">Analysing tCO2e Emissions by facility in Figure 6, we again observe discrepancy between the claims made in the GHG Inventory Report and our findings. </w:t>
      </w:r>
      <w:r w:rsidR="007601DE">
        <w:t>Recall that the</w:t>
      </w:r>
      <w:r>
        <w:t xml:space="preserve"> report </w:t>
      </w:r>
      <w:r w:rsidR="007601DE">
        <w:t xml:space="preserve">also </w:t>
      </w:r>
      <w:r>
        <w:t xml:space="preserve">states that </w:t>
      </w:r>
      <w:r w:rsidR="007601DE">
        <w:t>due to converting electric street lights to LEDs, more than half GHG Emissions have been reduced since 2010</w:t>
      </w:r>
      <w:r>
        <w:t>. From Figure 6, the opposite is observed that from 2005-2008, street lights constituted the least to emissions, but saw an increase after and stayed constant at that value. Moreover, the Energy Reduction Plan specified a 40</w:t>
      </w:r>
      <w:r w:rsidR="007601DE">
        <w:t>%</w:t>
      </w:r>
      <w:r>
        <w:t xml:space="preserve"> reduction in energy use of street lights from 2011 to 2016, but</w:t>
      </w:r>
      <w:r w:rsidR="00901661">
        <w:t>,</w:t>
      </w:r>
      <w:r>
        <w:t xml:space="preserve"> again</w:t>
      </w:r>
      <w:r w:rsidR="00901661">
        <w:t>,</w:t>
      </w:r>
      <w:r>
        <w:t xml:space="preserve"> we see that emissions stayed pretty much constant between 2011 and 2015 and then, surprisingly, increased in 2016.</w:t>
      </w:r>
    </w:p>
    <w:p w:rsidR="00B97222" w:rsidRDefault="009F6353" w:rsidP="009F6353">
      <w:pPr>
        <w:pStyle w:val="BodyText"/>
        <w:ind w:firstLine="720"/>
      </w:pPr>
      <w:r>
        <w:t>Therefore, our EDA resulted in rather startling results when compared to those published in CAP reports and in the GHG Inventory. However, only EDA is not sufficient to answer our main questions, but helpful in identifying them. In the next Methods section, we delve deeper and try to infer the significance of these claims by using hypothesis testing, ANCOVA, and General Linear Mixed Models using an Autoregressive (Lag 1 or AR1) structure of correlation.</w:t>
      </w:r>
    </w:p>
    <w:p w:rsidR="00F9747D" w:rsidRDefault="00F9747D" w:rsidP="009F6353">
      <w:pPr>
        <w:pStyle w:val="Heading1"/>
        <w:spacing w:line="360" w:lineRule="auto"/>
        <w:ind w:left="0"/>
        <w:rPr>
          <w:color w:val="4F81BC"/>
        </w:rPr>
      </w:pPr>
    </w:p>
    <w:p w:rsidR="009F6353" w:rsidRDefault="009F6353" w:rsidP="009F6353">
      <w:pPr>
        <w:pStyle w:val="Heading1"/>
        <w:spacing w:line="360" w:lineRule="auto"/>
        <w:ind w:left="0"/>
        <w:rPr>
          <w:color w:val="4F81BC"/>
        </w:rPr>
      </w:pPr>
      <w:r>
        <w:rPr>
          <w:color w:val="4F81BC"/>
        </w:rPr>
        <w:lastRenderedPageBreak/>
        <w:t>Methods</w:t>
      </w:r>
    </w:p>
    <w:p w:rsidR="009F6353" w:rsidRDefault="00F9747D" w:rsidP="009F6353">
      <w:pPr>
        <w:pStyle w:val="BodyText"/>
      </w:pPr>
      <w:r>
        <w:rPr>
          <w:noProof/>
        </w:rPr>
        <w:drawing>
          <wp:anchor distT="0" distB="0" distL="114300" distR="114300" simplePos="0" relativeHeight="251673600" behindDoc="0" locked="0" layoutInCell="1" allowOverlap="1" wp14:anchorId="294AC4D1" wp14:editId="346D4E88">
            <wp:simplePos x="0" y="0"/>
            <wp:positionH relativeFrom="margin">
              <wp:posOffset>3039110</wp:posOffset>
            </wp:positionH>
            <wp:positionV relativeFrom="margin">
              <wp:posOffset>1473835</wp:posOffset>
            </wp:positionV>
            <wp:extent cx="3284855" cy="24980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thod1.png"/>
                    <pic:cNvPicPr/>
                  </pic:nvPicPr>
                  <pic:blipFill>
                    <a:blip r:embed="rId19">
                      <a:extLst>
                        <a:ext uri="{28A0092B-C50C-407E-A947-70E740481C1C}">
                          <a14:useLocalDpi xmlns:a14="http://schemas.microsoft.com/office/drawing/2010/main" val="0"/>
                        </a:ext>
                      </a:extLst>
                    </a:blip>
                    <a:stretch>
                      <a:fillRect/>
                    </a:stretch>
                  </pic:blipFill>
                  <pic:spPr>
                    <a:xfrm>
                      <a:off x="0" y="0"/>
                      <a:ext cx="3284855" cy="24980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4EC22B45" wp14:editId="0A02D24F">
            <wp:simplePos x="0" y="0"/>
            <wp:positionH relativeFrom="margin">
              <wp:posOffset>-450215</wp:posOffset>
            </wp:positionH>
            <wp:positionV relativeFrom="margin">
              <wp:posOffset>1473835</wp:posOffset>
            </wp:positionV>
            <wp:extent cx="3489960" cy="249809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ethod2.png"/>
                    <pic:cNvPicPr/>
                  </pic:nvPicPr>
                  <pic:blipFill>
                    <a:blip r:embed="rId20">
                      <a:extLst>
                        <a:ext uri="{28A0092B-C50C-407E-A947-70E740481C1C}">
                          <a14:useLocalDpi xmlns:a14="http://schemas.microsoft.com/office/drawing/2010/main" val="0"/>
                        </a:ext>
                      </a:extLst>
                    </a:blip>
                    <a:stretch>
                      <a:fillRect/>
                    </a:stretch>
                  </pic:blipFill>
                  <pic:spPr>
                    <a:xfrm>
                      <a:off x="0" y="0"/>
                      <a:ext cx="3489960" cy="2498090"/>
                    </a:xfrm>
                    <a:prstGeom prst="rect">
                      <a:avLst/>
                    </a:prstGeom>
                  </pic:spPr>
                </pic:pic>
              </a:graphicData>
            </a:graphic>
            <wp14:sizeRelH relativeFrom="margin">
              <wp14:pctWidth>0</wp14:pctWidth>
            </wp14:sizeRelH>
            <wp14:sizeRelV relativeFrom="margin">
              <wp14:pctHeight>0</wp14:pctHeight>
            </wp14:sizeRelV>
          </wp:anchor>
        </w:drawing>
      </w:r>
      <w:r w:rsidR="009F6353">
        <w:tab/>
        <w:t>The only assumption I have used in regression and hypothesis testing is that of normality so that our dependent variable, tCO2e Emission, satisfies the assumptions for linear regression, for example homoscedasticity (variance of Y at every X is the same) and normality (at every X, distribution of Y follows a normal distribution). A QQ-Plot of the variable tCO2e Emission and its log is helpful to assess which variable to use for regression too. Hence, raw values of the dependent variable will be more suited to a standard linear regression model as shown below.</w:t>
      </w:r>
    </w:p>
    <w:p w:rsidR="009F6353" w:rsidRDefault="009F6353" w:rsidP="00733869">
      <w:pPr>
        <w:pStyle w:val="BodyText"/>
        <w:ind w:firstLine="720"/>
      </w:pPr>
      <w:r>
        <w:t xml:space="preserve">The first method used is that of a two sample one-tailed t-test to test the following null and alternative hypothesis at a 0.05 level of significance (95% confidence level): </w:t>
      </w:r>
      <w:r w:rsidRPr="00C068AE">
        <w:rPr>
          <w:i/>
          <w:iCs/>
        </w:rPr>
        <w:t>H</w:t>
      </w:r>
      <w:r w:rsidRPr="00C068AE">
        <w:rPr>
          <w:i/>
          <w:iCs/>
          <w:vertAlign w:val="subscript"/>
        </w:rPr>
        <w:t>0</w:t>
      </w:r>
      <w:r w:rsidRPr="00C068AE">
        <w:rPr>
          <w:i/>
          <w:iCs/>
        </w:rPr>
        <w:t>:</w:t>
      </w:r>
      <w:r>
        <w:t xml:space="preserve"> </w:t>
      </w:r>
      <w:r w:rsidRPr="00C068AE">
        <w:rPr>
          <w:i/>
          <w:iCs/>
        </w:rPr>
        <w:t>µ</w:t>
      </w:r>
      <w:r w:rsidRPr="00C068AE">
        <w:rPr>
          <w:i/>
          <w:iCs/>
          <w:vertAlign w:val="subscript"/>
        </w:rPr>
        <w:t>2005</w:t>
      </w:r>
      <w:r w:rsidRPr="00C068AE">
        <w:t xml:space="preserve"> </w:t>
      </w:r>
      <w:r w:rsidRPr="00C068AE">
        <w:rPr>
          <w:i/>
          <w:iCs/>
        </w:rPr>
        <w:t>&lt;= µ</w:t>
      </w:r>
      <w:r>
        <w:rPr>
          <w:vertAlign w:val="subscript"/>
        </w:rPr>
        <w:t xml:space="preserve">2015 </w:t>
      </w:r>
      <w:r>
        <w:t xml:space="preserve">vs </w:t>
      </w:r>
      <w:r w:rsidRPr="00C068AE">
        <w:rPr>
          <w:i/>
          <w:iCs/>
        </w:rPr>
        <w:t>H</w:t>
      </w:r>
      <w:r w:rsidRPr="00C068AE">
        <w:rPr>
          <w:i/>
          <w:iCs/>
          <w:vertAlign w:val="subscript"/>
        </w:rPr>
        <w:t>1</w:t>
      </w:r>
      <w:r w:rsidRPr="00C068AE">
        <w:rPr>
          <w:i/>
          <w:iCs/>
        </w:rPr>
        <w:t>:</w:t>
      </w:r>
      <w:r>
        <w:t xml:space="preserve"> </w:t>
      </w:r>
      <w:r w:rsidRPr="00C068AE">
        <w:rPr>
          <w:i/>
          <w:iCs/>
        </w:rPr>
        <w:t>µ</w:t>
      </w:r>
      <w:r>
        <w:rPr>
          <w:vertAlign w:val="subscript"/>
        </w:rPr>
        <w:t>2005</w:t>
      </w:r>
      <w:r w:rsidRPr="00C068AE">
        <w:t xml:space="preserve"> </w:t>
      </w:r>
      <w:r w:rsidRPr="00C068AE">
        <w:rPr>
          <w:i/>
          <w:iCs/>
        </w:rPr>
        <w:t>&gt; µ</w:t>
      </w:r>
      <w:r>
        <w:rPr>
          <w:vertAlign w:val="subscript"/>
        </w:rPr>
        <w:t>2015</w:t>
      </w:r>
      <w:r>
        <w:t xml:space="preserve">, where </w:t>
      </w:r>
      <w:r w:rsidRPr="00C068AE">
        <w:rPr>
          <w:i/>
          <w:iCs/>
        </w:rPr>
        <w:t>µ</w:t>
      </w:r>
      <w:r w:rsidRPr="00C068AE">
        <w:rPr>
          <w:i/>
          <w:iCs/>
          <w:vertAlign w:val="subscript"/>
        </w:rPr>
        <w:t>2005</w:t>
      </w:r>
      <w:r w:rsidRPr="00C068AE">
        <w:t xml:space="preserve"> </w:t>
      </w:r>
      <w:r>
        <w:t xml:space="preserve">and </w:t>
      </w:r>
      <w:r w:rsidRPr="00C068AE">
        <w:rPr>
          <w:i/>
          <w:iCs/>
        </w:rPr>
        <w:t>µ</w:t>
      </w:r>
      <w:r>
        <w:rPr>
          <w:vertAlign w:val="subscript"/>
        </w:rPr>
        <w:t xml:space="preserve">2015 </w:t>
      </w:r>
      <w:r>
        <w:t xml:space="preserve">correspond to the mean tCO2e Emission for the years 2005 and 2015 respectively. </w:t>
      </w:r>
    </w:p>
    <w:p w:rsidR="009F6353" w:rsidRPr="00C068AE" w:rsidRDefault="009F6353" w:rsidP="00F9747D">
      <w:pPr>
        <w:pStyle w:val="BodyText"/>
        <w:ind w:firstLine="720"/>
      </w:pPr>
      <w:r>
        <w:t xml:space="preserve">The second method is also is that of a two sample one-tailed t-test to test the following null and alternative hypothesis at a 0.05 level of significance (95% confidence level): </w:t>
      </w:r>
      <w:r w:rsidRPr="00C068AE">
        <w:rPr>
          <w:i/>
          <w:iCs/>
        </w:rPr>
        <w:t>H</w:t>
      </w:r>
      <w:r w:rsidRPr="00C068AE">
        <w:rPr>
          <w:i/>
          <w:iCs/>
          <w:vertAlign w:val="subscript"/>
        </w:rPr>
        <w:t>0</w:t>
      </w:r>
      <w:r w:rsidRPr="00C068AE">
        <w:rPr>
          <w:i/>
          <w:iCs/>
        </w:rPr>
        <w:t>:</w:t>
      </w:r>
      <w:r>
        <w:t xml:space="preserve"> </w:t>
      </w:r>
      <w:r w:rsidRPr="00C068AE">
        <w:rPr>
          <w:i/>
          <w:iCs/>
        </w:rPr>
        <w:t>µ</w:t>
      </w:r>
      <w:r w:rsidRPr="00C068AE">
        <w:rPr>
          <w:i/>
          <w:iCs/>
          <w:vertAlign w:val="subscript"/>
        </w:rPr>
        <w:t>2005</w:t>
      </w:r>
      <w:r w:rsidRPr="00C068AE">
        <w:t xml:space="preserve"> </w:t>
      </w:r>
      <w:r w:rsidRPr="00C068AE">
        <w:rPr>
          <w:i/>
          <w:iCs/>
        </w:rPr>
        <w:t>&lt;= µ</w:t>
      </w:r>
      <w:r>
        <w:rPr>
          <w:vertAlign w:val="subscript"/>
        </w:rPr>
        <w:t xml:space="preserve">2017 </w:t>
      </w:r>
      <w:r>
        <w:t xml:space="preserve">vs </w:t>
      </w:r>
      <w:r w:rsidRPr="00C068AE">
        <w:rPr>
          <w:i/>
          <w:iCs/>
        </w:rPr>
        <w:t>H</w:t>
      </w:r>
      <w:r w:rsidRPr="00C068AE">
        <w:rPr>
          <w:i/>
          <w:iCs/>
          <w:vertAlign w:val="subscript"/>
        </w:rPr>
        <w:t>1</w:t>
      </w:r>
      <w:r w:rsidRPr="00C068AE">
        <w:rPr>
          <w:i/>
          <w:iCs/>
        </w:rPr>
        <w:t>:</w:t>
      </w:r>
      <w:r>
        <w:t xml:space="preserve"> </w:t>
      </w:r>
      <w:r w:rsidRPr="00C068AE">
        <w:rPr>
          <w:i/>
          <w:iCs/>
        </w:rPr>
        <w:t>µ</w:t>
      </w:r>
      <w:r>
        <w:rPr>
          <w:vertAlign w:val="subscript"/>
        </w:rPr>
        <w:t>2005</w:t>
      </w:r>
      <w:r w:rsidRPr="00C068AE">
        <w:t xml:space="preserve"> </w:t>
      </w:r>
      <w:r w:rsidRPr="00C068AE">
        <w:rPr>
          <w:i/>
          <w:iCs/>
        </w:rPr>
        <w:t>&gt; µ</w:t>
      </w:r>
      <w:r>
        <w:rPr>
          <w:vertAlign w:val="subscript"/>
        </w:rPr>
        <w:t>2017</w:t>
      </w:r>
      <w:r>
        <w:t xml:space="preserve">, where </w:t>
      </w:r>
      <w:r w:rsidRPr="00C068AE">
        <w:rPr>
          <w:i/>
          <w:iCs/>
        </w:rPr>
        <w:t>µ</w:t>
      </w:r>
      <w:r w:rsidRPr="00C068AE">
        <w:rPr>
          <w:i/>
          <w:iCs/>
          <w:vertAlign w:val="subscript"/>
        </w:rPr>
        <w:t>2005</w:t>
      </w:r>
      <w:r w:rsidRPr="00C068AE">
        <w:t xml:space="preserve"> </w:t>
      </w:r>
      <w:r>
        <w:t xml:space="preserve">and </w:t>
      </w:r>
      <w:r w:rsidRPr="00C068AE">
        <w:rPr>
          <w:i/>
          <w:iCs/>
        </w:rPr>
        <w:t>µ</w:t>
      </w:r>
      <w:r>
        <w:rPr>
          <w:vertAlign w:val="subscript"/>
        </w:rPr>
        <w:t xml:space="preserve">2017 </w:t>
      </w:r>
      <w:r>
        <w:t>correspond to the mean tCO2e Emission for the years 2005 and 2017 respectively.</w:t>
      </w:r>
    </w:p>
    <w:p w:rsidR="009F6353" w:rsidRDefault="009F6353" w:rsidP="00F9747D">
      <w:pPr>
        <w:pStyle w:val="BodyText"/>
        <w:ind w:firstLine="720"/>
      </w:pPr>
      <w:r>
        <w:t xml:space="preserve">The third method is an ANCOVA model with Fuel Type as the grouping variable, Year as the covariate, and tCO2e Emission as the dependent variable. Also, a two sample one-tailed t-test is also used to test the following null and alternative hypothesis at a 0.05 level of significance (95% confidence level): </w:t>
      </w:r>
      <w:r w:rsidRPr="00C068AE">
        <w:rPr>
          <w:i/>
          <w:iCs/>
        </w:rPr>
        <w:t>H</w:t>
      </w:r>
      <w:r w:rsidRPr="00C068AE">
        <w:rPr>
          <w:i/>
          <w:iCs/>
          <w:vertAlign w:val="subscript"/>
        </w:rPr>
        <w:t>0</w:t>
      </w:r>
      <w:r w:rsidRPr="00C068AE">
        <w:rPr>
          <w:i/>
          <w:iCs/>
        </w:rPr>
        <w:t>:</w:t>
      </w:r>
      <w:r>
        <w:t xml:space="preserve"> </w:t>
      </w:r>
      <w:r w:rsidRPr="00C068AE">
        <w:rPr>
          <w:i/>
          <w:iCs/>
        </w:rPr>
        <w:t>µ</w:t>
      </w:r>
      <w:r>
        <w:rPr>
          <w:i/>
          <w:iCs/>
          <w:vertAlign w:val="subscript"/>
        </w:rPr>
        <w:t>Diesel</w:t>
      </w:r>
      <w:r w:rsidRPr="00C068AE">
        <w:t xml:space="preserve"> </w:t>
      </w:r>
      <w:r w:rsidRPr="00C068AE">
        <w:rPr>
          <w:i/>
          <w:iCs/>
        </w:rPr>
        <w:t>&lt;= µ</w:t>
      </w:r>
      <w:r>
        <w:rPr>
          <w:vertAlign w:val="subscript"/>
        </w:rPr>
        <w:t xml:space="preserve">Propane </w:t>
      </w:r>
      <w:r>
        <w:t xml:space="preserve">vs </w:t>
      </w:r>
      <w:r w:rsidRPr="00C068AE">
        <w:rPr>
          <w:i/>
          <w:iCs/>
        </w:rPr>
        <w:t>H</w:t>
      </w:r>
      <w:r w:rsidRPr="00C068AE">
        <w:rPr>
          <w:i/>
          <w:iCs/>
          <w:vertAlign w:val="subscript"/>
        </w:rPr>
        <w:t>1</w:t>
      </w:r>
      <w:r w:rsidRPr="00C068AE">
        <w:rPr>
          <w:i/>
          <w:iCs/>
        </w:rPr>
        <w:t>:</w:t>
      </w:r>
      <w:r>
        <w:t xml:space="preserve"> </w:t>
      </w:r>
      <w:r w:rsidRPr="00C068AE">
        <w:rPr>
          <w:i/>
          <w:iCs/>
        </w:rPr>
        <w:t>µ</w:t>
      </w:r>
      <w:r>
        <w:rPr>
          <w:vertAlign w:val="subscript"/>
        </w:rPr>
        <w:t>Diesel</w:t>
      </w:r>
      <w:r w:rsidRPr="00C068AE">
        <w:t xml:space="preserve"> </w:t>
      </w:r>
      <w:r w:rsidRPr="00C068AE">
        <w:rPr>
          <w:i/>
          <w:iCs/>
        </w:rPr>
        <w:t>&gt; µ</w:t>
      </w:r>
      <w:r>
        <w:rPr>
          <w:vertAlign w:val="subscript"/>
        </w:rPr>
        <w:t>Propane</w:t>
      </w:r>
      <w:r>
        <w:t xml:space="preserve">, where </w:t>
      </w:r>
      <w:r w:rsidRPr="00C068AE">
        <w:rPr>
          <w:i/>
          <w:iCs/>
        </w:rPr>
        <w:t>µ</w:t>
      </w:r>
      <w:r>
        <w:rPr>
          <w:i/>
          <w:iCs/>
          <w:vertAlign w:val="subscript"/>
        </w:rPr>
        <w:t>Diesel</w:t>
      </w:r>
      <w:r w:rsidRPr="00C068AE">
        <w:t xml:space="preserve"> </w:t>
      </w:r>
      <w:r>
        <w:t xml:space="preserve">and </w:t>
      </w:r>
      <w:r w:rsidRPr="00C068AE">
        <w:rPr>
          <w:i/>
          <w:iCs/>
        </w:rPr>
        <w:t>µ</w:t>
      </w:r>
      <w:r>
        <w:rPr>
          <w:vertAlign w:val="subscript"/>
        </w:rPr>
        <w:t xml:space="preserve">Propane </w:t>
      </w:r>
      <w:r>
        <w:t>correspond to the mean tCO2e Emission for the fuels Diesel and Propane respectively.</w:t>
      </w:r>
    </w:p>
    <w:p w:rsidR="009F6353" w:rsidRDefault="009F6353" w:rsidP="00733869">
      <w:pPr>
        <w:pStyle w:val="BodyText"/>
        <w:ind w:firstLine="720"/>
      </w:pPr>
      <w:r>
        <w:t>The fourth method is also an ANCOVA model with Facility as the grouping variable, Year as the covariate, and tCO2e Emission as the dependent variable.</w:t>
      </w:r>
      <w:r w:rsidRPr="002326D4">
        <w:t xml:space="preserve"> </w:t>
      </w:r>
      <w:r>
        <w:t xml:space="preserve">Along with this, a two sample one-tailed t-test is conducted to test the following null and alternative hypothesis at a 0.05 level of significance (95% confidence level): </w:t>
      </w:r>
      <w:r w:rsidRPr="00C068AE">
        <w:rPr>
          <w:i/>
          <w:iCs/>
        </w:rPr>
        <w:t>H</w:t>
      </w:r>
      <w:r w:rsidRPr="00C068AE">
        <w:rPr>
          <w:i/>
          <w:iCs/>
          <w:vertAlign w:val="subscript"/>
        </w:rPr>
        <w:t>0</w:t>
      </w:r>
      <w:r w:rsidRPr="00C068AE">
        <w:rPr>
          <w:i/>
          <w:iCs/>
        </w:rPr>
        <w:t>:</w:t>
      </w:r>
      <w:r>
        <w:t xml:space="preserve"> </w:t>
      </w:r>
      <w:r w:rsidRPr="00C068AE">
        <w:rPr>
          <w:i/>
          <w:iCs/>
        </w:rPr>
        <w:t>µ</w:t>
      </w:r>
      <w:r w:rsidRPr="00C068AE">
        <w:rPr>
          <w:i/>
          <w:iCs/>
          <w:vertAlign w:val="subscript"/>
        </w:rPr>
        <w:t>20</w:t>
      </w:r>
      <w:r>
        <w:rPr>
          <w:i/>
          <w:iCs/>
          <w:vertAlign w:val="subscript"/>
        </w:rPr>
        <w:t>10</w:t>
      </w:r>
      <w:r w:rsidRPr="00C068AE">
        <w:t xml:space="preserve"> </w:t>
      </w:r>
      <w:r w:rsidRPr="00C068AE">
        <w:rPr>
          <w:i/>
          <w:iCs/>
        </w:rPr>
        <w:t>&lt;= µ</w:t>
      </w:r>
      <w:r>
        <w:rPr>
          <w:vertAlign w:val="subscript"/>
        </w:rPr>
        <w:t xml:space="preserve">2017 </w:t>
      </w:r>
      <w:r>
        <w:t xml:space="preserve">vs </w:t>
      </w:r>
      <w:r w:rsidRPr="00C068AE">
        <w:rPr>
          <w:i/>
          <w:iCs/>
        </w:rPr>
        <w:t>H</w:t>
      </w:r>
      <w:r w:rsidRPr="00C068AE">
        <w:rPr>
          <w:i/>
          <w:iCs/>
          <w:vertAlign w:val="subscript"/>
        </w:rPr>
        <w:t>1</w:t>
      </w:r>
      <w:r w:rsidRPr="00C068AE">
        <w:rPr>
          <w:i/>
          <w:iCs/>
        </w:rPr>
        <w:t>:</w:t>
      </w:r>
      <w:r>
        <w:t xml:space="preserve"> </w:t>
      </w:r>
      <w:r w:rsidRPr="00C068AE">
        <w:rPr>
          <w:i/>
          <w:iCs/>
        </w:rPr>
        <w:t>µ</w:t>
      </w:r>
      <w:r>
        <w:rPr>
          <w:vertAlign w:val="subscript"/>
        </w:rPr>
        <w:t>2010</w:t>
      </w:r>
      <w:r w:rsidRPr="00C068AE">
        <w:t xml:space="preserve"> </w:t>
      </w:r>
      <w:r w:rsidRPr="00C068AE">
        <w:rPr>
          <w:i/>
          <w:iCs/>
        </w:rPr>
        <w:t>&gt; µ</w:t>
      </w:r>
      <w:r>
        <w:rPr>
          <w:vertAlign w:val="subscript"/>
        </w:rPr>
        <w:t>2017</w:t>
      </w:r>
      <w:r>
        <w:t xml:space="preserve">, where </w:t>
      </w:r>
      <w:r w:rsidRPr="00C068AE">
        <w:rPr>
          <w:i/>
          <w:iCs/>
        </w:rPr>
        <w:t>µ</w:t>
      </w:r>
      <w:r w:rsidRPr="00C068AE">
        <w:rPr>
          <w:i/>
          <w:iCs/>
          <w:vertAlign w:val="subscript"/>
        </w:rPr>
        <w:t>20</w:t>
      </w:r>
      <w:r>
        <w:rPr>
          <w:i/>
          <w:iCs/>
          <w:vertAlign w:val="subscript"/>
        </w:rPr>
        <w:t>10</w:t>
      </w:r>
      <w:r w:rsidRPr="00C068AE">
        <w:t xml:space="preserve"> </w:t>
      </w:r>
      <w:r>
        <w:t xml:space="preserve">and </w:t>
      </w:r>
      <w:r w:rsidRPr="00C068AE">
        <w:rPr>
          <w:i/>
          <w:iCs/>
        </w:rPr>
        <w:t>µ</w:t>
      </w:r>
      <w:r>
        <w:rPr>
          <w:vertAlign w:val="subscript"/>
        </w:rPr>
        <w:t xml:space="preserve">2017 </w:t>
      </w:r>
      <w:r>
        <w:t xml:space="preserve">correspond to the mean tCO2e Emission for the Street Light Facility for years 2010 and 2017 respectively. </w:t>
      </w:r>
    </w:p>
    <w:p w:rsidR="009F6353" w:rsidRDefault="009F6353" w:rsidP="009F6353">
      <w:pPr>
        <w:pStyle w:val="BodyText"/>
      </w:pPr>
      <w:r>
        <w:tab/>
        <w:t>The last method used is an Autoregressive (Lag 1) model for tCO2e Emission. I used this methodology to gain more information on whether tCO2e Emission observations across time are independent or not. The estimate of the correlation, if closer to 1, would mean that tCO2e Emission observations are not independent.</w:t>
      </w:r>
    </w:p>
    <w:p w:rsidR="009F6353" w:rsidRDefault="009F6353" w:rsidP="009F6353">
      <w:pPr>
        <w:pStyle w:val="Heading1"/>
        <w:spacing w:line="360" w:lineRule="auto"/>
        <w:ind w:left="0"/>
        <w:rPr>
          <w:color w:val="4F81BC"/>
        </w:rPr>
      </w:pPr>
      <w:r>
        <w:rPr>
          <w:color w:val="4F81BC"/>
        </w:rPr>
        <w:lastRenderedPageBreak/>
        <w:t>Results</w:t>
      </w:r>
    </w:p>
    <w:p w:rsidR="009F6353" w:rsidRDefault="009F6353" w:rsidP="009F6353">
      <w:pPr>
        <w:pStyle w:val="Heading1"/>
        <w:ind w:left="0"/>
        <w:rPr>
          <w:b w:val="0"/>
          <w:bCs w:val="0"/>
          <w:color w:val="000000" w:themeColor="text1"/>
          <w:sz w:val="24"/>
          <w:szCs w:val="24"/>
        </w:rPr>
      </w:pPr>
      <w:r>
        <w:rPr>
          <w:b w:val="0"/>
          <w:bCs w:val="0"/>
          <w:color w:val="4F81BC"/>
          <w:sz w:val="24"/>
          <w:szCs w:val="24"/>
        </w:rPr>
        <w:tab/>
      </w:r>
      <w:r>
        <w:rPr>
          <w:b w:val="0"/>
          <w:bCs w:val="0"/>
          <w:color w:val="000000" w:themeColor="text1"/>
          <w:sz w:val="24"/>
          <w:szCs w:val="24"/>
        </w:rPr>
        <w:t xml:space="preserve">The first method’s </w:t>
      </w:r>
      <w:r w:rsidRPr="003E794F">
        <w:rPr>
          <w:b w:val="0"/>
          <w:bCs w:val="0"/>
          <w:color w:val="000000" w:themeColor="text1"/>
          <w:sz w:val="24"/>
          <w:szCs w:val="24"/>
        </w:rPr>
        <w:t>one-tailed</w:t>
      </w:r>
      <w:r>
        <w:rPr>
          <w:b w:val="0"/>
          <w:bCs w:val="0"/>
          <w:color w:val="000000" w:themeColor="text1"/>
          <w:sz w:val="24"/>
          <w:szCs w:val="24"/>
        </w:rPr>
        <w:t xml:space="preserve"> t-test yielded a p-value of 0.02443 &lt; alpha = 0.05, which means we reject the null hypothesis and, therefore, conclude that </w:t>
      </w:r>
      <w:r w:rsidRPr="003E794F">
        <w:rPr>
          <w:b w:val="0"/>
          <w:bCs w:val="0"/>
          <w:color w:val="000000" w:themeColor="text1"/>
          <w:sz w:val="24"/>
          <w:szCs w:val="24"/>
        </w:rPr>
        <w:t>mean tCO2e Emission</w:t>
      </w:r>
      <w:r>
        <w:rPr>
          <w:b w:val="0"/>
          <w:bCs w:val="0"/>
          <w:color w:val="000000" w:themeColor="text1"/>
          <w:sz w:val="24"/>
          <w:szCs w:val="24"/>
        </w:rPr>
        <w:t xml:space="preserve"> for 2005 was significantly greater than that of 2015. Hence, our statistical test does agree with the claims of the </w:t>
      </w:r>
      <w:r w:rsidRPr="00723017">
        <w:rPr>
          <w:b w:val="0"/>
          <w:bCs w:val="0"/>
          <w:color w:val="000000" w:themeColor="text1"/>
          <w:sz w:val="24"/>
          <w:szCs w:val="24"/>
        </w:rPr>
        <w:t>201</w:t>
      </w:r>
      <w:r>
        <w:rPr>
          <w:b w:val="0"/>
          <w:bCs w:val="0"/>
          <w:color w:val="000000" w:themeColor="text1"/>
          <w:sz w:val="24"/>
          <w:szCs w:val="24"/>
        </w:rPr>
        <w:t>1</w:t>
      </w:r>
      <w:r w:rsidRPr="00723017">
        <w:rPr>
          <w:b w:val="0"/>
          <w:bCs w:val="0"/>
          <w:color w:val="000000" w:themeColor="text1"/>
          <w:sz w:val="24"/>
          <w:szCs w:val="24"/>
        </w:rPr>
        <w:t xml:space="preserve"> </w:t>
      </w:r>
      <w:r>
        <w:rPr>
          <w:b w:val="0"/>
          <w:bCs w:val="0"/>
          <w:color w:val="000000" w:themeColor="text1"/>
          <w:sz w:val="24"/>
          <w:szCs w:val="24"/>
        </w:rPr>
        <w:t xml:space="preserve">and 2014 </w:t>
      </w:r>
      <w:r w:rsidRPr="00723017">
        <w:rPr>
          <w:b w:val="0"/>
          <w:bCs w:val="0"/>
          <w:color w:val="000000" w:themeColor="text1"/>
          <w:sz w:val="24"/>
          <w:szCs w:val="24"/>
        </w:rPr>
        <w:t>CAP</w:t>
      </w:r>
      <w:r>
        <w:rPr>
          <w:b w:val="0"/>
          <w:bCs w:val="0"/>
          <w:color w:val="000000" w:themeColor="text1"/>
          <w:sz w:val="24"/>
          <w:szCs w:val="24"/>
        </w:rPr>
        <w:t xml:space="preserve"> that tCO2e Emissions did, in fact, decrease significantly by 2015. However, in the second method, when the year is changed to 2017 instead of 2015 for the same t-test, we obtain p-value of 0.5982 &gt; alpha = 0.05, which means we don’t reject the null hypothesis and, therefore, do not have enough evidence to conclude that </w:t>
      </w:r>
      <w:r w:rsidRPr="003E794F">
        <w:rPr>
          <w:b w:val="0"/>
          <w:bCs w:val="0"/>
          <w:color w:val="000000" w:themeColor="text1"/>
          <w:sz w:val="24"/>
          <w:szCs w:val="24"/>
        </w:rPr>
        <w:t>mean tCO2e Emission</w:t>
      </w:r>
      <w:r>
        <w:rPr>
          <w:b w:val="0"/>
          <w:bCs w:val="0"/>
          <w:color w:val="000000" w:themeColor="text1"/>
          <w:sz w:val="24"/>
          <w:szCs w:val="24"/>
        </w:rPr>
        <w:t xml:space="preserve"> for 2005 was significantly greater than that of 2017. Therefore, this statistical analysis does agree with Figure 2 in the EDA section, but does not agree with the GHG Inventory Report statistic that </w:t>
      </w:r>
      <w:r w:rsidRPr="008C101B">
        <w:rPr>
          <w:b w:val="0"/>
          <w:bCs w:val="0"/>
          <w:color w:val="000000" w:themeColor="text1"/>
          <w:sz w:val="24"/>
          <w:szCs w:val="24"/>
        </w:rPr>
        <w:t>emissions from LGO’s in 2017 were 41 per cent less than they were in 2005</w:t>
      </w:r>
      <w:r>
        <w:rPr>
          <w:b w:val="0"/>
          <w:bCs w:val="0"/>
          <w:color w:val="000000" w:themeColor="text1"/>
          <w:sz w:val="24"/>
          <w:szCs w:val="24"/>
        </w:rPr>
        <w:t>.</w:t>
      </w:r>
    </w:p>
    <w:p w:rsidR="009F6353" w:rsidRDefault="009F6353" w:rsidP="009F6353">
      <w:pPr>
        <w:pStyle w:val="Heading1"/>
        <w:ind w:left="0"/>
        <w:rPr>
          <w:b w:val="0"/>
          <w:bCs w:val="0"/>
          <w:color w:val="000000" w:themeColor="text1"/>
          <w:sz w:val="24"/>
          <w:szCs w:val="24"/>
        </w:rPr>
      </w:pPr>
      <w:r>
        <w:rPr>
          <w:b w:val="0"/>
          <w:bCs w:val="0"/>
          <w:color w:val="000000" w:themeColor="text1"/>
          <w:sz w:val="24"/>
          <w:szCs w:val="24"/>
        </w:rPr>
        <w:tab/>
        <w:t xml:space="preserve">For the </w:t>
      </w:r>
      <w:r w:rsidRPr="008C101B">
        <w:rPr>
          <w:b w:val="0"/>
          <w:bCs w:val="0"/>
          <w:color w:val="000000" w:themeColor="text1"/>
          <w:sz w:val="24"/>
          <w:szCs w:val="24"/>
        </w:rPr>
        <w:t xml:space="preserve">ANCOVA model </w:t>
      </w:r>
      <w:r>
        <w:rPr>
          <w:b w:val="0"/>
          <w:bCs w:val="0"/>
          <w:color w:val="000000" w:themeColor="text1"/>
          <w:sz w:val="24"/>
          <w:szCs w:val="24"/>
        </w:rPr>
        <w:t xml:space="preserve">specified in the third method, I obtained a significant p-value of 6.365e-07 &lt; alpha = 0.05, so we reject the null hypothesis and, therefore, conclude that Fuel Type is important to determining tCO2e Emissions, after taking into account Year. The </w:t>
      </w:r>
      <w:r w:rsidRPr="003E794F">
        <w:rPr>
          <w:b w:val="0"/>
          <w:bCs w:val="0"/>
          <w:color w:val="000000" w:themeColor="text1"/>
          <w:sz w:val="24"/>
          <w:szCs w:val="24"/>
        </w:rPr>
        <w:t>one-tailed</w:t>
      </w:r>
      <w:r>
        <w:rPr>
          <w:b w:val="0"/>
          <w:bCs w:val="0"/>
          <w:color w:val="000000" w:themeColor="text1"/>
          <w:sz w:val="24"/>
          <w:szCs w:val="24"/>
        </w:rPr>
        <w:t xml:space="preserve"> t-test yielded a p-value of 0.6691 &gt; alpha = 0.05, which means we don’t reject the null hypothesis and, therefore, do not have enough evidence to conclude that </w:t>
      </w:r>
      <w:r w:rsidRPr="003E794F">
        <w:rPr>
          <w:b w:val="0"/>
          <w:bCs w:val="0"/>
          <w:color w:val="000000" w:themeColor="text1"/>
          <w:sz w:val="24"/>
          <w:szCs w:val="24"/>
        </w:rPr>
        <w:t>mean tCO2e Emission</w:t>
      </w:r>
      <w:r>
        <w:rPr>
          <w:b w:val="0"/>
          <w:bCs w:val="0"/>
          <w:color w:val="000000" w:themeColor="text1"/>
          <w:sz w:val="24"/>
          <w:szCs w:val="24"/>
        </w:rPr>
        <w:t xml:space="preserve"> for Propane was significantly lesser than that of Diesel. Hence, our statistical test does not agree with the claims that although Diesel consumption by Boston Public Schools may have decreased for their fleet of buses, average tCO2e Emission of Propane and Diesel are not significantly different, which means that we do not have enough evidence to conclude that Propane-powered buses are cleaner than Diesel consuming buses.</w:t>
      </w:r>
    </w:p>
    <w:p w:rsidR="009F6353" w:rsidRDefault="009F6353" w:rsidP="009F6353">
      <w:pPr>
        <w:pStyle w:val="Heading1"/>
        <w:ind w:left="0"/>
        <w:rPr>
          <w:b w:val="0"/>
          <w:bCs w:val="0"/>
          <w:color w:val="000000" w:themeColor="text1"/>
          <w:sz w:val="24"/>
          <w:szCs w:val="24"/>
        </w:rPr>
      </w:pPr>
      <w:r>
        <w:rPr>
          <w:b w:val="0"/>
          <w:bCs w:val="0"/>
          <w:color w:val="000000" w:themeColor="text1"/>
          <w:sz w:val="24"/>
          <w:szCs w:val="24"/>
        </w:rPr>
        <w:tab/>
      </w:r>
      <w:r w:rsidRPr="00777A68">
        <w:rPr>
          <w:b w:val="0"/>
          <w:bCs w:val="0"/>
          <w:color w:val="000000" w:themeColor="text1"/>
          <w:sz w:val="24"/>
          <w:szCs w:val="24"/>
        </w:rPr>
        <w:t>For the ANCOVA model specified in the fourth method, I obtained a significant p-value of 6.364e-10 &lt; alpha = 0.05, so we reject the null hypothesis and, therefore, conclude that Facility is important to determining tCO2e Emissions, after taking into account Year. The one-tailed t-test yielded a p-value of 0.7452 &gt; alpha = 0.05, which means we don’t reject the null hypothesis and, therefore, do not have enough evidence to conclude that mean tCO2e Emission</w:t>
      </w:r>
      <w:r>
        <w:rPr>
          <w:b w:val="0"/>
          <w:bCs w:val="0"/>
          <w:color w:val="000000" w:themeColor="text1"/>
          <w:sz w:val="24"/>
          <w:szCs w:val="24"/>
        </w:rPr>
        <w:t>s</w:t>
      </w:r>
      <w:r w:rsidRPr="00777A68">
        <w:rPr>
          <w:b w:val="0"/>
          <w:bCs w:val="0"/>
          <w:color w:val="000000" w:themeColor="text1"/>
          <w:sz w:val="24"/>
          <w:szCs w:val="24"/>
        </w:rPr>
        <w:t xml:space="preserve"> for Street Light</w:t>
      </w:r>
      <w:r>
        <w:rPr>
          <w:b w:val="0"/>
          <w:bCs w:val="0"/>
          <w:color w:val="000000" w:themeColor="text1"/>
          <w:sz w:val="24"/>
          <w:szCs w:val="24"/>
        </w:rPr>
        <w:t>s</w:t>
      </w:r>
      <w:r w:rsidRPr="00777A68">
        <w:rPr>
          <w:b w:val="0"/>
          <w:bCs w:val="0"/>
          <w:color w:val="000000" w:themeColor="text1"/>
          <w:sz w:val="24"/>
          <w:szCs w:val="24"/>
        </w:rPr>
        <w:t xml:space="preserve"> in 2017 </w:t>
      </w:r>
      <w:r>
        <w:rPr>
          <w:b w:val="0"/>
          <w:bCs w:val="0"/>
          <w:color w:val="000000" w:themeColor="text1"/>
          <w:sz w:val="24"/>
          <w:szCs w:val="24"/>
        </w:rPr>
        <w:t>were</w:t>
      </w:r>
      <w:r w:rsidRPr="00777A68">
        <w:rPr>
          <w:b w:val="0"/>
          <w:bCs w:val="0"/>
          <w:color w:val="000000" w:themeColor="text1"/>
          <w:sz w:val="24"/>
          <w:szCs w:val="24"/>
        </w:rPr>
        <w:t xml:space="preserve"> significantly lesser than that of 2010. Hence, our statistical test does not agree with the claim </w:t>
      </w:r>
      <w:r>
        <w:rPr>
          <w:b w:val="0"/>
          <w:bCs w:val="0"/>
          <w:color w:val="000000" w:themeColor="text1"/>
          <w:sz w:val="24"/>
          <w:szCs w:val="24"/>
        </w:rPr>
        <w:t xml:space="preserve">of the GHG Inventory Report </w:t>
      </w:r>
      <w:r w:rsidRPr="00777A68">
        <w:rPr>
          <w:b w:val="0"/>
          <w:bCs w:val="0"/>
          <w:color w:val="000000" w:themeColor="text1"/>
          <w:sz w:val="24"/>
          <w:szCs w:val="24"/>
        </w:rPr>
        <w:t xml:space="preserve">that </w:t>
      </w:r>
      <w:r>
        <w:rPr>
          <w:b w:val="0"/>
          <w:bCs w:val="0"/>
          <w:color w:val="000000" w:themeColor="text1"/>
          <w:sz w:val="24"/>
          <w:szCs w:val="24"/>
        </w:rPr>
        <w:t>converting</w:t>
      </w:r>
      <w:r w:rsidRPr="00777A68">
        <w:rPr>
          <w:b w:val="0"/>
          <w:bCs w:val="0"/>
          <w:color w:val="000000" w:themeColor="text1"/>
          <w:sz w:val="24"/>
          <w:szCs w:val="24"/>
        </w:rPr>
        <w:t xml:space="preserve"> electric street lights to LEDs</w:t>
      </w:r>
      <w:r>
        <w:rPr>
          <w:b w:val="0"/>
          <w:bCs w:val="0"/>
          <w:color w:val="000000" w:themeColor="text1"/>
          <w:sz w:val="24"/>
          <w:szCs w:val="24"/>
        </w:rPr>
        <w:t>,</w:t>
      </w:r>
      <w:r w:rsidRPr="00777A68">
        <w:rPr>
          <w:b w:val="0"/>
          <w:bCs w:val="0"/>
          <w:color w:val="000000" w:themeColor="text1"/>
          <w:sz w:val="24"/>
          <w:szCs w:val="24"/>
        </w:rPr>
        <w:t xml:space="preserve"> dating back to 2010</w:t>
      </w:r>
      <w:r>
        <w:rPr>
          <w:b w:val="0"/>
          <w:bCs w:val="0"/>
          <w:color w:val="000000" w:themeColor="text1"/>
          <w:sz w:val="24"/>
          <w:szCs w:val="24"/>
        </w:rPr>
        <w:t>, led to</w:t>
      </w:r>
      <w:r w:rsidRPr="00777A68">
        <w:rPr>
          <w:b w:val="0"/>
          <w:bCs w:val="0"/>
          <w:color w:val="000000" w:themeColor="text1"/>
          <w:sz w:val="24"/>
          <w:szCs w:val="24"/>
        </w:rPr>
        <w:t xml:space="preserve"> </w:t>
      </w:r>
      <w:r>
        <w:rPr>
          <w:b w:val="0"/>
          <w:bCs w:val="0"/>
          <w:color w:val="000000" w:themeColor="text1"/>
          <w:sz w:val="24"/>
          <w:szCs w:val="24"/>
        </w:rPr>
        <w:t xml:space="preserve">a cut in </w:t>
      </w:r>
      <w:r w:rsidRPr="00777A68">
        <w:rPr>
          <w:b w:val="0"/>
          <w:bCs w:val="0"/>
          <w:color w:val="000000" w:themeColor="text1"/>
          <w:sz w:val="24"/>
          <w:szCs w:val="24"/>
        </w:rPr>
        <w:t>emissions from street lights in half.</w:t>
      </w:r>
      <w:r>
        <w:rPr>
          <w:b w:val="0"/>
          <w:bCs w:val="0"/>
          <w:color w:val="000000" w:themeColor="text1"/>
          <w:sz w:val="24"/>
          <w:szCs w:val="24"/>
        </w:rPr>
        <w:t xml:space="preserve"> </w:t>
      </w:r>
    </w:p>
    <w:p w:rsidR="009F6353" w:rsidRPr="00777A68" w:rsidRDefault="009F6353" w:rsidP="009F6353">
      <w:pPr>
        <w:pStyle w:val="Heading1"/>
        <w:ind w:left="0"/>
        <w:rPr>
          <w:b w:val="0"/>
          <w:bCs w:val="0"/>
          <w:color w:val="000000" w:themeColor="text1"/>
          <w:sz w:val="24"/>
          <w:szCs w:val="24"/>
        </w:rPr>
      </w:pPr>
      <w:r>
        <w:rPr>
          <w:b w:val="0"/>
          <w:bCs w:val="0"/>
          <w:color w:val="000000" w:themeColor="text1"/>
          <w:sz w:val="24"/>
          <w:szCs w:val="24"/>
        </w:rPr>
        <w:tab/>
        <w:t>Lastly, from the Autoregressive model, t</w:t>
      </w:r>
      <w:r w:rsidRPr="00AA461C">
        <w:rPr>
          <w:b w:val="0"/>
          <w:bCs w:val="0"/>
          <w:color w:val="000000" w:themeColor="text1"/>
          <w:sz w:val="24"/>
          <w:szCs w:val="24"/>
        </w:rPr>
        <w:t xml:space="preserve">he estimate of the correlation in the data at a time lag of 1 is </w:t>
      </w:r>
      <w:r>
        <w:rPr>
          <w:b w:val="0"/>
          <w:bCs w:val="0"/>
          <w:color w:val="000000" w:themeColor="text1"/>
          <w:sz w:val="24"/>
          <w:szCs w:val="24"/>
        </w:rPr>
        <w:t>6.017</w:t>
      </w:r>
      <w:r w:rsidRPr="00AA461C">
        <w:rPr>
          <w:b w:val="0"/>
          <w:bCs w:val="0"/>
          <w:color w:val="000000" w:themeColor="text1"/>
          <w:sz w:val="24"/>
          <w:szCs w:val="24"/>
        </w:rPr>
        <w:t>e-01 or 0.</w:t>
      </w:r>
      <w:r>
        <w:rPr>
          <w:b w:val="0"/>
          <w:bCs w:val="0"/>
          <w:color w:val="000000" w:themeColor="text1"/>
          <w:sz w:val="24"/>
          <w:szCs w:val="24"/>
        </w:rPr>
        <w:t>6017</w:t>
      </w:r>
      <w:r w:rsidRPr="00AA461C">
        <w:rPr>
          <w:b w:val="0"/>
          <w:bCs w:val="0"/>
          <w:color w:val="000000" w:themeColor="text1"/>
          <w:sz w:val="24"/>
          <w:szCs w:val="24"/>
        </w:rPr>
        <w:t>, which signifies a strong correlation (correlation close to 1), and</w:t>
      </w:r>
      <w:r>
        <w:rPr>
          <w:b w:val="0"/>
          <w:bCs w:val="0"/>
          <w:color w:val="000000" w:themeColor="text1"/>
          <w:sz w:val="24"/>
          <w:szCs w:val="24"/>
        </w:rPr>
        <w:t>, also,</w:t>
      </w:r>
      <w:r w:rsidRPr="00AA461C">
        <w:rPr>
          <w:b w:val="0"/>
          <w:bCs w:val="0"/>
          <w:color w:val="000000" w:themeColor="text1"/>
          <w:sz w:val="24"/>
          <w:szCs w:val="24"/>
        </w:rPr>
        <w:t xml:space="preserve"> the estimate is statistically significant too as its p-value </w:t>
      </w:r>
      <w:r>
        <w:rPr>
          <w:b w:val="0"/>
          <w:bCs w:val="0"/>
          <w:color w:val="000000" w:themeColor="text1"/>
          <w:sz w:val="24"/>
          <w:szCs w:val="24"/>
        </w:rPr>
        <w:t>&lt; 2e-16</w:t>
      </w:r>
      <w:r w:rsidRPr="00AA461C">
        <w:rPr>
          <w:b w:val="0"/>
          <w:bCs w:val="0"/>
          <w:color w:val="000000" w:themeColor="text1"/>
          <w:sz w:val="24"/>
          <w:szCs w:val="24"/>
        </w:rPr>
        <w:t>. Therefore, the observations are not independent.</w:t>
      </w:r>
    </w:p>
    <w:p w:rsidR="009F6353" w:rsidRDefault="009F6353" w:rsidP="009F6353">
      <w:pPr>
        <w:pStyle w:val="Heading1"/>
        <w:ind w:left="0"/>
        <w:rPr>
          <w:b w:val="0"/>
          <w:bCs w:val="0"/>
          <w:color w:val="000000" w:themeColor="text1"/>
          <w:sz w:val="24"/>
          <w:szCs w:val="24"/>
        </w:rPr>
      </w:pPr>
    </w:p>
    <w:p w:rsidR="009F6353" w:rsidRDefault="009F6353" w:rsidP="009F6353">
      <w:pPr>
        <w:pStyle w:val="Heading1"/>
        <w:ind w:left="0"/>
        <w:rPr>
          <w:color w:val="1F497D" w:themeColor="text2"/>
        </w:rPr>
      </w:pPr>
      <w:r>
        <w:rPr>
          <w:color w:val="1F497D" w:themeColor="text2"/>
        </w:rPr>
        <w:t>Discussion/Conclusion</w:t>
      </w:r>
    </w:p>
    <w:p w:rsidR="009F6353" w:rsidRDefault="009F6353" w:rsidP="009F6353">
      <w:pPr>
        <w:pStyle w:val="Heading1"/>
        <w:ind w:left="0"/>
        <w:rPr>
          <w:b w:val="0"/>
          <w:bCs w:val="0"/>
          <w:color w:val="000000" w:themeColor="text1"/>
          <w:sz w:val="24"/>
          <w:szCs w:val="24"/>
        </w:rPr>
      </w:pPr>
    </w:p>
    <w:p w:rsidR="00DE57BB" w:rsidRDefault="009F6353" w:rsidP="009F6353">
      <w:pPr>
        <w:pStyle w:val="BodyText"/>
      </w:pPr>
      <w:r>
        <w:tab/>
        <w:t xml:space="preserve">In conclusion, the results obtained from our analyses differs by a large extent to what the various claims in the GHG Inventory Report as well as the 2014 and 2019 CAP reports suggest. The reason of this discrepancy is still unknown, but it could potentially be tracked back to maybe drawbacks in data cleaning and/or collection. Maybe the removal of 160 odd NA’s out of a dataset of 1000 odd observations was not the best method and, hence, could have possibly lead to loss of crucial information. However, practically, the NA values would not have made a large impact to affect our analyses in such a significant manner that our EDA and methods give different results altogether. Therefore, the </w:t>
      </w:r>
      <w:r w:rsidR="00724E4A">
        <w:t xml:space="preserve">potential drawback of </w:t>
      </w:r>
      <w:r w:rsidR="00DE57BB">
        <w:t xml:space="preserve">data cleaning can be nullified. On the other hand, data collection from the municipal perspective could be a reason here and </w:t>
      </w:r>
      <w:r w:rsidR="00DE57BB">
        <w:lastRenderedPageBreak/>
        <w:t xml:space="preserve">maybe data used to generate the CAP and GHG Inventory reports might be different from what was posted on the website. </w:t>
      </w:r>
      <w:bookmarkStart w:id="0" w:name="_GoBack"/>
      <w:bookmarkEnd w:id="0"/>
    </w:p>
    <w:p w:rsidR="009F6353" w:rsidRPr="00DE57BB" w:rsidRDefault="00DE57BB" w:rsidP="00DE57BB">
      <w:pPr>
        <w:pStyle w:val="BodyText"/>
      </w:pPr>
      <w:r>
        <w:tab/>
        <w:t>In terms of methods used, hypothesis tests are always vulnerable to drawbacks, such as generating unrealistic null hypotheses that stem from our “goal” of rejecting the null that we had already concluded was true initially. Moreover, the ASA Statement on p-values applies to most methods described above and the main drawback is that the conclusions stated in the results were attained by setting a significance threshold and, hence, other robust ways of testing the claims could be used.</w:t>
      </w:r>
      <w:r w:rsidR="00053CA4">
        <w:t xml:space="preserve"> Next steps to work in this area of research would be to attain a larger, more representative dataset from </w:t>
      </w:r>
      <w:r w:rsidR="00F9747D">
        <w:t>a</w:t>
      </w:r>
      <w:r w:rsidR="00053CA4">
        <w:t xml:space="preserve"> </w:t>
      </w:r>
      <w:r w:rsidR="00F9747D">
        <w:t>government source and use models/simulations that do not suffer from the drawbacks of p-values or hypothesis tests.</w:t>
      </w:r>
    </w:p>
    <w:p w:rsidR="009F6353" w:rsidRDefault="009F6353" w:rsidP="009F6353">
      <w:pPr>
        <w:pStyle w:val="Heading1"/>
        <w:ind w:left="0"/>
        <w:rPr>
          <w:b w:val="0"/>
          <w:bCs w:val="0"/>
          <w:color w:val="000000" w:themeColor="text1"/>
          <w:sz w:val="24"/>
          <w:szCs w:val="24"/>
        </w:rPr>
      </w:pPr>
    </w:p>
    <w:p w:rsidR="009F6353" w:rsidRDefault="009F6353" w:rsidP="009F6353">
      <w:pPr>
        <w:spacing w:before="59"/>
        <w:rPr>
          <w:b/>
          <w:sz w:val="32"/>
        </w:rPr>
      </w:pPr>
      <w:r>
        <w:rPr>
          <w:b/>
          <w:color w:val="345A89"/>
          <w:sz w:val="32"/>
        </w:rPr>
        <w:t>Bibliography</w:t>
      </w:r>
    </w:p>
    <w:p w:rsidR="009F6353" w:rsidRDefault="009F6353" w:rsidP="009F6353">
      <w:pPr>
        <w:pStyle w:val="BodyText"/>
        <w:spacing w:before="179" w:line="276" w:lineRule="auto"/>
        <w:ind w:right="2801"/>
        <w:jc w:val="left"/>
      </w:pPr>
      <w:r>
        <w:t xml:space="preserve">“The City of Boston’s Climate Action Plan December 2007.” Climate: Change, </w:t>
      </w:r>
      <w:hyperlink r:id="rId21" w:history="1">
        <w:r w:rsidRPr="00EC5CF2">
          <w:rPr>
            <w:rStyle w:val="Hyperlink"/>
          </w:rPr>
          <w:t>www.cityofboston.gov/climate/pdfs/CAPJan08.pdf.</w:t>
        </w:r>
      </w:hyperlink>
    </w:p>
    <w:p w:rsidR="009F6353" w:rsidRDefault="009F6353" w:rsidP="009F6353">
      <w:pPr>
        <w:pStyle w:val="BodyText"/>
        <w:spacing w:before="181" w:line="276" w:lineRule="auto"/>
        <w:ind w:right="1275"/>
        <w:jc w:val="left"/>
      </w:pPr>
      <w:r>
        <w:t xml:space="preserve">Services, Environment and Energy, and </w:t>
      </w:r>
      <w:proofErr w:type="spellStart"/>
      <w:r>
        <w:t>ees_boston</w:t>
      </w:r>
      <w:proofErr w:type="spellEnd"/>
      <w:r>
        <w:t xml:space="preserve">. “A Climate of Progress: City of Boston Climate Action Plan Update 2011.” </w:t>
      </w:r>
      <w:proofErr w:type="spellStart"/>
      <w:r>
        <w:t>Issuu</w:t>
      </w:r>
      <w:proofErr w:type="spellEnd"/>
      <w:r>
        <w:t>, issuu.com/</w:t>
      </w:r>
      <w:proofErr w:type="spellStart"/>
      <w:r>
        <w:t>ees_boston</w:t>
      </w:r>
      <w:proofErr w:type="spellEnd"/>
      <w:r>
        <w:t>/docs/</w:t>
      </w:r>
      <w:proofErr w:type="spellStart"/>
      <w:r>
        <w:t>a_climate_of_progress</w:t>
      </w:r>
      <w:proofErr w:type="spellEnd"/>
      <w:r>
        <w:t xml:space="preserve">_- </w:t>
      </w:r>
      <w:proofErr w:type="spellStart"/>
      <w:r>
        <w:rPr>
          <w:i/>
        </w:rPr>
        <w:t>cap_update</w:t>
      </w:r>
      <w:proofErr w:type="spellEnd"/>
      <w:r>
        <w:t>.</w:t>
      </w:r>
    </w:p>
    <w:p w:rsidR="009F6353" w:rsidRDefault="009F6353" w:rsidP="009F6353">
      <w:pPr>
        <w:pStyle w:val="BodyText"/>
        <w:spacing w:before="180" w:line="276" w:lineRule="auto"/>
        <w:jc w:val="left"/>
      </w:pPr>
      <w:r>
        <w:t xml:space="preserve">“GREENOVATE BOSTON 2014 CLIMATE ACTION PLAN UPDATE .” </w:t>
      </w:r>
      <w:proofErr w:type="spellStart"/>
      <w:r>
        <w:t>Greenovate</w:t>
      </w:r>
      <w:proofErr w:type="spellEnd"/>
      <w:r>
        <w:t xml:space="preserve"> Boston 2014 CAP Update Summary, </w:t>
      </w:r>
      <w:hyperlink r:id="rId22">
        <w:r>
          <w:t>www.cityofboston.gov/images_documents/Greenovate%20Boston%202014%20CAP%20Update</w:t>
        </w:r>
      </w:hyperlink>
    </w:p>
    <w:p w:rsidR="009F6353" w:rsidRDefault="009F6353" w:rsidP="009F6353">
      <w:pPr>
        <w:pStyle w:val="BodyText"/>
        <w:spacing w:line="276" w:lineRule="auto"/>
        <w:jc w:val="left"/>
      </w:pPr>
      <w:r>
        <w:t>_Summary_tcm3-49733.pdf.</w:t>
      </w:r>
    </w:p>
    <w:p w:rsidR="009F6353" w:rsidRDefault="009F6353" w:rsidP="009F6353">
      <w:pPr>
        <w:pStyle w:val="BodyText"/>
        <w:spacing w:before="180" w:line="276" w:lineRule="auto"/>
        <w:jc w:val="left"/>
      </w:pPr>
      <w:r>
        <w:t xml:space="preserve">“CITY OF BOSTON CLIMATE ACTION PLAN 2019 UPDATE.” City of Boston, Oct. 2019, </w:t>
      </w:r>
      <w:hyperlink r:id="rId23" w:history="1">
        <w:r w:rsidRPr="00EC5CF2">
          <w:rPr>
            <w:rStyle w:val="Hyperlink"/>
          </w:rPr>
          <w:t>www.boston.gov/sites/default/files/embed/file/2019-</w:t>
        </w:r>
      </w:hyperlink>
      <w:r>
        <w:t xml:space="preserve"> 10/city_of_boston_2019_climate_action_plan_update_4.pdf.</w:t>
      </w:r>
    </w:p>
    <w:p w:rsidR="009F6353" w:rsidRDefault="009F6353" w:rsidP="009F6353">
      <w:pPr>
        <w:pStyle w:val="BodyText"/>
        <w:spacing w:before="180" w:line="276" w:lineRule="auto"/>
        <w:jc w:val="left"/>
      </w:pPr>
      <w:r>
        <w:t>“CITY OF BOSTON GREENHOUSE GAS EMISSIONS INVENTORY (2005-2017).” City of</w:t>
      </w:r>
    </w:p>
    <w:p w:rsidR="009F6353" w:rsidRDefault="009F6353" w:rsidP="009F6353">
      <w:pPr>
        <w:pStyle w:val="BodyText"/>
        <w:ind w:right="1160"/>
        <w:jc w:val="left"/>
      </w:pPr>
      <w:r>
        <w:t xml:space="preserve">Boston, </w:t>
      </w:r>
      <w:hyperlink r:id="rId24" w:history="1">
        <w:r w:rsidRPr="00EC5CF2">
          <w:rPr>
            <w:rStyle w:val="Hyperlink"/>
          </w:rPr>
          <w:t>www.boston.gov/sites/default/files/imce-uploads/2019 07/boston_ghg_inventory_2005- 2017.pdf</w:t>
        </w:r>
      </w:hyperlink>
      <w:r>
        <w:t>.</w:t>
      </w:r>
    </w:p>
    <w:p w:rsidR="009F6353" w:rsidRDefault="009F6353" w:rsidP="009F6353">
      <w:pPr>
        <w:pStyle w:val="BodyText"/>
        <w:ind w:right="1160"/>
        <w:jc w:val="left"/>
      </w:pPr>
    </w:p>
    <w:p w:rsidR="009F6353" w:rsidRDefault="009F6353" w:rsidP="009F6353">
      <w:pPr>
        <w:pStyle w:val="BodyText"/>
        <w:spacing w:line="276" w:lineRule="auto"/>
      </w:pPr>
      <w:r>
        <w:t xml:space="preserve">“Boston’s Climate Plan Update Targets Major Source of Emissions – Buildings.” Smart Cities World, </w:t>
      </w:r>
      <w:hyperlink r:id="rId25">
        <w:r>
          <w:t>www.smartcitiesworld.net/news/news/bostons-climate-plan-update-targets-major-source-</w:t>
        </w:r>
      </w:hyperlink>
      <w:r>
        <w:t>of-emissions–buildings-4</w:t>
      </w:r>
      <w:r w:rsidR="003E78D7">
        <w:t>672</w:t>
      </w:r>
    </w:p>
    <w:p w:rsidR="00A75668" w:rsidRDefault="00A75668" w:rsidP="00A75668">
      <w:pPr>
        <w:pStyle w:val="NormalWeb"/>
      </w:pPr>
      <w:r>
        <w:rPr>
          <w:i/>
          <w:iCs/>
        </w:rPr>
        <w:t>Boston.gov</w:t>
      </w:r>
      <w:r>
        <w:t xml:space="preserve">, 15 Dec. 1970, www.boston.gov/. </w:t>
      </w:r>
    </w:p>
    <w:p w:rsidR="00E84BD8" w:rsidRDefault="00E84BD8" w:rsidP="009F6353">
      <w:pPr>
        <w:pStyle w:val="BodyText"/>
        <w:spacing w:line="276" w:lineRule="auto"/>
        <w:rPr>
          <w:sz w:val="20"/>
        </w:rPr>
        <w:sectPr w:rsidR="00E84BD8" w:rsidSect="00E84BD8">
          <w:type w:val="continuous"/>
          <w:pgSz w:w="12240" w:h="15840"/>
          <w:pgMar w:top="1440" w:right="1440" w:bottom="1440" w:left="1440" w:header="720" w:footer="720" w:gutter="0"/>
          <w:pgNumType w:start="1"/>
          <w:cols w:space="720"/>
          <w:docGrid w:linePitch="299"/>
        </w:sectPr>
      </w:pPr>
    </w:p>
    <w:p w:rsidR="009F6353" w:rsidRPr="009F6353" w:rsidRDefault="009F6353" w:rsidP="00F37036">
      <w:pPr>
        <w:pStyle w:val="BodyText"/>
        <w:sectPr w:rsidR="009F6353" w:rsidRPr="009F6353" w:rsidSect="00E84BD8">
          <w:type w:val="continuous"/>
          <w:pgSz w:w="12240" w:h="15840"/>
          <w:pgMar w:top="1440" w:right="1440" w:bottom="1440" w:left="1440" w:header="720" w:footer="720" w:gutter="0"/>
          <w:cols w:space="720"/>
          <w:docGrid w:linePitch="299"/>
        </w:sectPr>
      </w:pPr>
    </w:p>
    <w:p w:rsidR="00C068AE" w:rsidRPr="003E78D7" w:rsidRDefault="00C068AE" w:rsidP="00D9180A">
      <w:pPr>
        <w:pStyle w:val="BodyText"/>
        <w:spacing w:before="180"/>
        <w:ind w:right="1126"/>
        <w:rPr>
          <w:sz w:val="16"/>
          <w:szCs w:val="16"/>
        </w:rPr>
      </w:pPr>
    </w:p>
    <w:sectPr w:rsidR="00C068AE" w:rsidRPr="003E78D7" w:rsidSect="00E84BD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36E" w:rsidRDefault="00AE036E">
      <w:r>
        <w:separator/>
      </w:r>
    </w:p>
  </w:endnote>
  <w:endnote w:type="continuationSeparator" w:id="0">
    <w:p w:rsidR="00AE036E" w:rsidRDefault="00AE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0113630"/>
      <w:docPartObj>
        <w:docPartGallery w:val="Page Numbers (Bottom of Page)"/>
        <w:docPartUnique/>
      </w:docPartObj>
    </w:sdtPr>
    <w:sdtEndPr>
      <w:rPr>
        <w:rStyle w:val="PageNumber"/>
      </w:rPr>
    </w:sdtEndPr>
    <w:sdtContent>
      <w:p w:rsidR="00E84BD8" w:rsidRDefault="00E84BD8" w:rsidP="00EC5C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84BD8" w:rsidRDefault="00E84BD8" w:rsidP="00E84B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1E0" w:rsidRDefault="007A51E0" w:rsidP="00E84BD8">
    <w:pPr>
      <w:pStyle w:val="BodyText"/>
      <w:spacing w:line="14" w:lineRule="auto"/>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36E" w:rsidRDefault="00AE036E">
      <w:r>
        <w:separator/>
      </w:r>
    </w:p>
  </w:footnote>
  <w:footnote w:type="continuationSeparator" w:id="0">
    <w:p w:rsidR="00AE036E" w:rsidRDefault="00AE036E">
      <w:r>
        <w:continuationSeparator/>
      </w:r>
    </w:p>
  </w:footnote>
  <w:footnote w:id="1">
    <w:p w:rsidR="00E84BD8" w:rsidRPr="00A02882" w:rsidRDefault="00E84BD8" w:rsidP="00FE6139">
      <w:pPr>
        <w:rPr>
          <w:sz w:val="18"/>
          <w:szCs w:val="18"/>
        </w:rPr>
      </w:pPr>
      <w:r w:rsidRPr="00A02882">
        <w:rPr>
          <w:rStyle w:val="FootnoteReference"/>
          <w:sz w:val="18"/>
          <w:szCs w:val="18"/>
        </w:rPr>
        <w:footnoteRef/>
      </w:r>
      <w:r w:rsidRPr="00A02882">
        <w:rPr>
          <w:sz w:val="18"/>
          <w:szCs w:val="18"/>
        </w:rPr>
        <w:t>City of Boston Climate Action Plan Update 2019</w:t>
      </w:r>
    </w:p>
  </w:footnote>
  <w:footnote w:id="2">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Climate Action Plan Update 2014</w:t>
      </w:r>
    </w:p>
  </w:footnote>
  <w:footnote w:id="3">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Climate Action Plan Update 2007, 2011</w:t>
      </w:r>
    </w:p>
  </w:footnote>
  <w:footnote w:id="4">
    <w:p w:rsidR="00E84BD8" w:rsidRDefault="00E84BD8" w:rsidP="00FE6139">
      <w:pPr>
        <w:pStyle w:val="FootnoteText"/>
      </w:pPr>
      <w:r w:rsidRPr="00A02882">
        <w:rPr>
          <w:rStyle w:val="FootnoteReference"/>
          <w:sz w:val="18"/>
          <w:szCs w:val="18"/>
        </w:rPr>
        <w:footnoteRef/>
      </w:r>
      <w:r w:rsidRPr="00A02882">
        <w:rPr>
          <w:sz w:val="18"/>
          <w:szCs w:val="18"/>
        </w:rPr>
        <w:t xml:space="preserve"> City of Boston Climate Action Plan Update 2019</w:t>
      </w:r>
    </w:p>
  </w:footnote>
  <w:footnote w:id="5">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w:t>
      </w:r>
      <w:r w:rsidR="00FE6139">
        <w:rPr>
          <w:sz w:val="18"/>
          <w:szCs w:val="18"/>
        </w:rPr>
        <w:t>f</w:t>
      </w:r>
      <w:r w:rsidRPr="00A02882">
        <w:rPr>
          <w:sz w:val="18"/>
          <w:szCs w:val="18"/>
        </w:rPr>
        <w:t xml:space="preserve"> Boston Greenhouse Gas Emissions Inventory (2005-2017)</w:t>
      </w:r>
    </w:p>
  </w:footnote>
  <w:footnote w:id="6">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w:t>
      </w:r>
      <w:r w:rsidR="00FE6139">
        <w:rPr>
          <w:sz w:val="18"/>
          <w:szCs w:val="18"/>
        </w:rPr>
        <w:t xml:space="preserve"> </w:t>
      </w:r>
      <w:r w:rsidRPr="00A02882">
        <w:rPr>
          <w:sz w:val="18"/>
          <w:szCs w:val="18"/>
        </w:rPr>
        <w:t>Boston Greenhouse Gas Emissions Inventory (2005-2017)</w:t>
      </w:r>
    </w:p>
  </w:footnote>
  <w:footnote w:id="7">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Greenhouse Gas Emissions Inventory (2005-2017)</w:t>
      </w:r>
    </w:p>
  </w:footnote>
  <w:footnote w:id="8">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Greenhouse Gas Emissions Inventory (2005-2017)</w:t>
      </w:r>
    </w:p>
  </w:footnote>
  <w:footnote w:id="9">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Greenhouse Gas Emissions Inventory (2005-2017)</w:t>
      </w:r>
    </w:p>
  </w:footnote>
  <w:footnote w:id="10">
    <w:p w:rsidR="00E84BD8" w:rsidRPr="00A02882" w:rsidRDefault="00E84BD8" w:rsidP="00FE6139">
      <w:pPr>
        <w:rPr>
          <w:sz w:val="15"/>
          <w:szCs w:val="15"/>
        </w:rPr>
      </w:pPr>
      <w:r w:rsidRPr="00A02882">
        <w:rPr>
          <w:rStyle w:val="FootnoteReference"/>
          <w:sz w:val="21"/>
          <w:szCs w:val="21"/>
        </w:rPr>
        <w:footnoteRef/>
      </w:r>
      <w:r w:rsidRPr="00A02882">
        <w:rPr>
          <w:sz w:val="21"/>
          <w:szCs w:val="21"/>
        </w:rPr>
        <w:t xml:space="preserve"> </w:t>
      </w:r>
      <w:r w:rsidRPr="00A02882">
        <w:rPr>
          <w:sz w:val="18"/>
          <w:szCs w:val="18"/>
        </w:rPr>
        <w:t>City of Boston Climate Action Plan Update 2011</w:t>
      </w:r>
    </w:p>
  </w:footnote>
  <w:footnote w:id="11">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Climate Action Plan Update 2011</w:t>
      </w:r>
    </w:p>
  </w:footnote>
  <w:footnote w:id="12">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Climate Action Plan Update 2014</w:t>
      </w:r>
    </w:p>
  </w:footnote>
  <w:footnote w:id="13">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Greenhouse Gas Emissions Inventory (2005-2017)</w:t>
      </w:r>
    </w:p>
  </w:footnote>
  <w:footnote w:id="14">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Greenhouse Gas Emissions Inventory (2005-2017)</w:t>
      </w:r>
    </w:p>
  </w:footnote>
  <w:footnote w:id="15">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Greenhouse Gas Emissions Inventory (2005-2017)</w:t>
      </w:r>
    </w:p>
  </w:footnote>
  <w:footnote w:id="16">
    <w:p w:rsidR="00E84BD8" w:rsidRDefault="00E84BD8" w:rsidP="00FE6139">
      <w:pPr>
        <w:pStyle w:val="FootnoteText"/>
      </w:pPr>
      <w:r w:rsidRPr="00A02882">
        <w:rPr>
          <w:rStyle w:val="FootnoteReference"/>
          <w:sz w:val="18"/>
          <w:szCs w:val="18"/>
        </w:rPr>
        <w:footnoteRef/>
      </w:r>
      <w:r w:rsidRPr="00A02882">
        <w:rPr>
          <w:sz w:val="18"/>
          <w:szCs w:val="18"/>
        </w:rPr>
        <w:t xml:space="preserve"> City of Boston Greenhouse Gas Emissions Inventory (2005-2017)</w:t>
      </w:r>
    </w:p>
  </w:footnote>
  <w:footnote w:id="17">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Greenhouse Gas Emissions Inventory (2005-2017)</w:t>
      </w:r>
    </w:p>
  </w:footnote>
  <w:footnote w:id="18">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Greenhouse Gas Emissions Inventory (2005-2017)</w:t>
      </w:r>
    </w:p>
  </w:footnote>
  <w:footnote w:id="19">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Greenhouse Gas Emissions Inventory (2005-2017)</w:t>
      </w:r>
    </w:p>
  </w:footnote>
  <w:footnote w:id="20">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Greenhouse Gas Emissions Inventory (2005-2017)</w:t>
      </w:r>
    </w:p>
  </w:footnote>
  <w:footnote w:id="21">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w:t>
      </w:r>
      <w:r w:rsidRPr="00A02882">
        <w:rPr>
          <w:i/>
          <w:iCs/>
          <w:sz w:val="18"/>
          <w:szCs w:val="18"/>
        </w:rPr>
        <w:t>Boston.gov</w:t>
      </w:r>
      <w:r w:rsidRPr="00A02882">
        <w:rPr>
          <w:sz w:val="18"/>
          <w:szCs w:val="18"/>
        </w:rPr>
        <w:t xml:space="preserve">, 15 Dec. 1970, www.boston.gov/. </w:t>
      </w:r>
    </w:p>
  </w:footnote>
  <w:footnote w:id="22">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Climate Action Plan Update 2019</w:t>
      </w:r>
    </w:p>
  </w:footnote>
  <w:footnote w:id="23">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Climate Action Plan Update 2011</w:t>
      </w:r>
    </w:p>
  </w:footnote>
  <w:footnote w:id="24">
    <w:p w:rsidR="00E84BD8" w:rsidRPr="00A02882" w:rsidRDefault="00E84BD8" w:rsidP="00FE6139">
      <w:pPr>
        <w:pStyle w:val="FootnoteText"/>
        <w:rPr>
          <w:sz w:val="18"/>
          <w:szCs w:val="18"/>
        </w:rPr>
      </w:pPr>
      <w:r w:rsidRPr="00A02882">
        <w:rPr>
          <w:rStyle w:val="FootnoteReference"/>
          <w:sz w:val="18"/>
          <w:szCs w:val="18"/>
        </w:rPr>
        <w:footnoteRef/>
      </w:r>
      <w:r w:rsidRPr="00A02882">
        <w:rPr>
          <w:sz w:val="18"/>
          <w:szCs w:val="18"/>
        </w:rPr>
        <w:t xml:space="preserve"> City of Boston Climate Action Plan Update 2011</w:t>
      </w:r>
    </w:p>
  </w:footnote>
  <w:footnote w:id="25">
    <w:p w:rsidR="000F7EC2" w:rsidRDefault="000F7EC2" w:rsidP="00FE6139">
      <w:pPr>
        <w:pStyle w:val="FootnoteText"/>
      </w:pPr>
      <w:r>
        <w:rPr>
          <w:rStyle w:val="FootnoteReference"/>
        </w:rPr>
        <w:footnoteRef/>
      </w:r>
      <w:r>
        <w:t xml:space="preserve"> </w:t>
      </w:r>
      <w:r w:rsidRPr="00A02882">
        <w:rPr>
          <w:sz w:val="18"/>
          <w:szCs w:val="18"/>
        </w:rPr>
        <w:t>City of Boston Greenhouse Gas Emissions Inventory (2005-2017)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7763913"/>
      <w:docPartObj>
        <w:docPartGallery w:val="Page Numbers (Top of Page)"/>
        <w:docPartUnique/>
      </w:docPartObj>
    </w:sdtPr>
    <w:sdtEndPr>
      <w:rPr>
        <w:rStyle w:val="PageNumber"/>
      </w:rPr>
    </w:sdtEndPr>
    <w:sdtContent>
      <w:p w:rsidR="00D14549" w:rsidRDefault="00D14549" w:rsidP="00EC5C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14549" w:rsidRDefault="00D14549" w:rsidP="00D1454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668798"/>
      <w:docPartObj>
        <w:docPartGallery w:val="Page Numbers (Top of Page)"/>
        <w:docPartUnique/>
      </w:docPartObj>
    </w:sdtPr>
    <w:sdtEndPr>
      <w:rPr>
        <w:rStyle w:val="PageNumber"/>
      </w:rPr>
    </w:sdtEndPr>
    <w:sdtContent>
      <w:p w:rsidR="00D14549" w:rsidRDefault="00D14549" w:rsidP="00EC5C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14549" w:rsidRDefault="00D14549" w:rsidP="00D1454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97222"/>
    <w:rsid w:val="00053CA4"/>
    <w:rsid w:val="00077CAC"/>
    <w:rsid w:val="000D43FE"/>
    <w:rsid w:val="000F18BA"/>
    <w:rsid w:val="000F7EC2"/>
    <w:rsid w:val="002326D4"/>
    <w:rsid w:val="00271BDB"/>
    <w:rsid w:val="00287501"/>
    <w:rsid w:val="002B68FE"/>
    <w:rsid w:val="002C1EFC"/>
    <w:rsid w:val="002F6ED6"/>
    <w:rsid w:val="00312533"/>
    <w:rsid w:val="0033093C"/>
    <w:rsid w:val="00330FB2"/>
    <w:rsid w:val="0037487D"/>
    <w:rsid w:val="00376676"/>
    <w:rsid w:val="003B70CF"/>
    <w:rsid w:val="003D3018"/>
    <w:rsid w:val="003E78D7"/>
    <w:rsid w:val="003E794F"/>
    <w:rsid w:val="004323ED"/>
    <w:rsid w:val="004530C6"/>
    <w:rsid w:val="00491B08"/>
    <w:rsid w:val="004B50A8"/>
    <w:rsid w:val="004C03C0"/>
    <w:rsid w:val="004C705E"/>
    <w:rsid w:val="005A73AB"/>
    <w:rsid w:val="006170C5"/>
    <w:rsid w:val="00617DD1"/>
    <w:rsid w:val="0063508B"/>
    <w:rsid w:val="00723017"/>
    <w:rsid w:val="00724E4A"/>
    <w:rsid w:val="00733869"/>
    <w:rsid w:val="007601DE"/>
    <w:rsid w:val="00764038"/>
    <w:rsid w:val="00777A68"/>
    <w:rsid w:val="00797BDE"/>
    <w:rsid w:val="007A51E0"/>
    <w:rsid w:val="007F779D"/>
    <w:rsid w:val="00820930"/>
    <w:rsid w:val="008A4DE9"/>
    <w:rsid w:val="008C101B"/>
    <w:rsid w:val="008C11F4"/>
    <w:rsid w:val="008D2A0C"/>
    <w:rsid w:val="008F3A8D"/>
    <w:rsid w:val="00901661"/>
    <w:rsid w:val="0093642D"/>
    <w:rsid w:val="00955C37"/>
    <w:rsid w:val="009D52F6"/>
    <w:rsid w:val="009F6353"/>
    <w:rsid w:val="00A02882"/>
    <w:rsid w:val="00A42BB1"/>
    <w:rsid w:val="00A47B6C"/>
    <w:rsid w:val="00A661A5"/>
    <w:rsid w:val="00A75668"/>
    <w:rsid w:val="00AA461C"/>
    <w:rsid w:val="00AE036E"/>
    <w:rsid w:val="00B023D9"/>
    <w:rsid w:val="00B80092"/>
    <w:rsid w:val="00B97222"/>
    <w:rsid w:val="00C068AE"/>
    <w:rsid w:val="00C11CAA"/>
    <w:rsid w:val="00C2555E"/>
    <w:rsid w:val="00C33973"/>
    <w:rsid w:val="00CF25B5"/>
    <w:rsid w:val="00D067C0"/>
    <w:rsid w:val="00D14549"/>
    <w:rsid w:val="00D52535"/>
    <w:rsid w:val="00D72AD4"/>
    <w:rsid w:val="00D9180A"/>
    <w:rsid w:val="00DE57BB"/>
    <w:rsid w:val="00E84BD8"/>
    <w:rsid w:val="00ED3410"/>
    <w:rsid w:val="00ED6963"/>
    <w:rsid w:val="00EE2D39"/>
    <w:rsid w:val="00EF68AD"/>
    <w:rsid w:val="00F030C9"/>
    <w:rsid w:val="00F32994"/>
    <w:rsid w:val="00F37036"/>
    <w:rsid w:val="00F43557"/>
    <w:rsid w:val="00F545D0"/>
    <w:rsid w:val="00F9747D"/>
    <w:rsid w:val="00FE61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C58FF"/>
  <w15:docId w15:val="{186B818F-9F34-AF4C-BCC5-2F67F7B0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0"/>
      <w:outlineLvl w:val="0"/>
    </w:pPr>
    <w:rPr>
      <w:b/>
      <w:bCs/>
      <w:sz w:val="32"/>
      <w:szCs w:val="32"/>
    </w:rPr>
  </w:style>
  <w:style w:type="paragraph" w:styleId="Heading2">
    <w:name w:val="heading 2"/>
    <w:basedOn w:val="Normal"/>
    <w:next w:val="Normal"/>
    <w:link w:val="Heading2Char"/>
    <w:uiPriority w:val="9"/>
    <w:unhideWhenUsed/>
    <w:qFormat/>
    <w:rsid w:val="00A47B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430" w:right="1348"/>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5" w:lineRule="exact"/>
      <w:ind w:left="244"/>
      <w:jc w:val="center"/>
    </w:pPr>
  </w:style>
  <w:style w:type="character" w:customStyle="1" w:styleId="Heading2Char">
    <w:name w:val="Heading 2 Char"/>
    <w:basedOn w:val="DefaultParagraphFont"/>
    <w:link w:val="Heading2"/>
    <w:uiPriority w:val="9"/>
    <w:rsid w:val="00A47B6C"/>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20930"/>
    <w:rPr>
      <w:color w:val="0000FF" w:themeColor="hyperlink"/>
      <w:u w:val="single"/>
    </w:rPr>
  </w:style>
  <w:style w:type="character" w:styleId="UnresolvedMention">
    <w:name w:val="Unresolved Mention"/>
    <w:basedOn w:val="DefaultParagraphFont"/>
    <w:uiPriority w:val="99"/>
    <w:semiHidden/>
    <w:unhideWhenUsed/>
    <w:rsid w:val="00820930"/>
    <w:rPr>
      <w:color w:val="605E5C"/>
      <w:shd w:val="clear" w:color="auto" w:fill="E1DFDD"/>
    </w:rPr>
  </w:style>
  <w:style w:type="character" w:styleId="FollowedHyperlink">
    <w:name w:val="FollowedHyperlink"/>
    <w:basedOn w:val="DefaultParagraphFont"/>
    <w:uiPriority w:val="99"/>
    <w:semiHidden/>
    <w:unhideWhenUsed/>
    <w:rsid w:val="003D3018"/>
    <w:rPr>
      <w:color w:val="800080" w:themeColor="followedHyperlink"/>
      <w:u w:val="single"/>
    </w:rPr>
  </w:style>
  <w:style w:type="paragraph" w:styleId="FootnoteText">
    <w:name w:val="footnote text"/>
    <w:basedOn w:val="Normal"/>
    <w:link w:val="FootnoteTextChar"/>
    <w:uiPriority w:val="99"/>
    <w:semiHidden/>
    <w:unhideWhenUsed/>
    <w:rsid w:val="00F37036"/>
    <w:rPr>
      <w:sz w:val="20"/>
      <w:szCs w:val="20"/>
    </w:rPr>
  </w:style>
  <w:style w:type="character" w:customStyle="1" w:styleId="FootnoteTextChar">
    <w:name w:val="Footnote Text Char"/>
    <w:basedOn w:val="DefaultParagraphFont"/>
    <w:link w:val="FootnoteText"/>
    <w:uiPriority w:val="99"/>
    <w:semiHidden/>
    <w:rsid w:val="00F3703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37036"/>
    <w:rPr>
      <w:vertAlign w:val="superscript"/>
    </w:rPr>
  </w:style>
  <w:style w:type="paragraph" w:styleId="NormalWeb">
    <w:name w:val="Normal (Web)"/>
    <w:basedOn w:val="Normal"/>
    <w:uiPriority w:val="99"/>
    <w:semiHidden/>
    <w:unhideWhenUsed/>
    <w:rsid w:val="00A75668"/>
    <w:pPr>
      <w:spacing w:before="100" w:beforeAutospacing="1" w:after="100" w:afterAutospacing="1"/>
      <w:jc w:val="left"/>
    </w:pPr>
    <w:rPr>
      <w:sz w:val="24"/>
      <w:szCs w:val="24"/>
      <w:lang w:bidi="hi-IN"/>
    </w:rPr>
  </w:style>
  <w:style w:type="paragraph" w:styleId="Footer">
    <w:name w:val="footer"/>
    <w:basedOn w:val="Normal"/>
    <w:link w:val="FooterChar"/>
    <w:uiPriority w:val="99"/>
    <w:unhideWhenUsed/>
    <w:rsid w:val="00A02882"/>
    <w:pPr>
      <w:tabs>
        <w:tab w:val="center" w:pos="4680"/>
        <w:tab w:val="right" w:pos="9360"/>
      </w:tabs>
    </w:pPr>
  </w:style>
  <w:style w:type="character" w:customStyle="1" w:styleId="FooterChar">
    <w:name w:val="Footer Char"/>
    <w:basedOn w:val="DefaultParagraphFont"/>
    <w:link w:val="Footer"/>
    <w:uiPriority w:val="99"/>
    <w:rsid w:val="00A02882"/>
    <w:rPr>
      <w:rFonts w:ascii="Times New Roman" w:eastAsia="Times New Roman" w:hAnsi="Times New Roman" w:cs="Times New Roman"/>
    </w:rPr>
  </w:style>
  <w:style w:type="character" w:styleId="PageNumber">
    <w:name w:val="page number"/>
    <w:basedOn w:val="DefaultParagraphFont"/>
    <w:uiPriority w:val="99"/>
    <w:semiHidden/>
    <w:unhideWhenUsed/>
    <w:rsid w:val="00A02882"/>
  </w:style>
  <w:style w:type="paragraph" w:styleId="Header">
    <w:name w:val="header"/>
    <w:basedOn w:val="Normal"/>
    <w:link w:val="HeaderChar"/>
    <w:uiPriority w:val="99"/>
    <w:unhideWhenUsed/>
    <w:rsid w:val="00E84BD8"/>
    <w:pPr>
      <w:tabs>
        <w:tab w:val="center" w:pos="4680"/>
        <w:tab w:val="right" w:pos="9360"/>
      </w:tabs>
    </w:pPr>
  </w:style>
  <w:style w:type="character" w:customStyle="1" w:styleId="HeaderChar">
    <w:name w:val="Header Char"/>
    <w:basedOn w:val="DefaultParagraphFont"/>
    <w:link w:val="Header"/>
    <w:uiPriority w:val="99"/>
    <w:rsid w:val="00E84BD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8399">
      <w:bodyDiv w:val="1"/>
      <w:marLeft w:val="0"/>
      <w:marRight w:val="0"/>
      <w:marTop w:val="0"/>
      <w:marBottom w:val="0"/>
      <w:divBdr>
        <w:top w:val="none" w:sz="0" w:space="0" w:color="auto"/>
        <w:left w:val="none" w:sz="0" w:space="0" w:color="auto"/>
        <w:bottom w:val="none" w:sz="0" w:space="0" w:color="auto"/>
        <w:right w:val="none" w:sz="0" w:space="0" w:color="auto"/>
      </w:divBdr>
    </w:div>
    <w:div w:id="773403565">
      <w:bodyDiv w:val="1"/>
      <w:marLeft w:val="0"/>
      <w:marRight w:val="0"/>
      <w:marTop w:val="0"/>
      <w:marBottom w:val="0"/>
      <w:divBdr>
        <w:top w:val="none" w:sz="0" w:space="0" w:color="auto"/>
        <w:left w:val="none" w:sz="0" w:space="0" w:color="auto"/>
        <w:bottom w:val="none" w:sz="0" w:space="0" w:color="auto"/>
        <w:right w:val="none" w:sz="0" w:space="0" w:color="auto"/>
      </w:divBdr>
    </w:div>
    <w:div w:id="2097088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ityofboston.gov/climate/pdfs/CAPJan08.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smartcitiesworld.net/news/news/bostons-climate-plan-update-targets-major-sourc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boston.gov/sites/default/files/imce-uploads/2019%2007/boston_ghg_inventory_2005-%202017.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boston.gov/sites/default/files/embed/file/2019-"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www.cityofboston.gov/images_documents/Greenovate%20Boston%202014%20CAP%20Upda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9E36E-CE90-B44B-9FFD-B14A9D6D0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10</Pages>
  <Words>3229</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Ghura, Tegveer Singh Yashwinder</cp:lastModifiedBy>
  <cp:revision>34</cp:revision>
  <dcterms:created xsi:type="dcterms:W3CDTF">2020-12-15T11:41:00Z</dcterms:created>
  <dcterms:modified xsi:type="dcterms:W3CDTF">2021-03-30T17:38:00Z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2020-12-15T00:00:00Z</vt:filetime>
  </property>
  <property fmtid="{D5CDD505-2E9C-101B-9397-08002B2CF9AE}" pid="3" name="Creator">
    <vt:lpwstr>Microsoft® Word for Microsoft 365</vt:lpwstr>
  </property>
  <property fmtid="{D5CDD505-2E9C-101B-9397-08002B2CF9AE}" pid="4" name="LastSaved">
    <vt:filetime>2020-12-15T00:00:00Z</vt:filetime>
  </property>
</Properties>
</file>