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21" w:rsidRDefault="00331321" w:rsidP="00331321">
      <w:pPr>
        <w:spacing w:line="240" w:lineRule="auto"/>
        <w:rPr>
          <w:rFonts w:ascii="Arial" w:hAnsi="Arial" w:cs="Arial"/>
          <w:sz w:val="32"/>
          <w:szCs w:val="48"/>
        </w:rPr>
      </w:pPr>
      <w:r>
        <w:rPr>
          <w:rFonts w:ascii="Arial" w:hAnsi="Arial" w:cs="Arial"/>
          <w:sz w:val="32"/>
          <w:szCs w:val="48"/>
        </w:rPr>
        <w:t>Họ và Tên: Hoàng Vũ</w:t>
      </w:r>
    </w:p>
    <w:p w:rsidR="00331321" w:rsidRPr="00331321" w:rsidRDefault="00331321" w:rsidP="00331321">
      <w:pPr>
        <w:spacing w:line="240" w:lineRule="auto"/>
        <w:rPr>
          <w:rFonts w:ascii="Arial" w:hAnsi="Arial" w:cs="Arial"/>
          <w:sz w:val="32"/>
          <w:szCs w:val="48"/>
        </w:rPr>
      </w:pPr>
      <w:r>
        <w:rPr>
          <w:rFonts w:ascii="Arial" w:hAnsi="Arial" w:cs="Arial"/>
          <w:sz w:val="32"/>
          <w:szCs w:val="48"/>
        </w:rPr>
        <w:t>MSSV: 22521690</w:t>
      </w:r>
    </w:p>
    <w:p w:rsidR="00331321" w:rsidRPr="00331321" w:rsidRDefault="00331321" w:rsidP="00331321">
      <w:pPr>
        <w:spacing w:line="240" w:lineRule="auto"/>
        <w:jc w:val="center"/>
        <w:rPr>
          <w:rFonts w:ascii="Arial" w:hAnsi="Arial" w:cs="Arial"/>
          <w:b/>
          <w:sz w:val="48"/>
          <w:szCs w:val="48"/>
        </w:rPr>
      </w:pPr>
      <w:r w:rsidRPr="00331321">
        <w:rPr>
          <w:rFonts w:ascii="Arial" w:hAnsi="Arial" w:cs="Arial"/>
          <w:b/>
          <w:sz w:val="48"/>
          <w:szCs w:val="48"/>
        </w:rPr>
        <w:t>BÁO CÁO BÀI THỰC NGHIỆM</w:t>
      </w:r>
    </w:p>
    <w:p w:rsidR="00331321" w:rsidRDefault="00331321" w:rsidP="00331321">
      <w:pPr>
        <w:spacing w:line="240" w:lineRule="auto"/>
        <w:jc w:val="center"/>
        <w:rPr>
          <w:rFonts w:ascii="Arial" w:hAnsi="Arial" w:cs="Arial"/>
          <w:b/>
          <w:sz w:val="48"/>
          <w:szCs w:val="48"/>
        </w:rPr>
      </w:pPr>
      <w:r w:rsidRPr="00331321">
        <w:rPr>
          <w:rFonts w:ascii="Arial" w:hAnsi="Arial" w:cs="Arial"/>
          <w:b/>
          <w:sz w:val="48"/>
          <w:szCs w:val="48"/>
        </w:rPr>
        <w:t>ĐO CHIỀU CAO CÂY NHỊ PHÂN</w:t>
      </w:r>
    </w:p>
    <w:p w:rsidR="009A2764" w:rsidRPr="009A2764" w:rsidRDefault="009A2764" w:rsidP="009A2764">
      <w:pPr>
        <w:spacing w:line="240" w:lineRule="auto"/>
        <w:jc w:val="right"/>
        <w:rPr>
          <w:rFonts w:ascii="Arial" w:hAnsi="Arial" w:cs="Arial"/>
          <w:szCs w:val="48"/>
        </w:rPr>
      </w:pPr>
      <w:r w:rsidRPr="009A2764">
        <w:rPr>
          <w:rFonts w:ascii="Arial" w:hAnsi="Arial" w:cs="Arial"/>
          <w:szCs w:val="48"/>
        </w:rPr>
        <w:t xml:space="preserve">(Link github của project: </w:t>
      </w:r>
      <w:hyperlink r:id="rId6" w:history="1">
        <w:r w:rsidRPr="009A2764">
          <w:rPr>
            <w:rStyle w:val="Hyperlink"/>
            <w:rFonts w:ascii="Arial" w:hAnsi="Arial" w:cs="Arial"/>
            <w:szCs w:val="48"/>
          </w:rPr>
          <w:t>https://github.com/TehDoggo420/Thu</w:t>
        </w:r>
        <w:r w:rsidRPr="009A2764">
          <w:rPr>
            <w:rStyle w:val="Hyperlink"/>
            <w:rFonts w:ascii="Arial" w:hAnsi="Arial" w:cs="Arial"/>
            <w:szCs w:val="48"/>
          </w:rPr>
          <w:t>c</w:t>
        </w:r>
        <w:r w:rsidRPr="009A2764">
          <w:rPr>
            <w:rStyle w:val="Hyperlink"/>
            <w:rFonts w:ascii="Arial" w:hAnsi="Arial" w:cs="Arial"/>
            <w:szCs w:val="48"/>
          </w:rPr>
          <w:t>NghiemDoChieuCaoBST.git</w:t>
        </w:r>
      </w:hyperlink>
      <w:r w:rsidRPr="009A2764">
        <w:rPr>
          <w:rFonts w:ascii="Arial" w:hAnsi="Arial" w:cs="Arial"/>
          <w:szCs w:val="48"/>
        </w:rPr>
        <w:t>)</w:t>
      </w:r>
    </w:p>
    <w:p w:rsidR="00331321" w:rsidRPr="00331321" w:rsidRDefault="00331321" w:rsidP="00331321">
      <w:pPr>
        <w:pStyle w:val="ListParagraph"/>
        <w:numPr>
          <w:ilvl w:val="0"/>
          <w:numId w:val="2"/>
        </w:numPr>
        <w:spacing w:line="240" w:lineRule="auto"/>
        <w:ind w:left="567" w:hanging="283"/>
        <w:rPr>
          <w:rFonts w:ascii="Arial" w:hAnsi="Arial" w:cs="Arial"/>
          <w:b/>
          <w:sz w:val="24"/>
          <w:szCs w:val="48"/>
        </w:rPr>
      </w:pPr>
      <w:r>
        <w:rPr>
          <w:rFonts w:ascii="Arial" w:hAnsi="Arial" w:cs="Arial"/>
          <w:sz w:val="28"/>
          <w:szCs w:val="48"/>
        </w:rPr>
        <w:t>Tạo 10 test case:</w:t>
      </w:r>
    </w:p>
    <w:p w:rsidR="00331321" w:rsidRPr="00331321" w:rsidRDefault="00331321" w:rsidP="006B5E09">
      <w:pPr>
        <w:spacing w:line="240" w:lineRule="auto"/>
        <w:ind w:left="284"/>
        <w:rPr>
          <w:rFonts w:ascii="Arial" w:hAnsi="Arial" w:cs="Arial"/>
          <w:sz w:val="28"/>
          <w:szCs w:val="48"/>
        </w:rPr>
      </w:pPr>
      <w:r>
        <w:rPr>
          <w:rFonts w:ascii="Arial" w:hAnsi="Arial" w:cs="Arial"/>
          <w:b/>
          <w:sz w:val="24"/>
          <w:szCs w:val="48"/>
        </w:rPr>
        <w:tab/>
      </w:r>
      <w:r>
        <w:rPr>
          <w:rFonts w:ascii="Arial" w:hAnsi="Arial" w:cs="Arial"/>
          <w:sz w:val="28"/>
          <w:szCs w:val="48"/>
        </w:rPr>
        <w:t>Để tạo 10 bộ test ngẫu nhiên, em viết một chương trình C++ sử dụng các hàm thuộc thư viện &lt;random&gt;, sinh 10^6 số nguyên mỗi test case và xuất vào 10 file đặt tên theo format DataSetN.OUT (N từ 1 đến 10), các file này sau đó dùng để nhập vào các chương trình cây nhị phân để phân tích chiều cao cây.</w:t>
      </w:r>
    </w:p>
    <w:p w:rsidR="00331321" w:rsidRPr="006B5E09" w:rsidRDefault="00331321" w:rsidP="00331321">
      <w:pPr>
        <w:pStyle w:val="ListParagraph"/>
        <w:numPr>
          <w:ilvl w:val="0"/>
          <w:numId w:val="2"/>
        </w:numPr>
        <w:spacing w:line="240" w:lineRule="auto"/>
        <w:ind w:left="567" w:hanging="283"/>
        <w:rPr>
          <w:rFonts w:ascii="Arial" w:hAnsi="Arial" w:cs="Arial"/>
          <w:b/>
          <w:sz w:val="24"/>
          <w:szCs w:val="48"/>
        </w:rPr>
      </w:pPr>
      <w:r>
        <w:rPr>
          <w:rFonts w:ascii="Arial" w:hAnsi="Arial" w:cs="Arial"/>
          <w:sz w:val="28"/>
          <w:szCs w:val="48"/>
        </w:rPr>
        <w:t>Kết quả chạy chương trình:</w:t>
      </w:r>
    </w:p>
    <w:p w:rsidR="006B5E09" w:rsidRDefault="006B5E09" w:rsidP="006B5E09">
      <w:pPr>
        <w:pStyle w:val="ListParagraph"/>
        <w:spacing w:line="240" w:lineRule="auto"/>
        <w:ind w:left="567"/>
        <w:rPr>
          <w:rFonts w:ascii="Arial" w:hAnsi="Arial" w:cs="Arial"/>
          <w:b/>
          <w:sz w:val="24"/>
          <w:szCs w:val="48"/>
        </w:rPr>
      </w:pPr>
    </w:p>
    <w:p w:rsidR="006B5E09" w:rsidRDefault="006B5E09" w:rsidP="006B5E09">
      <w:pPr>
        <w:pStyle w:val="ListParagraph"/>
        <w:spacing w:before="240" w:line="240" w:lineRule="auto"/>
        <w:ind w:left="284" w:firstLine="283"/>
        <w:rPr>
          <w:rFonts w:ascii="Arial" w:hAnsi="Arial" w:cs="Arial"/>
          <w:sz w:val="28"/>
          <w:szCs w:val="48"/>
        </w:rPr>
      </w:pPr>
      <w:r>
        <w:rPr>
          <w:rFonts w:ascii="Arial" w:hAnsi="Arial" w:cs="Arial"/>
          <w:sz w:val="28"/>
          <w:szCs w:val="48"/>
        </w:rPr>
        <w:t>Lần lượt nhập 10 bộ test vào 2 chương trình cài đặt cây AVL và cây đỏ đen, thu được kết quả sau:</w:t>
      </w:r>
    </w:p>
    <w:p w:rsidR="006B5E09" w:rsidRPr="006B5E09" w:rsidRDefault="006B5E09" w:rsidP="006B5E09">
      <w:pPr>
        <w:pStyle w:val="ListParagraph"/>
        <w:spacing w:before="240" w:line="240" w:lineRule="auto"/>
        <w:ind w:left="567"/>
        <w:rPr>
          <w:rFonts w:ascii="Arial" w:hAnsi="Arial" w:cs="Arial"/>
          <w:sz w:val="28"/>
          <w:szCs w:val="48"/>
        </w:rPr>
      </w:pPr>
    </w:p>
    <w:tbl>
      <w:tblPr>
        <w:tblStyle w:val="TableGrid"/>
        <w:tblW w:w="0" w:type="auto"/>
        <w:tblLook w:val="04A0" w:firstRow="1" w:lastRow="0" w:firstColumn="1" w:lastColumn="0" w:noHBand="0" w:noVBand="1"/>
      </w:tblPr>
      <w:tblGrid>
        <w:gridCol w:w="1467"/>
        <w:gridCol w:w="1266"/>
        <w:gridCol w:w="1519"/>
        <w:gridCol w:w="1519"/>
        <w:gridCol w:w="1902"/>
        <w:gridCol w:w="1903"/>
      </w:tblGrid>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Test case</w:t>
            </w:r>
          </w:p>
        </w:tc>
        <w:tc>
          <w:tcPr>
            <w:tcW w:w="1266" w:type="dxa"/>
            <w:vAlign w:val="center"/>
          </w:tcPr>
          <w:p w:rsidR="006B5E09" w:rsidRDefault="006B5E09" w:rsidP="006B5E09">
            <w:pPr>
              <w:jc w:val="center"/>
              <w:rPr>
                <w:rFonts w:ascii="Arial" w:hAnsi="Arial" w:cs="Arial"/>
                <w:b/>
                <w:sz w:val="24"/>
                <w:szCs w:val="48"/>
              </w:rPr>
            </w:pPr>
            <w:r>
              <w:rPr>
                <w:rFonts w:ascii="Arial" w:hAnsi="Arial" w:cs="Arial"/>
                <w:b/>
                <w:sz w:val="24"/>
                <w:szCs w:val="48"/>
              </w:rPr>
              <w:t>N</w:t>
            </w:r>
          </w:p>
        </w:tc>
        <w:tc>
          <w:tcPr>
            <w:tcW w:w="1519" w:type="dxa"/>
            <w:vAlign w:val="center"/>
          </w:tcPr>
          <w:p w:rsidR="006B5E09" w:rsidRDefault="006B5E09" w:rsidP="00331321">
            <w:pPr>
              <w:jc w:val="center"/>
              <w:rPr>
                <w:rFonts w:ascii="Arial" w:hAnsi="Arial" w:cs="Arial"/>
                <w:b/>
                <w:sz w:val="24"/>
                <w:szCs w:val="48"/>
              </w:rPr>
            </w:pPr>
            <w:r>
              <w:rPr>
                <w:rFonts w:ascii="Arial" w:hAnsi="Arial" w:cs="Arial"/>
                <w:b/>
                <w:sz w:val="24"/>
                <w:szCs w:val="48"/>
              </w:rPr>
              <w:t>Chiều cao cây AVL</w:t>
            </w:r>
          </w:p>
        </w:tc>
        <w:tc>
          <w:tcPr>
            <w:tcW w:w="1519" w:type="dxa"/>
            <w:vAlign w:val="center"/>
          </w:tcPr>
          <w:p w:rsidR="006B5E09" w:rsidRDefault="006B5E09" w:rsidP="00331321">
            <w:pPr>
              <w:jc w:val="center"/>
              <w:rPr>
                <w:rFonts w:ascii="Arial" w:hAnsi="Arial" w:cs="Arial"/>
                <w:b/>
                <w:sz w:val="24"/>
                <w:szCs w:val="48"/>
              </w:rPr>
            </w:pPr>
            <w:r>
              <w:rPr>
                <w:rFonts w:ascii="Arial" w:hAnsi="Arial" w:cs="Arial"/>
                <w:b/>
                <w:sz w:val="24"/>
                <w:szCs w:val="48"/>
              </w:rPr>
              <w:t>Chiều cao cây đỏ đen</w:t>
            </w:r>
          </w:p>
        </w:tc>
        <w:tc>
          <w:tcPr>
            <w:tcW w:w="1902" w:type="dxa"/>
            <w:vAlign w:val="center"/>
          </w:tcPr>
          <w:p w:rsidR="006B5E09" w:rsidRDefault="006B5E09" w:rsidP="00331321">
            <w:pPr>
              <w:jc w:val="center"/>
              <w:rPr>
                <w:rFonts w:ascii="Arial" w:hAnsi="Arial" w:cs="Arial"/>
                <w:b/>
                <w:sz w:val="24"/>
                <w:szCs w:val="48"/>
              </w:rPr>
            </w:pPr>
            <w:r>
              <w:rPr>
                <w:rFonts w:ascii="Arial" w:hAnsi="Arial" w:cs="Arial"/>
                <w:b/>
                <w:sz w:val="24"/>
                <w:szCs w:val="48"/>
              </w:rPr>
              <w:t>log(N)</w:t>
            </w:r>
          </w:p>
        </w:tc>
        <w:tc>
          <w:tcPr>
            <w:tcW w:w="1903" w:type="dxa"/>
            <w:vAlign w:val="center"/>
          </w:tcPr>
          <w:p w:rsidR="006B5E09" w:rsidRDefault="006B5E09" w:rsidP="00331321">
            <w:pPr>
              <w:jc w:val="center"/>
              <w:rPr>
                <w:rFonts w:ascii="Arial" w:hAnsi="Arial" w:cs="Arial"/>
                <w:b/>
                <w:sz w:val="24"/>
                <w:szCs w:val="48"/>
              </w:rPr>
            </w:pPr>
            <w:r>
              <w:rPr>
                <w:rFonts w:ascii="Arial" w:hAnsi="Arial" w:cs="Arial"/>
                <w:b/>
                <w:sz w:val="24"/>
                <w:szCs w:val="48"/>
              </w:rPr>
              <w:t>1.45log(N)</w:t>
            </w:r>
          </w:p>
        </w:tc>
      </w:tr>
      <w:tr w:rsidR="006B5E09" w:rsidTr="006B5E09">
        <w:trPr>
          <w:trHeight w:val="476"/>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1</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24</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2</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w:t>
            </w:r>
            <w:r>
              <w:rPr>
                <w:rFonts w:ascii="Arial" w:hAnsi="Arial" w:cs="Arial"/>
                <w:sz w:val="24"/>
                <w:szCs w:val="48"/>
              </w:rPr>
              <w:t>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3</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w:t>
            </w:r>
            <w:r>
              <w:rPr>
                <w:rFonts w:ascii="Arial" w:hAnsi="Arial" w:cs="Arial"/>
                <w:sz w:val="24"/>
                <w:szCs w:val="48"/>
              </w:rPr>
              <w:t>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24</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4</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5</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6</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76"/>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7</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24</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498"/>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8</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519"/>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9</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24</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r w:rsidR="006B5E09" w:rsidTr="006B5E09">
        <w:trPr>
          <w:trHeight w:val="519"/>
        </w:trPr>
        <w:tc>
          <w:tcPr>
            <w:tcW w:w="1467" w:type="dxa"/>
            <w:vAlign w:val="center"/>
          </w:tcPr>
          <w:p w:rsidR="006B5E09" w:rsidRDefault="006B5E09" w:rsidP="00331321">
            <w:pPr>
              <w:jc w:val="center"/>
              <w:rPr>
                <w:rFonts w:ascii="Arial" w:hAnsi="Arial" w:cs="Arial"/>
                <w:b/>
                <w:sz w:val="24"/>
                <w:szCs w:val="48"/>
              </w:rPr>
            </w:pPr>
            <w:r>
              <w:rPr>
                <w:rFonts w:ascii="Arial" w:hAnsi="Arial" w:cs="Arial"/>
                <w:b/>
                <w:sz w:val="24"/>
                <w:szCs w:val="48"/>
              </w:rPr>
              <w:t>10</w:t>
            </w:r>
          </w:p>
        </w:tc>
        <w:tc>
          <w:tcPr>
            <w:tcW w:w="1266" w:type="dxa"/>
            <w:vAlign w:val="center"/>
          </w:tcPr>
          <w:p w:rsidR="006B5E09" w:rsidRPr="006B5E09" w:rsidRDefault="006B5E09" w:rsidP="006B5E09">
            <w:pPr>
              <w:jc w:val="center"/>
              <w:rPr>
                <w:rFonts w:ascii="Arial" w:hAnsi="Arial" w:cs="Arial"/>
                <w:sz w:val="24"/>
                <w:szCs w:val="48"/>
              </w:rPr>
            </w:pPr>
            <w:r>
              <w:rPr>
                <w:rFonts w:ascii="Arial" w:hAnsi="Arial" w:cs="Arial"/>
                <w:sz w:val="24"/>
                <w:szCs w:val="48"/>
              </w:rPr>
              <w:t>10^6</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23</w:t>
            </w:r>
          </w:p>
        </w:tc>
        <w:tc>
          <w:tcPr>
            <w:tcW w:w="1519" w:type="dxa"/>
            <w:vAlign w:val="center"/>
          </w:tcPr>
          <w:p w:rsidR="006B5E09" w:rsidRPr="006B5E09" w:rsidRDefault="006B5E09" w:rsidP="00331321">
            <w:pPr>
              <w:jc w:val="center"/>
              <w:rPr>
                <w:rFonts w:ascii="Arial" w:hAnsi="Arial" w:cs="Arial"/>
                <w:sz w:val="24"/>
                <w:szCs w:val="48"/>
              </w:rPr>
            </w:pPr>
            <w:r>
              <w:rPr>
                <w:rFonts w:ascii="Arial" w:hAnsi="Arial" w:cs="Arial"/>
                <w:sz w:val="24"/>
                <w:szCs w:val="48"/>
              </w:rPr>
              <w:t>24</w:t>
            </w:r>
          </w:p>
        </w:tc>
        <w:tc>
          <w:tcPr>
            <w:tcW w:w="1902"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19.9315685693</w:t>
            </w:r>
          </w:p>
        </w:tc>
        <w:tc>
          <w:tcPr>
            <w:tcW w:w="1903" w:type="dxa"/>
            <w:vAlign w:val="center"/>
          </w:tcPr>
          <w:p w:rsidR="006B5E09" w:rsidRPr="006B5E09" w:rsidRDefault="006B5E09" w:rsidP="00331321">
            <w:pPr>
              <w:jc w:val="center"/>
              <w:rPr>
                <w:rFonts w:ascii="Arial" w:hAnsi="Arial" w:cs="Arial"/>
                <w:sz w:val="24"/>
                <w:szCs w:val="48"/>
              </w:rPr>
            </w:pPr>
            <w:r w:rsidRPr="006B5E09">
              <w:rPr>
                <w:rFonts w:ascii="Arial" w:hAnsi="Arial" w:cs="Arial"/>
                <w:sz w:val="24"/>
                <w:szCs w:val="48"/>
              </w:rPr>
              <w:t>28.9007744255</w:t>
            </w:r>
          </w:p>
        </w:tc>
      </w:tr>
    </w:tbl>
    <w:p w:rsidR="006B5E09" w:rsidRDefault="006B5E09" w:rsidP="006B5E09">
      <w:pPr>
        <w:pStyle w:val="ListParagraph"/>
        <w:spacing w:line="240" w:lineRule="auto"/>
        <w:rPr>
          <w:rFonts w:ascii="Arial" w:hAnsi="Arial" w:cs="Arial"/>
          <w:b/>
          <w:sz w:val="24"/>
          <w:szCs w:val="48"/>
        </w:rPr>
      </w:pPr>
    </w:p>
    <w:p w:rsidR="006B5E09" w:rsidRPr="006B5E09" w:rsidRDefault="006B5E09" w:rsidP="006B5E09">
      <w:pPr>
        <w:pStyle w:val="ListParagraph"/>
        <w:spacing w:line="240" w:lineRule="auto"/>
        <w:rPr>
          <w:rFonts w:ascii="Arial" w:hAnsi="Arial" w:cs="Arial"/>
          <w:b/>
          <w:sz w:val="24"/>
          <w:szCs w:val="48"/>
        </w:rPr>
      </w:pPr>
    </w:p>
    <w:p w:rsidR="00331321" w:rsidRPr="009A2764" w:rsidRDefault="006B5E09" w:rsidP="006B5E09">
      <w:pPr>
        <w:pStyle w:val="ListParagraph"/>
        <w:numPr>
          <w:ilvl w:val="0"/>
          <w:numId w:val="3"/>
        </w:numPr>
        <w:spacing w:line="240" w:lineRule="auto"/>
        <w:rPr>
          <w:rFonts w:ascii="Arial" w:hAnsi="Arial" w:cs="Arial"/>
          <w:b/>
          <w:sz w:val="24"/>
          <w:szCs w:val="48"/>
        </w:rPr>
      </w:pPr>
      <w:r w:rsidRPr="006B5E09">
        <w:rPr>
          <w:rFonts w:ascii="Arial" w:hAnsi="Arial" w:cs="Arial"/>
          <w:sz w:val="28"/>
          <w:szCs w:val="48"/>
        </w:rPr>
        <w:t>Biểu đồ so sánh chiều cao cây và 2 giá trị log(N) và 1.45log(N):</w:t>
      </w:r>
    </w:p>
    <w:p w:rsidR="007F109E" w:rsidRDefault="009A2764" w:rsidP="007F109E">
      <w:pPr>
        <w:spacing w:line="240" w:lineRule="auto"/>
        <w:rPr>
          <w:rFonts w:ascii="Arial" w:hAnsi="Arial" w:cs="Arial"/>
          <w:b/>
          <w:sz w:val="24"/>
          <w:szCs w:val="48"/>
        </w:rPr>
      </w:pPr>
      <w:r>
        <w:rPr>
          <w:rFonts w:ascii="Arial" w:hAnsi="Arial" w:cs="Arial"/>
          <w:b/>
          <w:noProof/>
          <w:sz w:val="24"/>
          <w:szCs w:val="48"/>
        </w:rPr>
        <w:drawing>
          <wp:inline distT="0" distB="0" distL="0" distR="0" wp14:anchorId="1A3A2B1B" wp14:editId="4494664D">
            <wp:extent cx="5958840" cy="3200400"/>
            <wp:effectExtent l="0" t="0" r="2286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6B44" w:rsidRDefault="00986B44" w:rsidP="007F109E">
      <w:pPr>
        <w:spacing w:line="240" w:lineRule="auto"/>
        <w:rPr>
          <w:rFonts w:ascii="Arial" w:hAnsi="Arial" w:cs="Arial"/>
          <w:b/>
          <w:sz w:val="24"/>
          <w:szCs w:val="48"/>
        </w:rPr>
      </w:pPr>
      <w:bookmarkStart w:id="0" w:name="_GoBack"/>
      <w:bookmarkEnd w:id="0"/>
    </w:p>
    <w:p w:rsidR="009A2764" w:rsidRPr="002514D3" w:rsidRDefault="009A2764" w:rsidP="002514D3">
      <w:pPr>
        <w:pStyle w:val="ListParagraph"/>
        <w:numPr>
          <w:ilvl w:val="0"/>
          <w:numId w:val="3"/>
        </w:numPr>
        <w:spacing w:line="360" w:lineRule="auto"/>
        <w:ind w:left="284" w:firstLine="76"/>
        <w:rPr>
          <w:rFonts w:ascii="Arial" w:hAnsi="Arial" w:cs="Arial"/>
          <w:b/>
          <w:szCs w:val="48"/>
        </w:rPr>
      </w:pPr>
      <w:r>
        <w:rPr>
          <w:rFonts w:ascii="Arial" w:hAnsi="Arial" w:cs="Arial"/>
          <w:sz w:val="28"/>
          <w:szCs w:val="48"/>
        </w:rPr>
        <w:t>Kết luận:</w:t>
      </w:r>
      <w:r>
        <w:rPr>
          <w:rFonts w:ascii="Arial" w:hAnsi="Arial" w:cs="Arial"/>
          <w:sz w:val="28"/>
          <w:szCs w:val="48"/>
        </w:rPr>
        <w:t xml:space="preserve"> </w:t>
      </w:r>
      <w:r w:rsidR="002514D3" w:rsidRPr="002514D3">
        <w:rPr>
          <w:rFonts w:ascii="Arial" w:hAnsi="Arial" w:cs="Arial"/>
          <w:sz w:val="24"/>
          <w:szCs w:val="48"/>
        </w:rPr>
        <w:t>Có thể thấy chiều cao cây AVL tương đối ổn định (luôn bằng 23 với tất cả 10 test case, trong khi chiều cao cây đỏ đen có sự dao động giữa 23 và 24 tuỳ vào test. Nhìn chung chiều cao của 2 loại BST khá tương đồng với sự chênh lệch rất nhỏ. Ngoài ra chiều cao của chúng trong đa số trường hợp đều nằm giữa khoảng từ Log2(N) đến 1.45Log(N) với N là số lượng nút của cây.</w:t>
      </w:r>
    </w:p>
    <w:p w:rsidR="007F109E" w:rsidRPr="007F109E" w:rsidRDefault="007F109E" w:rsidP="007F109E">
      <w:pPr>
        <w:spacing w:line="240" w:lineRule="auto"/>
        <w:rPr>
          <w:rFonts w:ascii="Arial" w:hAnsi="Arial" w:cs="Arial"/>
          <w:b/>
          <w:sz w:val="24"/>
          <w:szCs w:val="48"/>
        </w:rPr>
      </w:pPr>
    </w:p>
    <w:sectPr w:rsidR="007F109E" w:rsidRPr="007F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839C0"/>
    <w:multiLevelType w:val="hybridMultilevel"/>
    <w:tmpl w:val="5330A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6A7F03"/>
    <w:multiLevelType w:val="hybridMultilevel"/>
    <w:tmpl w:val="CBE6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707D2"/>
    <w:multiLevelType w:val="hybridMultilevel"/>
    <w:tmpl w:val="68DA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21"/>
    <w:rsid w:val="002514D3"/>
    <w:rsid w:val="00331321"/>
    <w:rsid w:val="006B5E09"/>
    <w:rsid w:val="007016FB"/>
    <w:rsid w:val="007F109E"/>
    <w:rsid w:val="00986B44"/>
    <w:rsid w:val="009A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21"/>
    <w:pPr>
      <w:ind w:left="720"/>
      <w:contextualSpacing/>
    </w:pPr>
  </w:style>
  <w:style w:type="table" w:styleId="TableGrid">
    <w:name w:val="Table Grid"/>
    <w:basedOn w:val="TableNormal"/>
    <w:uiPriority w:val="59"/>
    <w:rsid w:val="00331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09E"/>
    <w:rPr>
      <w:rFonts w:ascii="Tahoma" w:hAnsi="Tahoma" w:cs="Tahoma"/>
      <w:sz w:val="16"/>
      <w:szCs w:val="16"/>
    </w:rPr>
  </w:style>
  <w:style w:type="character" w:styleId="Hyperlink">
    <w:name w:val="Hyperlink"/>
    <w:basedOn w:val="DefaultParagraphFont"/>
    <w:uiPriority w:val="99"/>
    <w:unhideWhenUsed/>
    <w:rsid w:val="009A2764"/>
    <w:rPr>
      <w:color w:val="0000FF" w:themeColor="hyperlink"/>
      <w:u w:val="single"/>
    </w:rPr>
  </w:style>
  <w:style w:type="character" w:styleId="FollowedHyperlink">
    <w:name w:val="FollowedHyperlink"/>
    <w:basedOn w:val="DefaultParagraphFont"/>
    <w:uiPriority w:val="99"/>
    <w:semiHidden/>
    <w:unhideWhenUsed/>
    <w:rsid w:val="009A27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21"/>
    <w:pPr>
      <w:ind w:left="720"/>
      <w:contextualSpacing/>
    </w:pPr>
  </w:style>
  <w:style w:type="table" w:styleId="TableGrid">
    <w:name w:val="Table Grid"/>
    <w:basedOn w:val="TableNormal"/>
    <w:uiPriority w:val="59"/>
    <w:rsid w:val="00331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09E"/>
    <w:rPr>
      <w:rFonts w:ascii="Tahoma" w:hAnsi="Tahoma" w:cs="Tahoma"/>
      <w:sz w:val="16"/>
      <w:szCs w:val="16"/>
    </w:rPr>
  </w:style>
  <w:style w:type="character" w:styleId="Hyperlink">
    <w:name w:val="Hyperlink"/>
    <w:basedOn w:val="DefaultParagraphFont"/>
    <w:uiPriority w:val="99"/>
    <w:unhideWhenUsed/>
    <w:rsid w:val="009A2764"/>
    <w:rPr>
      <w:color w:val="0000FF" w:themeColor="hyperlink"/>
      <w:u w:val="single"/>
    </w:rPr>
  </w:style>
  <w:style w:type="character" w:styleId="FollowedHyperlink">
    <w:name w:val="FollowedHyperlink"/>
    <w:basedOn w:val="DefaultParagraphFont"/>
    <w:uiPriority w:val="99"/>
    <w:semiHidden/>
    <w:unhideWhenUsed/>
    <w:rsid w:val="009A27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hDoggo420/ThucNghiemDoChieuCaoBS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Biểu</a:t>
            </a:r>
            <a:r>
              <a:rPr lang="en-US" baseline="0"/>
              <a:t> đồ so sánh:</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chiều cao cây AVL</c:v>
                </c:pt>
              </c:strCache>
            </c:strRef>
          </c:tx>
          <c:invertIfNegative val="0"/>
          <c:cat>
            <c:strRef>
              <c:f>Sheet1!$A$2:$A$11</c:f>
              <c:strCache>
                <c:ptCount val="10"/>
                <c:pt idx="0">
                  <c:v>Case 1</c:v>
                </c:pt>
                <c:pt idx="1">
                  <c:v>Case 2</c:v>
                </c:pt>
                <c:pt idx="2">
                  <c:v>Case 3</c:v>
                </c:pt>
                <c:pt idx="3">
                  <c:v>Case 4</c:v>
                </c:pt>
                <c:pt idx="4">
                  <c:v>Case 5</c:v>
                </c:pt>
                <c:pt idx="5">
                  <c:v>Case 6</c:v>
                </c:pt>
                <c:pt idx="6">
                  <c:v>Case 7</c:v>
                </c:pt>
                <c:pt idx="7">
                  <c:v>Case 8</c:v>
                </c:pt>
                <c:pt idx="8">
                  <c:v>Case 9</c:v>
                </c:pt>
                <c:pt idx="9">
                  <c:v>Case 10</c:v>
                </c:pt>
              </c:strCache>
            </c:strRef>
          </c:cat>
          <c:val>
            <c:numRef>
              <c:f>Sheet1!$B$2:$B$11</c:f>
              <c:numCache>
                <c:formatCode>General</c:formatCode>
                <c:ptCount val="10"/>
                <c:pt idx="0">
                  <c:v>23</c:v>
                </c:pt>
                <c:pt idx="1">
                  <c:v>23</c:v>
                </c:pt>
                <c:pt idx="2">
                  <c:v>23</c:v>
                </c:pt>
                <c:pt idx="3">
                  <c:v>23</c:v>
                </c:pt>
                <c:pt idx="4">
                  <c:v>23</c:v>
                </c:pt>
                <c:pt idx="5">
                  <c:v>23</c:v>
                </c:pt>
                <c:pt idx="6">
                  <c:v>23</c:v>
                </c:pt>
                <c:pt idx="7">
                  <c:v>23</c:v>
                </c:pt>
                <c:pt idx="8">
                  <c:v>23</c:v>
                </c:pt>
                <c:pt idx="9">
                  <c:v>23</c:v>
                </c:pt>
              </c:numCache>
            </c:numRef>
          </c:val>
        </c:ser>
        <c:ser>
          <c:idx val="1"/>
          <c:order val="1"/>
          <c:tx>
            <c:strRef>
              <c:f>Sheet1!$C$1</c:f>
              <c:strCache>
                <c:ptCount val="1"/>
                <c:pt idx="0">
                  <c:v>Chiều cao cây đỏ đen</c:v>
                </c:pt>
              </c:strCache>
            </c:strRef>
          </c:tx>
          <c:invertIfNegative val="0"/>
          <c:cat>
            <c:strRef>
              <c:f>Sheet1!$A$2:$A$11</c:f>
              <c:strCache>
                <c:ptCount val="10"/>
                <c:pt idx="0">
                  <c:v>Case 1</c:v>
                </c:pt>
                <c:pt idx="1">
                  <c:v>Case 2</c:v>
                </c:pt>
                <c:pt idx="2">
                  <c:v>Case 3</c:v>
                </c:pt>
                <c:pt idx="3">
                  <c:v>Case 4</c:v>
                </c:pt>
                <c:pt idx="4">
                  <c:v>Case 5</c:v>
                </c:pt>
                <c:pt idx="5">
                  <c:v>Case 6</c:v>
                </c:pt>
                <c:pt idx="6">
                  <c:v>Case 7</c:v>
                </c:pt>
                <c:pt idx="7">
                  <c:v>Case 8</c:v>
                </c:pt>
                <c:pt idx="8">
                  <c:v>Case 9</c:v>
                </c:pt>
                <c:pt idx="9">
                  <c:v>Case 10</c:v>
                </c:pt>
              </c:strCache>
            </c:strRef>
          </c:cat>
          <c:val>
            <c:numRef>
              <c:f>Sheet1!$C$2:$C$11</c:f>
              <c:numCache>
                <c:formatCode>General</c:formatCode>
                <c:ptCount val="10"/>
                <c:pt idx="0">
                  <c:v>24</c:v>
                </c:pt>
                <c:pt idx="1">
                  <c:v>23</c:v>
                </c:pt>
                <c:pt idx="2">
                  <c:v>24</c:v>
                </c:pt>
                <c:pt idx="3">
                  <c:v>23</c:v>
                </c:pt>
                <c:pt idx="4">
                  <c:v>23</c:v>
                </c:pt>
                <c:pt idx="5">
                  <c:v>23</c:v>
                </c:pt>
                <c:pt idx="6">
                  <c:v>24</c:v>
                </c:pt>
                <c:pt idx="7">
                  <c:v>23</c:v>
                </c:pt>
                <c:pt idx="8">
                  <c:v>24</c:v>
                </c:pt>
                <c:pt idx="9">
                  <c:v>24</c:v>
                </c:pt>
              </c:numCache>
            </c:numRef>
          </c:val>
        </c:ser>
        <c:ser>
          <c:idx val="2"/>
          <c:order val="2"/>
          <c:tx>
            <c:strRef>
              <c:f>Sheet1!$D$1</c:f>
              <c:strCache>
                <c:ptCount val="1"/>
                <c:pt idx="0">
                  <c:v>Log2(N)</c:v>
                </c:pt>
              </c:strCache>
            </c:strRef>
          </c:tx>
          <c:invertIfNegative val="0"/>
          <c:cat>
            <c:strRef>
              <c:f>Sheet1!$A$2:$A$11</c:f>
              <c:strCache>
                <c:ptCount val="10"/>
                <c:pt idx="0">
                  <c:v>Case 1</c:v>
                </c:pt>
                <c:pt idx="1">
                  <c:v>Case 2</c:v>
                </c:pt>
                <c:pt idx="2">
                  <c:v>Case 3</c:v>
                </c:pt>
                <c:pt idx="3">
                  <c:v>Case 4</c:v>
                </c:pt>
                <c:pt idx="4">
                  <c:v>Case 5</c:v>
                </c:pt>
                <c:pt idx="5">
                  <c:v>Case 6</c:v>
                </c:pt>
                <c:pt idx="6">
                  <c:v>Case 7</c:v>
                </c:pt>
                <c:pt idx="7">
                  <c:v>Case 8</c:v>
                </c:pt>
                <c:pt idx="8">
                  <c:v>Case 9</c:v>
                </c:pt>
                <c:pt idx="9">
                  <c:v>Case 10</c:v>
                </c:pt>
              </c:strCache>
            </c:strRef>
          </c:cat>
          <c:val>
            <c:numRef>
              <c:f>Sheet1!$D$2:$D$11</c:f>
              <c:numCache>
                <c:formatCode>#,##0</c:formatCode>
                <c:ptCount val="10"/>
                <c:pt idx="0">
                  <c:v>20</c:v>
                </c:pt>
                <c:pt idx="1">
                  <c:v>20</c:v>
                </c:pt>
                <c:pt idx="2">
                  <c:v>20</c:v>
                </c:pt>
                <c:pt idx="3">
                  <c:v>20</c:v>
                </c:pt>
                <c:pt idx="4">
                  <c:v>20</c:v>
                </c:pt>
                <c:pt idx="5">
                  <c:v>20</c:v>
                </c:pt>
                <c:pt idx="6">
                  <c:v>20</c:v>
                </c:pt>
                <c:pt idx="7">
                  <c:v>20</c:v>
                </c:pt>
                <c:pt idx="8">
                  <c:v>20</c:v>
                </c:pt>
                <c:pt idx="9">
                  <c:v>20</c:v>
                </c:pt>
              </c:numCache>
            </c:numRef>
          </c:val>
        </c:ser>
        <c:ser>
          <c:idx val="3"/>
          <c:order val="3"/>
          <c:tx>
            <c:strRef>
              <c:f>Sheet1!$E$1</c:f>
              <c:strCache>
                <c:ptCount val="1"/>
                <c:pt idx="0">
                  <c:v>1.45Log2(N)</c:v>
                </c:pt>
              </c:strCache>
            </c:strRef>
          </c:tx>
          <c:invertIfNegative val="0"/>
          <c:cat>
            <c:strRef>
              <c:f>Sheet1!$A$2:$A$11</c:f>
              <c:strCache>
                <c:ptCount val="10"/>
                <c:pt idx="0">
                  <c:v>Case 1</c:v>
                </c:pt>
                <c:pt idx="1">
                  <c:v>Case 2</c:v>
                </c:pt>
                <c:pt idx="2">
                  <c:v>Case 3</c:v>
                </c:pt>
                <c:pt idx="3">
                  <c:v>Case 4</c:v>
                </c:pt>
                <c:pt idx="4">
                  <c:v>Case 5</c:v>
                </c:pt>
                <c:pt idx="5">
                  <c:v>Case 6</c:v>
                </c:pt>
                <c:pt idx="6">
                  <c:v>Case 7</c:v>
                </c:pt>
                <c:pt idx="7">
                  <c:v>Case 8</c:v>
                </c:pt>
                <c:pt idx="8">
                  <c:v>Case 9</c:v>
                </c:pt>
                <c:pt idx="9">
                  <c:v>Case 10</c:v>
                </c:pt>
              </c:strCache>
            </c:strRef>
          </c:cat>
          <c:val>
            <c:numRef>
              <c:f>Sheet1!$E$2:$E$11</c:f>
              <c:numCache>
                <c:formatCode>General</c:formatCode>
                <c:ptCount val="10"/>
                <c:pt idx="0">
                  <c:v>29</c:v>
                </c:pt>
                <c:pt idx="1">
                  <c:v>29</c:v>
                </c:pt>
                <c:pt idx="2">
                  <c:v>29</c:v>
                </c:pt>
                <c:pt idx="3">
                  <c:v>29</c:v>
                </c:pt>
                <c:pt idx="4">
                  <c:v>29</c:v>
                </c:pt>
                <c:pt idx="5">
                  <c:v>29</c:v>
                </c:pt>
                <c:pt idx="6">
                  <c:v>29</c:v>
                </c:pt>
                <c:pt idx="7">
                  <c:v>29</c:v>
                </c:pt>
                <c:pt idx="8">
                  <c:v>29</c:v>
                </c:pt>
                <c:pt idx="9">
                  <c:v>29</c:v>
                </c:pt>
              </c:numCache>
            </c:numRef>
          </c:val>
        </c:ser>
        <c:dLbls>
          <c:showLegendKey val="0"/>
          <c:showVal val="0"/>
          <c:showCatName val="0"/>
          <c:showSerName val="0"/>
          <c:showPercent val="0"/>
          <c:showBubbleSize val="0"/>
        </c:dLbls>
        <c:gapWidth val="75"/>
        <c:shape val="box"/>
        <c:axId val="152296832"/>
        <c:axId val="172493824"/>
        <c:axId val="0"/>
      </c:bar3DChart>
      <c:catAx>
        <c:axId val="152296832"/>
        <c:scaling>
          <c:orientation val="minMax"/>
        </c:scaling>
        <c:delete val="0"/>
        <c:axPos val="b"/>
        <c:majorTickMark val="none"/>
        <c:minorTickMark val="none"/>
        <c:tickLblPos val="nextTo"/>
        <c:crossAx val="172493824"/>
        <c:crosses val="autoZero"/>
        <c:auto val="1"/>
        <c:lblAlgn val="ctr"/>
        <c:lblOffset val="100"/>
        <c:noMultiLvlLbl val="0"/>
      </c:catAx>
      <c:valAx>
        <c:axId val="172493824"/>
        <c:scaling>
          <c:orientation val="minMax"/>
        </c:scaling>
        <c:delete val="0"/>
        <c:axPos val="l"/>
        <c:majorGridlines/>
        <c:numFmt formatCode="General" sourceLinked="1"/>
        <c:majorTickMark val="none"/>
        <c:minorTickMark val="none"/>
        <c:tickLblPos val="nextTo"/>
        <c:spPr>
          <a:ln w="9525">
            <a:noFill/>
          </a:ln>
        </c:spPr>
        <c:crossAx val="1522968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2023-05-22T10:48:00Z</dcterms:created>
  <dcterms:modified xsi:type="dcterms:W3CDTF">2023-05-22T11:23:00Z</dcterms:modified>
</cp:coreProperties>
</file>