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«Техно»»,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3636 272728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105 600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без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50505050, КПП 3647477483,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3637744738383883,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36373773,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2025-06-02T07:08:39Z</dcterms:modified>
  <dc:creator/>
  <dc:description/>
  <dc:identifier/>
  <dc:language/>
  <dc:subject/>
</cp:coreProperties>
</file>