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Company Policy RAG Chatbot</w:t>
      </w:r>
    </w:p>
    <w:p>
      <w:pPr>
        <w:spacing w:after="40"/>
      </w:pPr>
      <w:r>
        <w:rPr>
          <w:i/>
          <w:iCs/>
          <w:color w:val="555555"/>
          <w:sz w:val="26"/>
          <w:szCs w:val="26"/>
        </w:rPr>
        <w:t xml:space="preserve">Technical Report: Pipeline Architecture &amp; Methods</w:t>
      </w:r>
    </w:p>
    <w:p>
      <w:pPr>
        <w:spacing w:after="400"/>
      </w:pPr>
      <w:r>
        <w:rPr>
          <w:color w:val="777777"/>
          <w:sz w:val="22"/>
          <w:szCs w:val="22"/>
        </w:rPr>
        <w:t xml:space="preserve">Retrieval-Augmented Generation system for automated employee policy queries</w:t>
      </w:r>
    </w:p>
    <w:p>
      <w:pPr>
        <w:pStyle w:val="Heading1"/>
        <w:spacing w:after="160" w:before="360"/>
      </w:pPr>
      <w:r>
        <w:t xml:space="preserve">1. Executive Summary</w:t>
      </w:r>
    </w:p>
    <w:p>
      <w:pPr>
        <w:spacing w:after="160"/>
      </w:pPr>
      <w:r>
        <w:t xml:space="preserve">This report documents the design, implementation, and iterative refinement of an internal chatbot that answers employee questions using company policy documents. The system uses Retrieval-Augmented Generation (RAG): rather than relying on a language model's general knowledge, it retrieves the actual relevant policy content and grounds every answer in that retrieved text. This prevents hallucinated policy details and keeps every answer traceable back to a specific source document and section.</w:t>
      </w:r>
    </w:p>
    <w:p>
      <w:pPr>
        <w:spacing w:after="160"/>
      </w:pPr>
      <w:r>
        <w:t xml:space="preserve">The pipeline was built and refined through several rounds of debugging and redesign, particularly around environment constraints (a locked-down Windows machine with no admin rights) and retrieval quality (ensuring the system reliably surfaces all genuinely relevant policies, not just the closest lexical match). Both the chunking strategy and the retrieval strategy went through multiple iterations based on observed failures, documented in Sections 4 and 5.</w:t>
      </w:r>
    </w:p>
    <w:p>
      <w:pPr>
        <w:pStyle w:val="Heading1"/>
        <w:spacing w:after="160" w:before="360"/>
      </w:pPr>
      <w:r>
        <w:t xml:space="preserve">2. System Overview</w:t>
      </w:r>
    </w:p>
    <w:p>
      <w:pPr>
        <w:spacing w:after="160"/>
      </w:pPr>
      <w:r>
        <w:t xml:space="preserve">The system is composed of five stages, split into an offline ingestion phase and a runtime query-answering phase:</w:t>
      </w:r>
    </w:p>
    <w:p>
      <w:pPr>
        <w:pStyle w:val="Heading2"/>
        <w:spacing w:after="120" w:before="260"/>
      </w:pPr>
      <w:r>
        <w:t xml:space="preserve">2.1 Offline Ingestion Phase</w:t>
      </w:r>
    </w:p>
    <w:p>
      <w:pPr>
        <w:pStyle w:val="ListParagraph"/>
        <w:numPr>
          <w:ilvl w:val="0"/>
          <w:numId w:val="2"/>
        </w:numPr>
        <w:spacing w:after="60"/>
      </w:pPr>
      <w:r>
        <w:t xml:space="preserve">Extract structured content (headings, sections, tables) from policy .docx files</w:t>
      </w:r>
    </w:p>
    <w:p>
      <w:pPr>
        <w:pStyle w:val="ListParagraph"/>
        <w:numPr>
          <w:ilvl w:val="0"/>
          <w:numId w:val="2"/>
        </w:numPr>
        <w:spacing w:after="60"/>
      </w:pPr>
      <w:r>
        <w:t xml:space="preserve">Chunk the content hierarchically, respecting document structure</w:t>
      </w:r>
    </w:p>
    <w:p>
      <w:pPr>
        <w:pStyle w:val="ListParagraph"/>
        <w:numPr>
          <w:ilvl w:val="0"/>
          <w:numId w:val="2"/>
        </w:numPr>
        <w:spacing w:after="60"/>
      </w:pPr>
      <w:r>
        <w:t xml:space="preserve">Generate vector embeddings for each chunk and store them for retrieval</w:t>
      </w:r>
    </w:p>
    <w:p>
      <w:pPr>
        <w:pStyle w:val="Heading2"/>
        <w:spacing w:after="120" w:before="260"/>
      </w:pPr>
      <w:r>
        <w:t xml:space="preserve">2.2 Runtime Query Phase</w:t>
      </w:r>
    </w:p>
    <w:p>
      <w:pPr>
        <w:pStyle w:val="ListParagraph"/>
        <w:numPr>
          <w:ilvl w:val="0"/>
          <w:numId w:val="2"/>
        </w:numPr>
        <w:spacing w:after="60"/>
      </w:pPr>
      <w:r>
        <w:t xml:space="preserve">Classify and, if needed, rewrite the user's question</w:t>
      </w:r>
    </w:p>
    <w:p>
      <w:pPr>
        <w:pStyle w:val="ListParagraph"/>
        <w:numPr>
          <w:ilvl w:val="0"/>
          <w:numId w:val="2"/>
        </w:numPr>
        <w:spacing w:after="60"/>
      </w:pPr>
      <w:r>
        <w:t xml:space="preserve">Retrieve the most relevant chunks using a hybrid relevance/diversity strategy</w:t>
      </w:r>
    </w:p>
    <w:p>
      <w:pPr>
        <w:pStyle w:val="ListParagraph"/>
        <w:numPr>
          <w:ilvl w:val="0"/>
          <w:numId w:val="2"/>
        </w:numPr>
        <w:spacing w:after="60"/>
      </w:pPr>
      <w:r>
        <w:t xml:space="preserve">Generate a structured, schema-validated answer grounded in the retrieved content</w:t>
      </w:r>
    </w:p>
    <w:p>
      <w:pPr>
        <w:pStyle w:val="ListParagraph"/>
        <w:numPr>
          <w:ilvl w:val="0"/>
          <w:numId w:val="2"/>
        </w:numPr>
        <w:spacing w:after="60"/>
      </w:pPr>
      <w:r>
        <w:t xml:space="preserve">Render the answer in a branded chat interface</w:t>
      </w:r>
    </w:p>
    <w:p>
      <w:pPr>
        <w:pStyle w:val="Heading1"/>
        <w:spacing w:after="160" w:before="360"/>
      </w:pPr>
      <w:r>
        <w:t xml:space="preserve">3. Document Ingestion</w:t>
      </w:r>
    </w:p>
    <w:p>
      <w:pPr>
        <w:spacing w:after="160"/>
      </w:pPr>
      <w:r>
        <w:t xml:space="preserve">Method: Custom Python using python-docx (not a generic document loader).</w:t>
      </w:r>
    </w:p>
    <w:p>
      <w:pPr>
        <w:spacing w:after="160"/>
      </w:pPr>
      <w:r>
        <w:t xml:space="preserve">Rather than flattening each document into plain text immediately, the ingestion step walks each .docx file's body in document order and classifies every element into one of three types: heading (with its level), paragraph, or table. This preserves the document's structural hierarchy — which heading a given paragraph or table falls under — as first-class data, rather than discarding it.</w:t>
      </w:r>
    </w:p>
    <w:p>
      <w:pPr>
        <w:pStyle w:val="Heading3"/>
        <w:spacing w:after="100" w:before="200"/>
      </w:pPr>
      <w:r>
        <w:t xml:space="preserve">Why not a standard document loader?</w:t>
      </w:r>
    </w:p>
    <w:p>
      <w:pPr>
        <w:spacing w:after="160"/>
      </w:pPr>
      <w:r>
        <w:t xml:space="preserve">Generic loaders (including LangChain's built-in Word document loaders) typically return a single block of flattened text per document or per page, losing the heading hierarchy and table boundaries. Since the chunking strategy (Section 4) depends on knowing exactly where each section starts and ends, and on keeping tables intact, structure-aware extraction was a prerequisite, not an optional enhancement.</w:t>
      </w:r>
    </w:p>
    <w:p>
      <w:pPr>
        <w:pStyle w:val="Heading1"/>
        <w:spacing w:after="160" w:before="360"/>
      </w:pPr>
      <w:r>
        <w:t xml:space="preserve">4. Chunking Strategy</w:t>
      </w:r>
    </w:p>
    <w:p>
      <w:pPr>
        <w:spacing w:after="160"/>
      </w:pPr>
      <w:r>
        <w:t xml:space="preserve">Method: Custom hierarchical, structure-aware chunking (not fixed-size splitting).</w:t>
      </w:r>
    </w:p>
    <w:p>
      <w:pPr>
        <w:pStyle w:val="Heading2"/>
        <w:spacing w:after="120" w:before="260"/>
      </w:pPr>
      <w:r>
        <w:t xml:space="preserve">4.1 How it works</w:t>
      </w:r>
    </w:p>
    <w:p>
      <w:pPr>
        <w:pStyle w:val="ListParagraph"/>
        <w:numPr>
          <w:ilvl w:val="0"/>
          <w:numId w:val="2"/>
        </w:numPr>
        <w:spacing w:after="60"/>
      </w:pPr>
      <w:r>
        <w:t xml:space="preserve">A new heading marks a section boundary: whatever text was accumulated under the previous heading is flushed as a completed chunk before the next section begins.</w:t>
      </w:r>
    </w:p>
    <w:p>
      <w:pPr>
        <w:pStyle w:val="ListParagraph"/>
        <w:numPr>
          <w:ilvl w:val="0"/>
          <w:numId w:val="2"/>
        </w:numPr>
        <w:spacing w:after="60"/>
      </w:pPr>
      <w:r>
        <w:t xml:space="preserve">Tables are never split across chunks, and never merged with surrounding paragraph text — each table becomes its own dedicated chunk.</w:t>
      </w:r>
    </w:p>
    <w:p>
      <w:pPr>
        <w:pStyle w:val="ListParagraph"/>
        <w:numPr>
          <w:ilvl w:val="0"/>
          <w:numId w:val="2"/>
        </w:numPr>
        <w:spacing w:after="60"/>
      </w:pPr>
      <w:r>
        <w:t xml:space="preserve">Each chunk is prefixed with its section breadcrumb (e.g. "Leave and Time Off Policy &gt; Annual Leave Entitlement") before embedding, so the embedding captures topical context, not just isolated sentences.</w:t>
      </w:r>
    </w:p>
    <w:p>
      <w:pPr>
        <w:pStyle w:val="ListParagraph"/>
        <w:numPr>
          <w:ilvl w:val="0"/>
          <w:numId w:val="2"/>
        </w:numPr>
        <w:spacing w:after="60"/>
      </w:pPr>
      <w:r>
        <w:t xml:space="preserve">A soft maximum (350 words) further splits unusually long sections; a soft minimum (40 words) merges tiny orphan chunks into their neighbor.</w:t>
      </w:r>
    </w:p>
    <w:p>
      <w:pPr>
        <w:pStyle w:val="Heading2"/>
        <w:spacing w:after="120" w:before="260"/>
      </w:pPr>
      <w:r>
        <w:t xml:space="preserve">4.2 Rationale</w:t>
      </w:r>
    </w:p>
    <w:p>
      <w:pPr>
        <w:spacing w:after="160"/>
      </w:pPr>
      <w:r>
        <w:t xml:space="preserve">This approach was chosen over fixed word-count chunking for three concrete reasons:</w:t>
      </w:r>
    </w:p>
    <w:p>
      <w:pPr>
        <w:pStyle w:val="ListParagraph"/>
        <w:numPr>
          <w:ilvl w:val="0"/>
          <w:numId w:val="3"/>
        </w:numPr>
        <w:spacing w:after="60"/>
      </w:pPr>
      <w:r>
        <w:t xml:space="preserve">Table integrity: policy documents frequently contain eligibility tables (e.g. leave days by tenure). Splitting such a table mid-row makes both the embedding and the retrieved chunk meaningless for questions like "how many days do I get after 3 years?"</w:t>
      </w:r>
    </w:p>
    <w:p>
      <w:pPr>
        <w:pStyle w:val="ListParagraph"/>
        <w:numPr>
          <w:ilvl w:val="0"/>
          <w:numId w:val="3"/>
        </w:numPr>
        <w:spacing w:after="60"/>
      </w:pPr>
      <w:r>
        <w:t xml:space="preserve">Semantic coherence: fixed-size chunking can begin mid-sentence in one topic and end mid-sentence in an unrelated one, producing an embedding that represents neither topic well.</w:t>
      </w:r>
    </w:p>
    <w:p>
      <w:pPr>
        <w:pStyle w:val="ListParagraph"/>
        <w:numPr>
          <w:ilvl w:val="0"/>
          <w:numId w:val="3"/>
        </w:numPr>
        <w:spacing w:after="60"/>
      </w:pPr>
      <w:r>
        <w:t xml:space="preserve">Citation traceability: because each chunk retains its real section path, the system can cite the exact section an answer came from, rather than just the source file name.</w:t>
      </w:r>
    </w:p>
    <w:p>
      <w:pPr>
        <w:pStyle w:val="Heading1"/>
        <w:spacing w:after="160" w:before="360"/>
      </w:pPr>
      <w:r>
        <w:t xml:space="preserve">5. Embedding and Vector Storage</w:t>
      </w:r>
    </w:p>
    <w:p>
      <w:pPr>
        <w:spacing w:after="160"/>
      </w:pPr>
      <w:r>
        <w:t xml:space="preserve">Method: LangChain (GoogleGenerativeAIEmbeddings) + a pure-Python vector store.</w:t>
      </w:r>
    </w:p>
    <w:p>
      <w:pPr>
        <w:spacing w:after="160"/>
      </w:pPr>
      <w:r>
        <w:t xml:space="preserve">Each chunk is embedded via the Gemini embedding API. Embeddings and their associated metadata (source document, section path, chunk type) are persisted to disk for reuse across sessions.</w:t>
      </w:r>
    </w:p>
    <w:p>
      <w:pPr>
        <w:pStyle w:val="Heading2"/>
        <w:spacing w:after="120" w:before="260"/>
      </w:pPr>
      <w:r>
        <w:t xml:space="preserve">5.1 Incremental updates</w:t>
      </w:r>
    </w:p>
    <w:p>
      <w:pPr>
        <w:spacing w:after="160"/>
      </w:pPr>
      <w:r>
        <w:t xml:space="preserve">Each chunk's text is hashed (SHA-256, truncated). On every run, the current hash is compared against what is already stored: unchanged chunks are skipped, and only new or modified chunks are re-embedded. Chunks belonging to documents that have been removed are also pruned automatically. This avoids re-embedding an entire document set — a meaningful cost and time saving as the document set grows past 50+ files.</w:t>
      </w:r>
    </w:p>
    <w:p>
      <w:pPr>
        <w:pStyle w:val="Heading2"/>
        <w:spacing w:after="120" w:before="260"/>
      </w:pPr>
      <w:r>
        <w:t xml:space="preserve">5.2 Vector store selection</w:t>
      </w:r>
    </w:p>
    <w:p>
      <w:pPr>
        <w:spacing w:after="160"/>
      </w:pPr>
      <w:r>
        <w:t xml:space="preserve">ChromaDB was initially used, but was replaced after it caused a hard, unrecoverable process crash (Windows ACCESS_VIOLATION, exit code 0xC0000005) on the deployment machine — a locked-down corporate environment without administrator rights, where the required native C++ runtime dependencies (used by ChromaDB's underlying hnswlib index) could not be installed or repaired.</w:t>
      </w:r>
    </w:p>
    <w:p>
      <w:pPr>
        <w:spacing w:after="160"/>
      </w:pPr>
      <w:r>
        <w:t xml:space="preserve">The system now uses LangChain's InMemoryVectorStore, a pure-Python implementation with no native/compiled dependencies, persisted to a JSON file via its built-in dump()/load() methods. This trades some scalability headroom (the full store loads into memory) for complete reliability on constrained environments — an acceptable trade-off at the project's current scale (a few hundred chunks).</w:t>
      </w:r>
    </w:p>
    <w:p>
      <w:pPr>
        <w:pStyle w:val="Heading1"/>
        <w:spacing w:after="160" w:before="360"/>
      </w:pPr>
      <w:r>
        <w:t xml:space="preserve">6. Retrieval Strategy</w:t>
      </w:r>
    </w:p>
    <w:p>
      <w:pPr>
        <w:spacing w:after="160"/>
      </w:pPr>
      <w:r>
        <w:t xml:space="preserve">Retrieval went through three iterations in response to observed quality issues. Each is documented below, since the failure modes are instructive for future maintenance.</w:t>
      </w:r>
    </w:p>
    <w:p>
      <w:pPr>
        <w:pStyle w:val="Heading2"/>
        <w:spacing w:after="120" w:before="260"/>
      </w:pPr>
      <w:r>
        <w:t xml:space="preserve">6.1 Iteration 1 — Plain top-k similarity search</w:t>
      </w:r>
    </w:p>
    <w:p>
      <w:pPr>
        <w:spacing w:after="160"/>
      </w:pPr>
      <w:r>
        <w:t xml:space="preserve">Method: cosine similarity between the query embedding and all chunk embeddings; return the top k.</w:t>
      </w:r>
    </w:p>
    <w:p>
      <w:pPr>
        <w:spacing w:after="160"/>
      </w:pPr>
      <w:r>
        <w:t xml:space="preserve">Failure mode: could return several near-duplicate chunks from a single document, crowding out a genuinely different but related policy (e.g. a closely related "Remote Working" policy never surfacing when "Work From Home" chunks dominated the top-k).</w:t>
      </w:r>
    </w:p>
    <w:p>
      <w:pPr>
        <w:pStyle w:val="Heading2"/>
        <w:spacing w:after="120" w:before="260"/>
      </w:pPr>
      <w:r>
        <w:t xml:space="preserve">6.2 Iteration 2 — Maximal Marginal Relevance (MMR)</w:t>
      </w:r>
    </w:p>
    <w:p>
      <w:pPr>
        <w:spacing w:after="160"/>
      </w:pPr>
      <w:r>
        <w:t xml:space="preserve">Method: after selecting the top match, subsequent picks are scored on a blend of relevance and dissimilarity to already-selected chunks, to encourage diverse results.</w:t>
      </w:r>
    </w:p>
    <w:p>
      <w:pPr>
        <w:spacing w:after="160"/>
      </w:pPr>
      <w:r>
        <w:t xml:space="preserve">Failure mode: MMR's diversity penalty operates on embedding similarity, not topical relevance. Once a "Work From Home" chunk was selected, MMR actively penalized the closely related "Remote Working" policy for being embedding-similar to it — and instead surfaced genuinely unrelated chunks (sick leave, office hours, compensatory time off) simply because they were more "different." This was a worse outcome than Iteration 1 for cross-document coverage.</w:t>
      </w:r>
    </w:p>
    <w:p>
      <w:pPr>
        <w:pStyle w:val="Heading2"/>
        <w:spacing w:after="120" w:before="260"/>
      </w:pPr>
      <w:r>
        <w:t xml:space="preserve">6.3 Iteration 3 — Relevance-ranked retrieval with a per-source cap (adopted)</w:t>
      </w:r>
    </w:p>
    <w:p>
      <w:pPr>
        <w:spacing w:after="160"/>
      </w:pPr>
      <w:r>
        <w:t xml:space="preserve">Method: rank all candidates purely by relevance (no diversity penalty), then walk down that ranked list, only skipping a chunk if its source document has already contributed the maximum allowed number of chunks to the result set.</w:t>
      </w:r>
    </w:p>
    <w:p>
      <w:pPr>
        <w:spacing w:after="160"/>
      </w:pPr>
      <w:r>
        <w:t xml:space="preserve">This preserves true relevance order — a related-but-different document is never penalized for being related — while still preventing any single document from filling every retrieval slot.</w:t>
      </w:r>
    </w:p>
    <w:p>
      <w:pPr>
        <w:pStyle w:val="Heading2"/>
        <w:spacing w:after="120" w:before="260"/>
      </w:pPr>
      <w:r>
        <w:t xml:space="preserve">6.4 Query robustness: rewriting and multi-query fusion</w:t>
      </w:r>
    </w:p>
    <w:p>
      <w:pPr>
        <w:spacing w:after="160"/>
      </w:pPr>
      <w:r>
        <w:t xml:space="preserve">A further issue was observed: semantically identical questions phrased differently (e.g. "I've been busy and want to work from home for a few days" versus "I want to work from home for a few days") produced inconsistent retrieval results, because casual/personal framing shifts the query embedding away from the core policy topic.</w:t>
      </w:r>
    </w:p>
    <w:p>
      <w:pPr>
        <w:spacing w:after="160"/>
      </w:pPr>
      <w:r>
        <w:t xml:space="preserve">Two techniques were combined to address this:</w:t>
      </w:r>
    </w:p>
    <w:p>
      <w:pPr>
        <w:pStyle w:val="ListParagraph"/>
        <w:numPr>
          <w:ilvl w:val="0"/>
          <w:numId w:val="2"/>
        </w:numPr>
        <w:spacing w:after="60"/>
      </w:pPr>
      <w:r>
        <w:t xml:space="preserve">Query rewriting: an LLM call rewrites the question into neutral policy terminology before embedding, stripping personal/casual framing.</w:t>
      </w:r>
    </w:p>
    <w:p>
      <w:pPr>
        <w:pStyle w:val="ListParagraph"/>
        <w:numPr>
          <w:ilvl w:val="0"/>
          <w:numId w:val="2"/>
        </w:numPr>
        <w:spacing w:after="60"/>
      </w:pPr>
      <w:r>
        <w:t xml:space="preserve">Multi-query retrieval: 2 additional phrasings using related vocabulary (e.g. "remote work", "hybrid work" as near-synonyms of "work from home") are generated and searched in parallel.</w:t>
      </w:r>
    </w:p>
    <w:p>
      <w:pPr>
        <w:pStyle w:val="ListParagraph"/>
        <w:numPr>
          <w:ilvl w:val="0"/>
          <w:numId w:val="2"/>
        </w:numPr>
        <w:spacing w:after="60"/>
      </w:pPr>
      <w:r>
        <w:t xml:space="preserve">Reciprocal Rank Fusion (RRF): results from all query variants are merged by rank position (not raw similarity score, which is not directly comparable across different query embeddings), so a chunk ranking well across multiple phrasings outranks one that only matched a single exact wording.</w:t>
      </w:r>
    </w:p>
    <w:p>
      <w:pPr>
        <w:spacing w:after="160"/>
      </w:pPr>
      <w:r>
        <w:t xml:space="preserve">The per-source cap from Iteration 3 is still applied on top of the fused ranking.</w:t>
      </w:r>
    </w:p>
    <w:p>
      <w:pPr>
        <w:pStyle w:val="Heading1"/>
        <w:spacing w:after="160" w:before="360"/>
      </w:pPr>
      <w:r>
        <w:t xml:space="preserve">7. Answer Generation</w:t>
      </w:r>
    </w:p>
    <w:p>
      <w:pPr>
        <w:spacing w:after="160"/>
      </w:pPr>
      <w:r>
        <w:t xml:space="preserve">Method: LangChain (ChatGoogleGenerativeAI) with Pydantic-schema-constrained structured output.</w:t>
      </w:r>
    </w:p>
    <w:p>
      <w:pPr>
        <w:spacing w:after="160"/>
      </w:pPr>
      <w:r>
        <w:t xml:space="preserve">Rather than free-form text, the model is constrained to return a validated object matching a defined schema: a main heading, a short summary, and a list of scenarios — each with eligibility rules, action steps, optional exceptions, and citations. This structure directly supports policies with multiple applicable cases (e.g. different leave types, different tenure brackets) by forcing the model to separate them rather than blending them into one undifferentiated answer.</w:t>
      </w:r>
    </w:p>
    <w:p>
      <w:pPr>
        <w:pStyle w:val="Heading2"/>
        <w:spacing w:after="120" w:before="260"/>
      </w:pPr>
      <w:r>
        <w:t xml:space="preserve">7.1 Grounding and scope constraints</w:t>
      </w:r>
    </w:p>
    <w:p>
      <w:pPr>
        <w:pStyle w:val="ListParagraph"/>
        <w:numPr>
          <w:ilvl w:val="0"/>
          <w:numId w:val="2"/>
        </w:numPr>
        <w:spacing w:after="60"/>
      </w:pPr>
      <w:r>
        <w:t xml:space="preserve">The system prompt instructs the model to answer only from retrieved context and never invent policy details.</w:t>
      </w:r>
    </w:p>
    <w:p>
      <w:pPr>
        <w:pStyle w:val="ListParagraph"/>
        <w:numPr>
          <w:ilvl w:val="0"/>
          <w:numId w:val="2"/>
        </w:numPr>
        <w:spacing w:after="60"/>
      </w:pPr>
      <w:r>
        <w:t xml:space="preserve">If retrieved context does not address the question, the model returns an empty scenario list and an explanatory summary, rather than forcing a guess.</w:t>
      </w:r>
    </w:p>
    <w:p>
      <w:pPr>
        <w:pStyle w:val="ListParagraph"/>
        <w:numPr>
          <w:ilvl w:val="0"/>
          <w:numId w:val="2"/>
        </w:numPr>
        <w:spacing w:after="60"/>
      </w:pPr>
      <w:r>
        <w:t xml:space="preserve">A three-way classification (greeting / off-topic / genuine policy question) is applied before generation, so casual messages ("hi", "thanks", "bye") do not trigger a forced policy-style answer.</w:t>
      </w:r>
    </w:p>
    <w:p>
      <w:pPr>
        <w:pStyle w:val="ListParagraph"/>
        <w:numPr>
          <w:ilvl w:val="0"/>
          <w:numId w:val="2"/>
        </w:numPr>
        <w:spacing w:after="60"/>
      </w:pPr>
      <w:r>
        <w:t xml:space="preserve">Common greetings are additionally short-circuited locally (without an API call) via pattern matching, for latency and cost efficiency.</w:t>
      </w:r>
    </w:p>
    <w:p>
      <w:pPr>
        <w:pStyle w:val="Heading1"/>
        <w:spacing w:after="160" w:before="360"/>
      </w:pPr>
      <w:r>
        <w:t xml:space="preserve">8. Framework Choices: LangChain vs. Custom Code</w:t>
      </w:r>
    </w:p>
    <w:p>
      <w:pPr>
        <w:spacing w:after="160"/>
      </w:pPr>
      <w:r>
        <w:t xml:space="preserve">The system is deliberately a hybrid, not a pure-framework or pure-custom build. The general principle applied: use LangChain where its abstraction genuinely reduces code and risk for standard operations; write custom logic where the project's specific requirements need behavior the framework does not provide out of the 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D9D9D9" w:val="clear"/>
          </w:tcPr>
          <w:p>
            <w:r>
              <w:rPr>
                <w:b/>
                <w:bCs/>
              </w:rPr>
              <w:t xml:space="preserve">Stage</w:t>
            </w:r>
          </w:p>
        </w:tc>
        <w:tc>
          <w:tcPr>
            <w:tcW w:type="dxa" w:w="3200"/>
            <w:shd w:fill="D9D9D9" w:val="clear"/>
          </w:tcPr>
          <w:p>
            <w:r>
              <w:rPr>
                <w:b/>
                <w:bCs/>
              </w:rPr>
              <w:t xml:space="preserve">Implementation</w:t>
            </w:r>
          </w:p>
        </w:tc>
        <w:tc>
          <w:tcPr>
            <w:tcW w:type="dxa" w:w="3600"/>
            <w:shd w:fill="D9D9D9" w:val="clear"/>
          </w:tcPr>
          <w:p>
            <w:r>
              <w:rPr>
                <w:b/>
                <w:bCs/>
              </w:rPr>
              <w:t xml:space="preserve">Reason</w:t>
            </w:r>
          </w:p>
        </w:tc>
      </w:tr>
      <w:tr>
        <w:tc>
          <w:tcPr>
            <w:tcW w:type="dxa" w:w="2200"/>
          </w:tcPr>
          <w:p>
            <w:r>
              <w:t xml:space="preserve">Document extraction</w:t>
            </w:r>
          </w:p>
        </w:tc>
        <w:tc>
          <w:tcPr>
            <w:tcW w:type="dxa" w:w="3200"/>
          </w:tcPr>
          <w:p>
            <w:r>
              <w:t xml:space="preserve">Custom (python-docx)</w:t>
            </w:r>
          </w:p>
        </w:tc>
        <w:tc>
          <w:tcPr>
            <w:tcW w:type="dxa" w:w="3600"/>
          </w:tcPr>
          <w:p>
            <w:r>
              <w:t xml:space="preserve">Needed heading/table structure preserved; generic loaders flatten to plain text</w:t>
            </w:r>
          </w:p>
        </w:tc>
      </w:tr>
      <w:tr>
        <w:tc>
          <w:tcPr>
            <w:tcW w:type="dxa" w:w="2200"/>
          </w:tcPr>
          <w:p>
            <w:r>
              <w:t xml:space="preserve">Chunking</w:t>
            </w:r>
          </w:p>
        </w:tc>
        <w:tc>
          <w:tcPr>
            <w:tcW w:type="dxa" w:w="3200"/>
          </w:tcPr>
          <w:p>
            <w:r>
              <w:t xml:space="preserve">Custom</w:t>
            </w:r>
          </w:p>
        </w:tc>
        <w:tc>
          <w:tcPr>
            <w:tcW w:type="dxa" w:w="3600"/>
          </w:tcPr>
          <w:p>
            <w:r>
              <w:t xml:space="preserve">Needed section-boundary and table-aware splitting; no built-in splitter does this</w:t>
            </w:r>
          </w:p>
        </w:tc>
      </w:tr>
      <w:tr>
        <w:tc>
          <w:tcPr>
            <w:tcW w:type="dxa" w:w="2200"/>
          </w:tcPr>
          <w:p>
            <w:r>
              <w:t xml:space="preserve">Embeddings</w:t>
            </w:r>
          </w:p>
        </w:tc>
        <w:tc>
          <w:tcPr>
            <w:tcW w:type="dxa" w:w="3200"/>
          </w:tcPr>
          <w:p>
            <w:r>
              <w:t xml:space="preserve">LangChain (GoogleGenerativeAIEmbeddings)</w:t>
            </w:r>
          </w:p>
        </w:tc>
        <w:tc>
          <w:tcPr>
            <w:tcW w:type="dxa" w:w="3600"/>
          </w:tcPr>
          <w:p>
            <w:r>
              <w:t xml:space="preserve">Standard operation; framework abstraction is a net simplification</w:t>
            </w:r>
          </w:p>
        </w:tc>
      </w:tr>
      <w:tr>
        <w:tc>
          <w:tcPr>
            <w:tcW w:type="dxa" w:w="2200"/>
          </w:tcPr>
          <w:p>
            <w:r>
              <w:t xml:space="preserve">Vector store</w:t>
            </w:r>
          </w:p>
        </w:tc>
        <w:tc>
          <w:tcPr>
            <w:tcW w:type="dxa" w:w="3200"/>
          </w:tcPr>
          <w:p>
            <w:r>
              <w:t xml:space="preserve">LangChain (InMemoryVectorStore)</w:t>
            </w:r>
          </w:p>
        </w:tc>
        <w:tc>
          <w:tcPr>
            <w:tcW w:type="dxa" w:w="3600"/>
          </w:tcPr>
          <w:p>
            <w:r>
              <w:t xml:space="preserve">Standard operation; chosen specifically for its lack of native dependencies</w:t>
            </w:r>
          </w:p>
        </w:tc>
      </w:tr>
      <w:tr>
        <w:tc>
          <w:tcPr>
            <w:tcW w:type="dxa" w:w="2200"/>
          </w:tcPr>
          <w:p>
            <w:r>
              <w:t xml:space="preserve">Retrieval</w:t>
            </w:r>
          </w:p>
        </w:tc>
        <w:tc>
          <w:tcPr>
            <w:tcW w:type="dxa" w:w="3200"/>
          </w:tcPr>
          <w:p>
            <w:r>
              <w:t xml:space="preserve">Custom</w:t>
            </w:r>
          </w:p>
        </w:tc>
        <w:tc>
          <w:tcPr>
            <w:tcW w:type="dxa" w:w="3600"/>
          </w:tcPr>
          <w:p>
            <w:r>
              <w:t xml:space="preserve">LangChain's built-in similarity and MMR retrievers both produced documented quality failures (Section 6)</w:t>
            </w:r>
          </w:p>
        </w:tc>
      </w:tr>
      <w:tr>
        <w:tc>
          <w:tcPr>
            <w:tcW w:type="dxa" w:w="2200"/>
          </w:tcPr>
          <w:p>
            <w:r>
              <w:t xml:space="preserve">Structured generation</w:t>
            </w:r>
          </w:p>
        </w:tc>
        <w:tc>
          <w:tcPr>
            <w:tcW w:type="dxa" w:w="3200"/>
          </w:tcPr>
          <w:p>
            <w:r>
              <w:t xml:space="preserve">LangChain (with_structured_output)</w:t>
            </w:r>
          </w:p>
        </w:tc>
        <w:tc>
          <w:tcPr>
            <w:tcW w:type="dxa" w:w="3600"/>
          </w:tcPr>
          <w:p>
            <w:r>
              <w:t xml:space="preserve">Schema validation and JSON parsing is exactly what the framework is designed for</w:t>
            </w:r>
          </w:p>
        </w:tc>
      </w:tr>
    </w:tbl>
    <w:p>
      <w:pPr>
        <w:spacing w:after="160"/>
      </w:pPr>
    </w:p>
    <w:p>
      <w:pPr>
        <w:pStyle w:val="Heading1"/>
        <w:spacing w:after="160" w:before="360"/>
      </w:pPr>
      <w:r>
        <w:t xml:space="preserve">9. Technical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D9D9" w:val="clear"/>
          </w:tcPr>
          <w:p>
            <w:r>
              <w:rPr>
                <w:b/>
                <w:bCs/>
              </w:rPr>
              <w:t xml:space="preserve">Layer</w:t>
            </w:r>
          </w:p>
        </w:tc>
        <w:tc>
          <w:tcPr>
            <w:tcW w:type="dxa" w:w="6000"/>
            <w:shd w:fill="D9D9D9" w:val="clear"/>
          </w:tcPr>
          <w:p>
            <w:r>
              <w:rPr>
                <w:b/>
                <w:bCs/>
              </w:rPr>
              <w:t xml:space="preserve">Technology</w:t>
            </w:r>
          </w:p>
        </w:tc>
      </w:tr>
      <w:tr>
        <w:tc>
          <w:tcPr>
            <w:tcW w:type="dxa" w:w="3000"/>
          </w:tcPr>
          <w:p>
            <w:r>
              <w:t xml:space="preserve">Language</w:t>
            </w:r>
          </w:p>
        </w:tc>
        <w:tc>
          <w:tcPr>
            <w:tcW w:type="dxa" w:w="6000"/>
          </w:tcPr>
          <w:p>
            <w:r>
              <w:t xml:space="preserve">Python</w:t>
            </w:r>
          </w:p>
        </w:tc>
      </w:tr>
      <w:tr>
        <w:tc>
          <w:tcPr>
            <w:tcW w:type="dxa" w:w="3000"/>
          </w:tcPr>
          <w:p>
            <w:r>
              <w:t xml:space="preserve">LLM &amp; embeddings</w:t>
            </w:r>
          </w:p>
        </w:tc>
        <w:tc>
          <w:tcPr>
            <w:tcW w:type="dxa" w:w="6000"/>
          </w:tcPr>
          <w:p>
            <w:r>
              <w:t xml:space="preserve">Google Gemini API (gemini-3.1-flash-lite, gemini-embedding-001)</w:t>
            </w:r>
          </w:p>
        </w:tc>
      </w:tr>
      <w:tr>
        <w:tc>
          <w:tcPr>
            <w:tcW w:type="dxa" w:w="3000"/>
          </w:tcPr>
          <w:p>
            <w:r>
              <w:t xml:space="preserve">Orchestration</w:t>
            </w:r>
          </w:p>
        </w:tc>
        <w:tc>
          <w:tcPr>
            <w:tcW w:type="dxa" w:w="6000"/>
          </w:tcPr>
          <w:p>
            <w:r>
              <w:t xml:space="preserve">LangChain (langchain-core, langchain-google-genai)</w:t>
            </w:r>
          </w:p>
        </w:tc>
      </w:tr>
      <w:tr>
        <w:tc>
          <w:tcPr>
            <w:tcW w:type="dxa" w:w="3000"/>
          </w:tcPr>
          <w:p>
            <w:r>
              <w:t xml:space="preserve">Vector store</w:t>
            </w:r>
          </w:p>
        </w:tc>
        <w:tc>
          <w:tcPr>
            <w:tcW w:type="dxa" w:w="6000"/>
          </w:tcPr>
          <w:p>
            <w:r>
              <w:t xml:space="preserve">LangChain InMemoryVectorStore (pure Python, JSON-persisted)</w:t>
            </w:r>
          </w:p>
        </w:tc>
      </w:tr>
      <w:tr>
        <w:tc>
          <w:tcPr>
            <w:tcW w:type="dxa" w:w="3000"/>
          </w:tcPr>
          <w:p>
            <w:r>
              <w:t xml:space="preserve">Document extraction</w:t>
            </w:r>
          </w:p>
        </w:tc>
        <w:tc>
          <w:tcPr>
            <w:tcW w:type="dxa" w:w="6000"/>
          </w:tcPr>
          <w:p>
            <w:r>
              <w:t xml:space="preserve">python-docx</w:t>
            </w:r>
          </w:p>
        </w:tc>
      </w:tr>
      <w:tr>
        <w:tc>
          <w:tcPr>
            <w:tcW w:type="dxa" w:w="3000"/>
          </w:tcPr>
          <w:p>
            <w:r>
              <w:t xml:space="preserve">Structured output</w:t>
            </w:r>
          </w:p>
        </w:tc>
        <w:tc>
          <w:tcPr>
            <w:tcW w:type="dxa" w:w="6000"/>
          </w:tcPr>
          <w:p>
            <w:r>
              <w:t xml:space="preserve">Pydantic</w:t>
            </w:r>
          </w:p>
        </w:tc>
      </w:tr>
      <w:tr>
        <w:tc>
          <w:tcPr>
            <w:tcW w:type="dxa" w:w="3000"/>
          </w:tcPr>
          <w:p>
            <w:r>
              <w:t xml:space="preserve">User interface</w:t>
            </w:r>
          </w:p>
        </w:tc>
        <w:tc>
          <w:tcPr>
            <w:tcW w:type="dxa" w:w="6000"/>
          </w:tcPr>
          <w:p>
            <w:r>
              <w:t xml:space="preserve">Streamlit</w:t>
            </w:r>
          </w:p>
        </w:tc>
      </w:tr>
      <w:tr>
        <w:tc>
          <w:tcPr>
            <w:tcW w:type="dxa" w:w="3000"/>
          </w:tcPr>
          <w:p>
            <w:r>
              <w:t xml:space="preserve">Evaluation (in progress)</w:t>
            </w:r>
          </w:p>
        </w:tc>
        <w:tc>
          <w:tcPr>
            <w:tcW w:type="dxa" w:w="6000"/>
          </w:tcPr>
          <w:p>
            <w:r>
              <w:t xml:space="preserve">RAGAS (synthetic testset generation via knowledge graph)</w:t>
            </w:r>
          </w:p>
        </w:tc>
      </w:tr>
    </w:tbl>
    <w:p>
      <w:pPr>
        <w:spacing w:after="160"/>
      </w:pPr>
    </w:p>
    <w:p>
      <w:pPr>
        <w:pStyle w:val="Heading1"/>
        <w:spacing w:after="160" w:before="360"/>
      </w:pPr>
      <w:r>
        <w:t xml:space="preserve">10. Notable Engineering Challenges</w:t>
      </w:r>
    </w:p>
    <w:p>
      <w:pPr>
        <w:spacing w:after="160"/>
      </w:pPr>
      <w:r>
        <w:t xml:space="preserve">Development occurred on a locked-down corporate Windows machine without administrator rights, which surfaced several environment-level constraints that materially shaped technical decisions:</w:t>
      </w:r>
    </w:p>
    <w:p>
      <w:pPr>
        <w:pStyle w:val="ListParagraph"/>
        <w:numPr>
          <w:ilvl w:val="0"/>
          <w:numId w:val="2"/>
        </w:numPr>
        <w:spacing w:after="60"/>
      </w:pPr>
      <w:r>
        <w:t xml:space="preserve">PyTorch and ONNX Runtime both failed with native DLL initialization errors, traced to a missing Visual C++ Redistributable that could not be installed without admin rights — this ruled out any local (non-API) embedding model.</w:t>
      </w:r>
    </w:p>
    <w:p>
      <w:pPr>
        <w:pStyle w:val="ListParagraph"/>
        <w:numPr>
          <w:ilvl w:val="0"/>
          <w:numId w:val="2"/>
        </w:numPr>
        <w:spacing w:after="60"/>
      </w:pPr>
      <w:r>
        <w:t xml:space="preserve">ChromaDB caused a hard process crash (Windows access violation) for the same underlying reason (native hnswlib dependency) — resolved by switching to a pure-Python vector store.</w:t>
      </w:r>
    </w:p>
    <w:p>
      <w:pPr>
        <w:pStyle w:val="ListParagraph"/>
        <w:numPr>
          <w:ilvl w:val="0"/>
          <w:numId w:val="2"/>
        </w:numPr>
        <w:spacing w:after="60"/>
      </w:pPr>
      <w:r>
        <w:t xml:space="preserve">A corporate SSL-inspecting proxy caused certificate verification failures against the Gemini API — resolved via pip-system-certs, which patches Python to trust the Windows system certificate store.</w:t>
      </w:r>
    </w:p>
    <w:p>
      <w:pPr>
        <w:pStyle w:val="ListParagraph"/>
        <w:numPr>
          <w:ilvl w:val="0"/>
          <w:numId w:val="2"/>
        </w:numPr>
        <w:spacing w:after="60"/>
      </w:pPr>
      <w:r>
        <w:t xml:space="preserve">These constraints directly motivated the preference for pure-Python, dependency-light components throughout the stack over higher-performance native alternatives.</w:t>
      </w:r>
    </w:p>
    <w:p>
      <w:pPr>
        <w:pStyle w:val="Heading1"/>
        <w:spacing w:after="160" w:before="360"/>
      </w:pPr>
      <w:r>
        <w:t xml:space="preserve">11. User Interface</w:t>
      </w:r>
    </w:p>
    <w:p>
      <w:pPr>
        <w:spacing w:after="160"/>
      </w:pPr>
      <w:r>
        <w:t xml:space="preserve">A Streamlit chat interface renders the structured answer schema directly: each scenario as an expandable card with eligibility rules, numbered action steps, and citation tags. A sidebar toggle exposes the raw retrieved source chunks for transparency and debugging without requiring code changes.</w:t>
      </w:r>
    </w:p>
    <w:p>
      <w:pPr>
        <w:spacing w:after="160"/>
      </w:pPr>
      <w:r>
        <w:t xml:space="preserve">The interface has been styled with company branding (color palette, header banner, and placeholder logo slots), distinguishing genuine policy answers (full card treatment) from greetings and out-of-scope responses (muted, plain-text treatment) so the two are visually unambiguous to the end user.</w:t>
      </w:r>
    </w:p>
    <w:p>
      <w:pPr>
        <w:pStyle w:val="Heading1"/>
        <w:spacing w:after="160" w:before="360"/>
      </w:pPr>
      <w:r>
        <w:t xml:space="preserve">12. Evaluation Strategy (In Progress)</w:t>
      </w:r>
    </w:p>
    <w:p>
      <w:pPr>
        <w:spacing w:after="160"/>
      </w:pPr>
      <w:r>
        <w:t xml:space="preserve">To move beyond manual spot-checking, a systematic evaluation approach is being built using RAGAS. The intended process:</w:t>
      </w:r>
    </w:p>
    <w:p>
      <w:pPr>
        <w:pStyle w:val="ListParagraph"/>
        <w:numPr>
          <w:ilvl w:val="0"/>
          <w:numId w:val="3"/>
        </w:numPr>
        <w:spacing w:after="60"/>
      </w:pPr>
      <w:r>
        <w:t xml:space="preserve">Build a knowledge graph from the source policy documents (entities, themes, and relationships between related chunks/documents).</w:t>
      </w:r>
    </w:p>
    <w:p>
      <w:pPr>
        <w:pStyle w:val="ListParagraph"/>
        <w:numPr>
          <w:ilvl w:val="0"/>
          <w:numId w:val="3"/>
        </w:numPr>
        <w:spacing w:after="60"/>
      </w:pPr>
      <w:r>
        <w:t xml:space="preserve">Synthesize a testset of realistic questions with ground-truth answers and reference source context, generated from that knowledge graph.</w:t>
      </w:r>
    </w:p>
    <w:p>
      <w:pPr>
        <w:pStyle w:val="ListParagraph"/>
        <w:numPr>
          <w:ilvl w:val="0"/>
          <w:numId w:val="3"/>
        </w:numPr>
        <w:spacing w:after="60"/>
      </w:pPr>
      <w:r>
        <w:t xml:space="preserve">Run the testset through the live pipeline and score retrieval quality (recall of expected sources, rank position) and generation quality (faithfulness to retrieved context, answer relevance) separately.</w:t>
      </w:r>
    </w:p>
    <w:p>
      <w:pPr>
        <w:spacing w:after="160"/>
      </w:pPr>
      <w:r>
        <w:t xml:space="preserve">This separates retrieval failures from generation failures, which is necessary given that both layers have independently been sources of quality issues during development (Sections 6 and 7).</w:t>
      </w:r>
    </w:p>
    <w:p>
      <w:pPr>
        <w:pStyle w:val="Heading1"/>
        <w:spacing w:after="160" w:before="360"/>
      </w:pPr>
      <w:r>
        <w:t xml:space="preserve">13. Roadmap</w:t>
      </w:r>
    </w:p>
    <w:p>
      <w:pPr>
        <w:pStyle w:val="Heading2"/>
        <w:spacing w:after="120" w:before="260"/>
      </w:pPr>
      <w:r>
        <w:t xml:space="preserve">13.1 Near-term</w:t>
      </w:r>
    </w:p>
    <w:p>
      <w:pPr>
        <w:pStyle w:val="ListParagraph"/>
        <w:numPr>
          <w:ilvl w:val="0"/>
          <w:numId w:val="2"/>
        </w:numPr>
        <w:spacing w:after="60"/>
      </w:pPr>
      <w:r>
        <w:t xml:space="preserve">Complete RAGAS-based evaluation pipeline and establish baseline retrieval/generation quality metrics</w:t>
      </w:r>
    </w:p>
    <w:p>
      <w:pPr>
        <w:pStyle w:val="ListParagraph"/>
        <w:numPr>
          <w:ilvl w:val="0"/>
          <w:numId w:val="2"/>
        </w:numPr>
        <w:spacing w:after="60"/>
      </w:pPr>
      <w:r>
        <w:t xml:space="preserve">Hybrid search: combine the current vector (semantic) search with keyword-based (BM25) search to reliably catch exact-term queries (policy codes, acronyms) that pure semantic search can under-rank</w:t>
      </w:r>
    </w:p>
    <w:p>
      <w:pPr>
        <w:pStyle w:val="ListParagraph"/>
        <w:numPr>
          <w:ilvl w:val="0"/>
          <w:numId w:val="2"/>
        </w:numPr>
        <w:spacing w:after="60"/>
      </w:pPr>
      <w:r>
        <w:t xml:space="preserve">Reranking: apply a cross-encoder reranker to the retrieved candidate pool for a stronger relevance signal than embedding similarity alone</w:t>
      </w:r>
    </w:p>
    <w:p>
      <w:pPr>
        <w:pStyle w:val="Heading2"/>
        <w:spacing w:after="120" w:before="260"/>
      </w:pPr>
      <w:r>
        <w:t xml:space="preserve">13.2 Longer-term</w:t>
      </w:r>
    </w:p>
    <w:p>
      <w:pPr>
        <w:pStyle w:val="ListParagraph"/>
        <w:numPr>
          <w:ilvl w:val="0"/>
          <w:numId w:val="2"/>
        </w:numPr>
        <w:spacing w:after="60"/>
      </w:pPr>
      <w:r>
        <w:t xml:space="preserve">Automated email response agent: extend the same retrieval and generation pipeline to process incoming policy-question emails (via the Gmail API), using LangGraph to model confidence-based routing (auto-reply for high-confidence answers, draft-for-review otherwise, mandatory human escalation for sensitive categories)</w:t>
      </w:r>
    </w:p>
    <w:p>
      <w:pPr>
        <w:pStyle w:val="ListParagraph"/>
        <w:numPr>
          <w:ilvl w:val="0"/>
          <w:numId w:val="2"/>
        </w:numPr>
        <w:spacing w:after="60"/>
      </w:pPr>
      <w:r>
        <w:t xml:space="preserve">Access-controlled retrieval: tag chunks by department/access scope at ingestion time, to support department-specific policies</w:t>
      </w:r>
    </w:p>
    <w:p>
      <w:pPr>
        <w:pStyle w:val="ListParagraph"/>
        <w:numPr>
          <w:ilvl w:val="0"/>
          <w:numId w:val="2"/>
        </w:numPr>
        <w:spacing w:after="60"/>
      </w:pPr>
      <w:r>
        <w:t xml:space="preserve">Document versioning: hash-based change detection at the document level, with effective-date metadata, to handle policy updates without stale answers</w:t>
      </w:r>
    </w:p>
    <w:p>
      <w:pPr>
        <w:pStyle w:val="Heading1"/>
        <w:spacing w:after="160" w:before="360"/>
      </w:pPr>
      <w:r>
        <w:t xml:space="preserve">14. Conclusion</w:t>
      </w:r>
    </w:p>
    <w:p>
      <w:pPr>
        <w:spacing w:after="160"/>
      </w:pPr>
      <w:r>
        <w:t xml:space="preserve">The system demonstrates a complete, working RAG pipeline grounded in real document structure rather than naive text flattening, with a retrieval strategy that was iteratively hardened against specific, observed failure modes rather than adopted from a framework default. The hybrid framework approach — LangChain for standardized operations, custom logic where the project's requirements diverge from generic assumptions — reflects a deliberate engineering trade-off rather than an arbitrary implementation choice, and the roadmap items (evaluation, hybrid search, email automation) represent a clear path from working prototype to production-ready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2026-08-10T10:51:05.775Z</dcterms:created>
  <dcterms:modified xsi:type="dcterms:W3CDTF">2026-08-10T10:51:05.789Z</dcterms:modified>
</cp:coreProperties>
</file>

<file path=docProps/custom.xml><?xml version="1.0" encoding="utf-8"?>
<Properties xmlns="http://schemas.openxmlformats.org/officeDocument/2006/custom-properties" xmlns:vt="http://schemas.openxmlformats.org/officeDocument/2006/docPropsVTypes"/>
</file>