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A18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</w:t>
      </w:r>
      <w:r w:rsidR="0017772A">
        <w:rPr>
          <w:b/>
          <w:color w:val="000000"/>
          <w:sz w:val="28"/>
          <w:szCs w:val="28"/>
        </w:rPr>
        <w:t xml:space="preserve">абораторная работа № 4 </w:t>
      </w:r>
    </w:p>
    <w:p w14:paraId="4173E52C" w14:textId="629A35F4" w:rsidR="00C64A36" w:rsidRPr="00766772" w:rsidRDefault="0076677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766772">
        <w:rPr>
          <w:b/>
          <w:bCs/>
          <w:sz w:val="28"/>
          <w:szCs w:val="28"/>
        </w:rPr>
        <w:t xml:space="preserve">«Нахождение постоянной Планка на основе изучения спектра поглощения раствора </w:t>
      </w:r>
      <w:proofErr w:type="spellStart"/>
      <w:r w:rsidRPr="00766772">
        <w:rPr>
          <w:b/>
          <w:bCs/>
          <w:sz w:val="28"/>
          <w:szCs w:val="28"/>
        </w:rPr>
        <w:t>двухромовокислого</w:t>
      </w:r>
      <w:proofErr w:type="spellEnd"/>
      <w:r w:rsidRPr="00766772">
        <w:rPr>
          <w:b/>
          <w:bCs/>
          <w:sz w:val="28"/>
          <w:szCs w:val="28"/>
        </w:rPr>
        <w:t xml:space="preserve"> калия»</w:t>
      </w:r>
    </w:p>
    <w:p w14:paraId="162BA3E0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0" w:firstLine="704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по спектру поглощения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рассчитать значение постоянной Планка.</w:t>
      </w:r>
    </w:p>
    <w:p w14:paraId="233A8884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0" w:firstLine="704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Приборы и принадлежности:</w:t>
      </w:r>
      <w:r>
        <w:rPr>
          <w:color w:val="000000"/>
          <w:sz w:val="28"/>
          <w:szCs w:val="28"/>
        </w:rPr>
        <w:t xml:space="preserve"> спектроскоп, ртутная лампа, лампа накаливания,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К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Сr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, блок питания.</w:t>
      </w:r>
    </w:p>
    <w:p w14:paraId="1793F604" w14:textId="77777777" w:rsidR="00C64A36" w:rsidRPr="0017772A" w:rsidRDefault="0017772A" w:rsidP="0017772A">
      <w:pPr>
        <w:ind w:firstLine="567"/>
        <w:jc w:val="both"/>
        <w:rPr>
          <w:sz w:val="28"/>
          <w:szCs w:val="28"/>
        </w:rPr>
      </w:pPr>
      <w:r w:rsidRPr="00334220">
        <w:rPr>
          <w:b/>
          <w:sz w:val="28"/>
          <w:szCs w:val="28"/>
        </w:rPr>
        <w:t>Виртуальная лаборатория</w:t>
      </w:r>
      <w:r>
        <w:rPr>
          <w:sz w:val="28"/>
          <w:szCs w:val="28"/>
        </w:rPr>
        <w:t xml:space="preserve"> - </w:t>
      </w:r>
      <w:hyperlink r:id="rId5" w:history="1">
        <w:r w:rsidR="00FD799D" w:rsidRPr="00190708">
          <w:rPr>
            <w:rStyle w:val="a8"/>
            <w:sz w:val="28"/>
            <w:szCs w:val="28"/>
          </w:rPr>
          <w:t>https://teilot.github.io/fizika_project/</w:t>
        </w:r>
      </w:hyperlink>
      <w:r w:rsidR="00FD799D">
        <w:rPr>
          <w:sz w:val="28"/>
          <w:szCs w:val="28"/>
        </w:rPr>
        <w:t xml:space="preserve"> </w:t>
      </w:r>
    </w:p>
    <w:p w14:paraId="2251A490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8AEB2ED" wp14:editId="111314E7">
            <wp:extent cx="6116955" cy="34423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2E920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23564F0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Методика измерений</w:t>
      </w:r>
    </w:p>
    <w:p w14:paraId="4122E104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0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пропускании света через большинство жидкостей в спектрах имеются полосы поглощения.</w:t>
      </w:r>
    </w:p>
    <w:p w14:paraId="721F1AA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5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К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освещать светом, то при поглощении света раствором происходит распад иона 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. Распад происходит, если иону 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сообщается энергия не менее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24159D7D" wp14:editId="6C478765">
            <wp:extent cx="800100" cy="266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Дж. Следовательно, поглощаются фотоны, энергия которых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0F22165F" wp14:editId="29C0E48C">
            <wp:extent cx="482600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больше или равна приведенного граничного значения</w:t>
      </w:r>
    </w:p>
    <w:p w14:paraId="2E4DC44B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80CA4E0" wp14:editId="481E134B">
            <wp:extent cx="1155700" cy="266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ж</w:t>
      </w:r>
      <w:r>
        <w:rPr>
          <w:smallCaps/>
          <w:color w:val="000000"/>
          <w:sz w:val="28"/>
          <w:szCs w:val="28"/>
        </w:rPr>
        <w:t>.</w:t>
      </w:r>
      <w:r>
        <w:rPr>
          <w:smallCaps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(1)</w:t>
      </w:r>
    </w:p>
    <w:p w14:paraId="78704C6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связь частоты фотона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44D70FFE" wp14:editId="098D64C2">
            <wp:extent cx="139700" cy="152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 длиной волны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105F2605" wp14:editId="2D42427E">
            <wp:extent cx="139700" cy="190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11A57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1FDA9D9" wp14:editId="5B69CE03">
            <wp:extent cx="444500" cy="457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01CC312F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05111D50" wp14:editId="7C9E3FD4">
            <wp:extent cx="698500" cy="2413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м/с - скорость света в вакууме, получаем</w:t>
      </w:r>
    </w:p>
    <w:p w14:paraId="118786AF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5E03A9F1" wp14:editId="4D9B5B31">
            <wp:extent cx="1168400" cy="457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Дж.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17469A4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" w:firstLine="3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Граничное (максимальное) значение длины волны поглощенного света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5C063C11" wp14:editId="763B4D23">
            <wp:extent cx="266700" cy="266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lastRenderedPageBreak/>
        <w:t>может быть найдено по спектру поглощения раствора К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. По этому значению из формулы (3) может быть экспериментально определена постоянная Планка </w:t>
      </w:r>
    </w:p>
    <w:p w14:paraId="0A9A6BB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5C0B264F" wp14:editId="32C98270">
            <wp:extent cx="1422400" cy="495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[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779DBF14" wp14:editId="79B84B89">
            <wp:extent cx="520700" cy="215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61223878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78DD454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Экспериментальная установка</w:t>
      </w:r>
    </w:p>
    <w:p w14:paraId="5BB6E3D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38"/>
          <w:tab w:val="left" w:pos="4066"/>
          <w:tab w:val="left" w:pos="5962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экспериментального определения постоянной Планка предназначена экспериментальная установка, общий вид которой приведен на рис.1.</w:t>
      </w:r>
    </w:p>
    <w:p w14:paraId="1250B54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38"/>
          <w:tab w:val="left" w:pos="4066"/>
          <w:tab w:val="left" w:pos="5962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установку входят две лампы: ртутно-кварцевая 1 и обычная лампа накаливания 2, которые зажигаются переключателем 8. Лампы могут поочередно устанавливаться перед коллиматорной трубой 4 спектроскопа 6 с помощью поворотного кронштейна.</w:t>
      </w:r>
    </w:p>
    <w:p w14:paraId="3D467740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38"/>
          <w:tab w:val="left" w:pos="4066"/>
          <w:tab w:val="left" w:pos="5962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Ртутная лампа 1 предназначена для градуировки шкалы спектроскопа. С помощью лампы накаливания 2 изучают спектр поглощения раствора </w:t>
      </w:r>
      <w:proofErr w:type="spellStart"/>
      <w:r>
        <w:rPr>
          <w:color w:val="000000"/>
          <w:sz w:val="28"/>
          <w:szCs w:val="28"/>
        </w:rPr>
        <w:t>двухромокислого</w:t>
      </w:r>
      <w:proofErr w:type="spellEnd"/>
      <w:r>
        <w:rPr>
          <w:color w:val="000000"/>
          <w:sz w:val="28"/>
          <w:szCs w:val="28"/>
        </w:rPr>
        <w:t xml:space="preserve"> калия 9.</w:t>
      </w:r>
    </w:p>
    <w:p w14:paraId="535996A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2E36CEEA" wp14:editId="07ACC280">
            <wp:extent cx="3811905" cy="243332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5A504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</w:t>
      </w:r>
    </w:p>
    <w:p w14:paraId="20C85934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 w:firstLine="315"/>
        <w:rPr>
          <w:color w:val="000000"/>
          <w:sz w:val="28"/>
          <w:szCs w:val="28"/>
        </w:rPr>
      </w:pPr>
    </w:p>
    <w:p w14:paraId="4112F60F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 w:firstLine="3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Оптическая схема спектроскопа показана на рис.2.</w:t>
      </w:r>
    </w:p>
    <w:p w14:paraId="0F7672F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09AE53AA" wp14:editId="7FCC45D8">
            <wp:extent cx="2919730" cy="261683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61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46B0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 2</w:t>
      </w:r>
    </w:p>
    <w:p w14:paraId="662BDA51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3B63344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50"/>
          <w:tab w:val="left" w:pos="3490"/>
          <w:tab w:val="left" w:pos="4560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Свет от лампы входит в 1спектроскоп через щель 1 коллиматорной трубы, установленной в фокальной плоскости объектива 2. Проходя через объектив 2 свет параллельным пучком падает на призму 3, где происходит явление дисперсии, т.е. свет разлагается в спектр.</w:t>
      </w:r>
    </w:p>
    <w:p w14:paraId="67D9ACB5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Отражаясь от посеребренной грани призмы 3 пучок света проходит снова объектив 2 и поворачивается в окуляр 5 с помощью призмы полного внутреннего отражения 4. Призму 3 можно поворачивать микрометрическим винтом, тем самым направляя в поле зрения окуляра различные участки спектра.</w:t>
      </w:r>
    </w:p>
    <w:p w14:paraId="24C393F1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9" w:firstLine="39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Спектр наблюдают через окуляр 5 спектроскопа (см. рис.1), с помощью микрометрического винта 7 помещая в поле зрения последовательно различные участки спектра.</w:t>
      </w:r>
    </w:p>
    <w:p w14:paraId="7E0F458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4" w:firstLine="38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Градуировку спектроскопа проводят следующим образом. В ртутной лампе под действием электрического разряда происходит свечение разреженных паров ртути. Это свечение имеет линейчатый спектр линий различного цвета, как показано на рис. 3.</w:t>
      </w:r>
    </w:p>
    <w:p w14:paraId="2AEA9EF0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4"/>
        <w:jc w:val="both"/>
        <w:rPr>
          <w:color w:val="000000"/>
          <w:sz w:val="28"/>
          <w:szCs w:val="28"/>
        </w:rPr>
      </w:pPr>
    </w:p>
    <w:p w14:paraId="05E029D8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5AA06C4C" wp14:editId="57679120">
            <wp:extent cx="6115050" cy="7334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1EFFB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9"/>
        <w:jc w:val="center"/>
        <w:rPr>
          <w:color w:val="000000"/>
          <w:sz w:val="28"/>
          <w:szCs w:val="28"/>
        </w:rPr>
      </w:pPr>
    </w:p>
    <w:p w14:paraId="5C501F9D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</w:t>
      </w:r>
    </w:p>
    <w:p w14:paraId="08D9A30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5" w:firstLine="3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Совмещая поочередно с визирной линией в окуляре линии спектра от ртутной лампы, по известным длинам волн можно построить </w:t>
      </w:r>
      <w:proofErr w:type="spellStart"/>
      <w:r>
        <w:rPr>
          <w:color w:val="000000"/>
          <w:sz w:val="28"/>
          <w:szCs w:val="28"/>
        </w:rPr>
        <w:t>градуировочный</w:t>
      </w:r>
      <w:proofErr w:type="spellEnd"/>
      <w:r>
        <w:rPr>
          <w:color w:val="000000"/>
          <w:sz w:val="28"/>
          <w:szCs w:val="28"/>
        </w:rPr>
        <w:t xml:space="preserve"> график зависимости длин волн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3B375995" wp14:editId="5574849E">
            <wp:extent cx="139700" cy="1905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спектра от соответствующих им делений шкалы микрометрического винта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, как это показано на рис. 4. Затем, пропуская свет от лампы накаливания через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калия, фиксируют деление шкалы микрометрического винта, соответствующее границе поглощения, и по графику рис.4 определяют граничную длину волны спектра поглощения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калия.</w:t>
      </w:r>
    </w:p>
    <w:p w14:paraId="2050FB79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5DCC0AF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114300" distR="114300" wp14:anchorId="721072EB" wp14:editId="7C15932F">
            <wp:extent cx="2874645" cy="224028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24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CFCB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 4</w:t>
      </w:r>
    </w:p>
    <w:p w14:paraId="0E08F784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090C4B6A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выполнения работы</w:t>
      </w:r>
    </w:p>
    <w:p w14:paraId="37B5C76C" w14:textId="77777777" w:rsidR="00C64A36" w:rsidRDefault="004B589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Включить установку в сеть (220 В) и зажечь ртутную лампу переключателем 8 (рис.1).</w:t>
      </w:r>
    </w:p>
    <w:p w14:paraId="53B050A0" w14:textId="77777777" w:rsidR="00C64A36" w:rsidRDefault="004B589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Направить свет лампы на щель коллиматорной трубы 4 спектроскопа и установить окуляр 5 так, чтобы четко видеть спектр ртутных паров.</w:t>
      </w:r>
    </w:p>
    <w:p w14:paraId="2E11F486" w14:textId="77777777" w:rsidR="00C64A36" w:rsidRDefault="004B589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Совмещая при помощи микрометрического винта визирную линию окуляра поочередно с различными спектральными линиями, записать в табл.1 цвет спектральных линий и соответствующие им деления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на шкале винта.</w:t>
      </w:r>
    </w:p>
    <w:p w14:paraId="01DE8FD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</w:p>
    <w:tbl>
      <w:tblPr>
        <w:tblStyle w:val="a5"/>
        <w:tblW w:w="84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126"/>
        <w:gridCol w:w="1110"/>
        <w:gridCol w:w="3426"/>
        <w:gridCol w:w="993"/>
      </w:tblGrid>
      <w:tr w:rsidR="00C64A36" w14:paraId="724D8FEC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52404EA5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0815E43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Цвет линии</w:t>
            </w:r>
          </w:p>
        </w:tc>
        <w:tc>
          <w:tcPr>
            <w:tcW w:w="1110" w:type="dxa"/>
            <w:vAlign w:val="center"/>
          </w:tcPr>
          <w:p w14:paraId="4AE1CFE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 xml:space="preserve">λ, </w:t>
            </w:r>
            <w:proofErr w:type="spellStart"/>
            <w:r>
              <w:rPr>
                <w:b/>
                <w:i/>
                <w:color w:val="00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3426" w:type="dxa"/>
            <w:vAlign w:val="center"/>
          </w:tcPr>
          <w:p w14:paraId="53F19F4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Относительная яркость</w:t>
            </w:r>
          </w:p>
        </w:tc>
        <w:tc>
          <w:tcPr>
            <w:tcW w:w="993" w:type="dxa"/>
            <w:vAlign w:val="center"/>
          </w:tcPr>
          <w:p w14:paraId="7778D9E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n, дел</w:t>
            </w:r>
          </w:p>
        </w:tc>
      </w:tr>
      <w:tr w:rsidR="00C64A36" w14:paraId="73A858BB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2497325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57740DB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фиолетовая</w:t>
            </w:r>
          </w:p>
        </w:tc>
        <w:tc>
          <w:tcPr>
            <w:tcW w:w="1110" w:type="dxa"/>
            <w:vAlign w:val="center"/>
          </w:tcPr>
          <w:p w14:paraId="1A3E65C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404,6</w:t>
            </w:r>
          </w:p>
        </w:tc>
        <w:tc>
          <w:tcPr>
            <w:tcW w:w="3426" w:type="dxa"/>
            <w:vAlign w:val="center"/>
          </w:tcPr>
          <w:p w14:paraId="66D3E77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  <w:vAlign w:val="center"/>
          </w:tcPr>
          <w:p w14:paraId="6A630449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2981C457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1C60F39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4E6D08C5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фиолетовая</w:t>
            </w:r>
          </w:p>
        </w:tc>
        <w:tc>
          <w:tcPr>
            <w:tcW w:w="1110" w:type="dxa"/>
            <w:vAlign w:val="center"/>
          </w:tcPr>
          <w:p w14:paraId="47F65A8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407,7</w:t>
            </w:r>
          </w:p>
        </w:tc>
        <w:tc>
          <w:tcPr>
            <w:tcW w:w="3426" w:type="dxa"/>
            <w:vAlign w:val="center"/>
          </w:tcPr>
          <w:p w14:paraId="50FB3179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  <w:vAlign w:val="center"/>
          </w:tcPr>
          <w:p w14:paraId="4FA5DFA6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0E79EFE5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7255F9B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6759156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синяя</w:t>
            </w:r>
          </w:p>
        </w:tc>
        <w:tc>
          <w:tcPr>
            <w:tcW w:w="1110" w:type="dxa"/>
            <w:vAlign w:val="center"/>
          </w:tcPr>
          <w:p w14:paraId="5F97E8D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435,8</w:t>
            </w:r>
          </w:p>
        </w:tc>
        <w:tc>
          <w:tcPr>
            <w:tcW w:w="3426" w:type="dxa"/>
            <w:vAlign w:val="center"/>
          </w:tcPr>
          <w:p w14:paraId="61CD403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  <w:vAlign w:val="center"/>
          </w:tcPr>
          <w:p w14:paraId="1A24BD2C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61B7FE58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76F4CC6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2853603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синяя</w:t>
            </w:r>
          </w:p>
        </w:tc>
        <w:tc>
          <w:tcPr>
            <w:tcW w:w="1110" w:type="dxa"/>
            <w:vAlign w:val="center"/>
          </w:tcPr>
          <w:p w14:paraId="219E158A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439,8</w:t>
            </w:r>
          </w:p>
        </w:tc>
        <w:tc>
          <w:tcPr>
            <w:tcW w:w="3426" w:type="dxa"/>
            <w:vAlign w:val="center"/>
          </w:tcPr>
          <w:p w14:paraId="48AD0B8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14:paraId="319FFCF5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3C77DA7A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6AA570C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14:paraId="67E450F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зелено-голубая</w:t>
            </w:r>
          </w:p>
        </w:tc>
        <w:tc>
          <w:tcPr>
            <w:tcW w:w="1110" w:type="dxa"/>
            <w:vAlign w:val="center"/>
          </w:tcPr>
          <w:p w14:paraId="3D03094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491,6</w:t>
            </w:r>
          </w:p>
        </w:tc>
        <w:tc>
          <w:tcPr>
            <w:tcW w:w="3426" w:type="dxa"/>
            <w:vAlign w:val="center"/>
          </w:tcPr>
          <w:p w14:paraId="38885BD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3" w:type="dxa"/>
            <w:vAlign w:val="center"/>
          </w:tcPr>
          <w:p w14:paraId="6238EA0D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6E0E8CDD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5D05476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126" w:type="dxa"/>
            <w:vAlign w:val="center"/>
          </w:tcPr>
          <w:p w14:paraId="2E91D08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зеленая</w:t>
            </w:r>
          </w:p>
        </w:tc>
        <w:tc>
          <w:tcPr>
            <w:tcW w:w="1110" w:type="dxa"/>
            <w:vAlign w:val="center"/>
          </w:tcPr>
          <w:p w14:paraId="2AFA94A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546,0</w:t>
            </w:r>
          </w:p>
        </w:tc>
        <w:tc>
          <w:tcPr>
            <w:tcW w:w="3426" w:type="dxa"/>
            <w:vAlign w:val="center"/>
          </w:tcPr>
          <w:p w14:paraId="6A25A5E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93" w:type="dxa"/>
            <w:vAlign w:val="center"/>
          </w:tcPr>
          <w:p w14:paraId="415B7E71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13CC835D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3F3EF5F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6D6FE6EA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желто-зеленая</w:t>
            </w:r>
          </w:p>
        </w:tc>
        <w:tc>
          <w:tcPr>
            <w:tcW w:w="1110" w:type="dxa"/>
            <w:vAlign w:val="center"/>
          </w:tcPr>
          <w:p w14:paraId="78FA907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567,5</w:t>
            </w:r>
          </w:p>
        </w:tc>
        <w:tc>
          <w:tcPr>
            <w:tcW w:w="3426" w:type="dxa"/>
            <w:vAlign w:val="center"/>
          </w:tcPr>
          <w:p w14:paraId="3F8465E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  <w:vAlign w:val="center"/>
          </w:tcPr>
          <w:p w14:paraId="5546AFA0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387D40E8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27D85264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30DD845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желтая</w:t>
            </w:r>
          </w:p>
        </w:tc>
        <w:tc>
          <w:tcPr>
            <w:tcW w:w="1110" w:type="dxa"/>
            <w:vAlign w:val="center"/>
          </w:tcPr>
          <w:p w14:paraId="3D2BF34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576,9</w:t>
            </w:r>
          </w:p>
        </w:tc>
        <w:tc>
          <w:tcPr>
            <w:tcW w:w="3426" w:type="dxa"/>
            <w:vAlign w:val="center"/>
          </w:tcPr>
          <w:p w14:paraId="5A20983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  <w:vAlign w:val="center"/>
          </w:tcPr>
          <w:p w14:paraId="2F7BB937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4DB0D032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382FDA8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1EDF2325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желтая</w:t>
            </w:r>
          </w:p>
        </w:tc>
        <w:tc>
          <w:tcPr>
            <w:tcW w:w="1110" w:type="dxa"/>
            <w:vAlign w:val="center"/>
          </w:tcPr>
          <w:p w14:paraId="7153FB7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579,0</w:t>
            </w:r>
          </w:p>
        </w:tc>
        <w:tc>
          <w:tcPr>
            <w:tcW w:w="3426" w:type="dxa"/>
            <w:vAlign w:val="center"/>
          </w:tcPr>
          <w:p w14:paraId="3DE2C079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  <w:vAlign w:val="center"/>
          </w:tcPr>
          <w:p w14:paraId="3EFEBD4C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10030B9B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132FE1D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2EF88AA4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оранжевая</w:t>
            </w:r>
          </w:p>
        </w:tc>
        <w:tc>
          <w:tcPr>
            <w:tcW w:w="1110" w:type="dxa"/>
            <w:vAlign w:val="center"/>
          </w:tcPr>
          <w:p w14:paraId="0FEB87A1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615,2</w:t>
            </w:r>
          </w:p>
        </w:tc>
        <w:tc>
          <w:tcPr>
            <w:tcW w:w="3426" w:type="dxa"/>
            <w:vAlign w:val="center"/>
          </w:tcPr>
          <w:p w14:paraId="59BEDAF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09E42243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4CD8D27B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5FE0F3A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126" w:type="dxa"/>
            <w:vAlign w:val="center"/>
          </w:tcPr>
          <w:p w14:paraId="53F120C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красная</w:t>
            </w:r>
          </w:p>
        </w:tc>
        <w:tc>
          <w:tcPr>
            <w:tcW w:w="1110" w:type="dxa"/>
            <w:vAlign w:val="center"/>
          </w:tcPr>
          <w:p w14:paraId="6483E9A1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623,4</w:t>
            </w:r>
          </w:p>
        </w:tc>
        <w:tc>
          <w:tcPr>
            <w:tcW w:w="3426" w:type="dxa"/>
            <w:vAlign w:val="center"/>
          </w:tcPr>
          <w:p w14:paraId="33A6B62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  <w:vAlign w:val="center"/>
          </w:tcPr>
          <w:p w14:paraId="1DA7E3BF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172B6069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350F861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2F97C5D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красная</w:t>
            </w:r>
          </w:p>
        </w:tc>
        <w:tc>
          <w:tcPr>
            <w:tcW w:w="1110" w:type="dxa"/>
            <w:vAlign w:val="center"/>
          </w:tcPr>
          <w:p w14:paraId="6C8CDC3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671,6</w:t>
            </w:r>
          </w:p>
        </w:tc>
        <w:tc>
          <w:tcPr>
            <w:tcW w:w="3426" w:type="dxa"/>
            <w:vAlign w:val="center"/>
          </w:tcPr>
          <w:p w14:paraId="72E9C68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  <w:vAlign w:val="center"/>
          </w:tcPr>
          <w:p w14:paraId="0D7330FF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7B72C240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761E515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6" w:type="dxa"/>
            <w:vAlign w:val="center"/>
          </w:tcPr>
          <w:p w14:paraId="0423757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красная</w:t>
            </w:r>
          </w:p>
        </w:tc>
        <w:tc>
          <w:tcPr>
            <w:tcW w:w="1110" w:type="dxa"/>
            <w:vAlign w:val="center"/>
          </w:tcPr>
          <w:p w14:paraId="5F5DF74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690,7</w:t>
            </w:r>
          </w:p>
        </w:tc>
        <w:tc>
          <w:tcPr>
            <w:tcW w:w="3426" w:type="dxa"/>
            <w:vAlign w:val="center"/>
          </w:tcPr>
          <w:p w14:paraId="32E4163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73360BE2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C9319D7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2535267" w14:textId="77777777" w:rsidR="00C64A36" w:rsidRDefault="004B589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77"/>
        </w:tabs>
        <w:ind w:left="5" w:right="293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</w:t>
      </w:r>
      <w:proofErr w:type="spellStart"/>
      <w:r>
        <w:rPr>
          <w:color w:val="000000"/>
          <w:sz w:val="28"/>
          <w:szCs w:val="28"/>
        </w:rPr>
        <w:t>градуировочную</w:t>
      </w:r>
      <w:proofErr w:type="spellEnd"/>
      <w:r>
        <w:rPr>
          <w:color w:val="000000"/>
          <w:sz w:val="28"/>
          <w:szCs w:val="28"/>
        </w:rPr>
        <w:t xml:space="preserve"> кривую (см. рис.4), откладывая по оси ординат длины волн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62BC6EFA" wp14:editId="71FA653A">
            <wp:extent cx="139700" cy="1905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спектральных линий, а по оси абсцисс -соответствующие им деления шкалы микрометрического винта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</w:t>
      </w:r>
    </w:p>
    <w:p w14:paraId="418D18A7" w14:textId="77777777" w:rsidR="00C64A36" w:rsidRDefault="004B589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Выключить ртутную лампу и зажечь лампу накаливания.</w:t>
      </w:r>
    </w:p>
    <w:p w14:paraId="5CF79356" w14:textId="77777777" w:rsidR="00C64A36" w:rsidRDefault="004B589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307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поворотного кронштейна установить лампу накаливания напротив щели спектроскопа.</w:t>
      </w:r>
    </w:p>
    <w:p w14:paraId="20DC2DD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ab/>
        <w:t xml:space="preserve">Наблюдая сплошной спектр лампы накаливания, поместить на полочку 3 (рис.1) флакон с </w:t>
      </w:r>
      <w:proofErr w:type="spellStart"/>
      <w:r>
        <w:rPr>
          <w:color w:val="000000"/>
          <w:sz w:val="28"/>
          <w:szCs w:val="28"/>
        </w:rPr>
        <w:t>двухромовокислым</w:t>
      </w:r>
      <w:proofErr w:type="spellEnd"/>
      <w:r>
        <w:rPr>
          <w:color w:val="000000"/>
          <w:sz w:val="28"/>
          <w:szCs w:val="28"/>
        </w:rPr>
        <w:t xml:space="preserve"> калием.</w:t>
      </w:r>
    </w:p>
    <w:p w14:paraId="39D6BA7D" w14:textId="4712BC31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Установить визирную линию на границу поглощения (зеленый цвет) и записать деление </w:t>
      </w:r>
      <w:proofErr w:type="spellStart"/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гр</w:t>
      </w:r>
      <w:proofErr w:type="spellEnd"/>
      <w:r>
        <w:rPr>
          <w:color w:val="000000"/>
          <w:sz w:val="28"/>
          <w:szCs w:val="28"/>
        </w:rPr>
        <w:t xml:space="preserve"> шкалы микрометрического винта, соответствующее граничной длине волны </w:t>
      </w:r>
      <w:r w:rsidR="00766772">
        <w:rPr>
          <w:noProof/>
          <w:color w:val="000000"/>
          <w:sz w:val="28"/>
          <w:szCs w:val="28"/>
        </w:rPr>
        <w:drawing>
          <wp:inline distT="0" distB="0" distL="114300" distR="114300" wp14:anchorId="34CA7BFE" wp14:editId="57039118">
            <wp:extent cx="139700" cy="19050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8"/>
          <w:szCs w:val="28"/>
          <w:vertAlign w:val="subscript"/>
        </w:rPr>
        <w:t>rp</w:t>
      </w:r>
      <w:proofErr w:type="spellEnd"/>
      <w:r>
        <w:rPr>
          <w:color w:val="000000"/>
          <w:sz w:val="28"/>
          <w:szCs w:val="28"/>
        </w:rPr>
        <w:t>, с которой начинается поглощение.</w:t>
      </w:r>
    </w:p>
    <w:p w14:paraId="7DBD2825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ab/>
        <w:t>Выключить установку из сети.</w:t>
      </w:r>
    </w:p>
    <w:p w14:paraId="5CBA125E" w14:textId="05E6EB59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color w:val="000000"/>
          <w:sz w:val="28"/>
          <w:szCs w:val="28"/>
        </w:rPr>
        <w:tab/>
        <w:t xml:space="preserve">По </w:t>
      </w:r>
      <w:proofErr w:type="spellStart"/>
      <w:r>
        <w:rPr>
          <w:color w:val="000000"/>
          <w:sz w:val="28"/>
          <w:szCs w:val="28"/>
        </w:rPr>
        <w:t>градуировочному</w:t>
      </w:r>
      <w:proofErr w:type="spellEnd"/>
      <w:r>
        <w:rPr>
          <w:color w:val="000000"/>
          <w:sz w:val="28"/>
          <w:szCs w:val="28"/>
        </w:rPr>
        <w:t xml:space="preserve"> графику определить значение </w:t>
      </w:r>
      <w:r w:rsidR="00766772">
        <w:rPr>
          <w:noProof/>
          <w:color w:val="000000"/>
          <w:sz w:val="28"/>
          <w:szCs w:val="28"/>
        </w:rPr>
        <w:drawing>
          <wp:inline distT="0" distB="0" distL="114300" distR="114300" wp14:anchorId="06DF5B79" wp14:editId="41C4F5E4">
            <wp:extent cx="139700" cy="1905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8"/>
          <w:szCs w:val="28"/>
          <w:vertAlign w:val="subscript"/>
        </w:rPr>
        <w:t>rp</w:t>
      </w:r>
      <w:proofErr w:type="spellEnd"/>
      <w:r>
        <w:rPr>
          <w:color w:val="000000"/>
          <w:sz w:val="28"/>
          <w:szCs w:val="28"/>
        </w:rPr>
        <w:t xml:space="preserve"> и по формуле (4) вычислить постоянную Планка.</w:t>
      </w:r>
    </w:p>
    <w:p w14:paraId="695F94F6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16"/>
        </w:tabs>
        <w:ind w:left="14" w:right="10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11.</w:t>
      </w:r>
      <w:r>
        <w:rPr>
          <w:color w:val="000000"/>
          <w:sz w:val="28"/>
          <w:szCs w:val="28"/>
        </w:rPr>
        <w:tab/>
        <w:t>Рассчитать относительное отклонение полученной величины по формуле:</w:t>
      </w:r>
    </w:p>
    <w:p w14:paraId="12E28207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2E0A5E4E" wp14:editId="5ED0901B">
            <wp:extent cx="1498600" cy="5969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6274E" w14:textId="5114CB8C" w:rsidR="00C64A36" w:rsidRDefault="00C64A36" w:rsidP="0076677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16"/>
        </w:tabs>
        <w:rPr>
          <w:color w:val="000000"/>
          <w:sz w:val="28"/>
          <w:szCs w:val="28"/>
        </w:rPr>
      </w:pPr>
    </w:p>
    <w:sectPr w:rsidR="00C64A36">
      <w:pgSz w:w="11909" w:h="16834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27F7"/>
    <w:multiLevelType w:val="multilevel"/>
    <w:tmpl w:val="E13E824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F2D5269"/>
    <w:multiLevelType w:val="multilevel"/>
    <w:tmpl w:val="996C2DD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1EA6C59"/>
    <w:multiLevelType w:val="multilevel"/>
    <w:tmpl w:val="CD32B5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76055EE"/>
    <w:multiLevelType w:val="multilevel"/>
    <w:tmpl w:val="AFF6FE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06777E2"/>
    <w:multiLevelType w:val="multilevel"/>
    <w:tmpl w:val="C076074A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FF12130"/>
    <w:multiLevelType w:val="multilevel"/>
    <w:tmpl w:val="EEF495FE"/>
    <w:lvl w:ilvl="0">
      <w:start w:val="13687019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36"/>
    <w:rsid w:val="001057DB"/>
    <w:rsid w:val="0017772A"/>
    <w:rsid w:val="004B5892"/>
    <w:rsid w:val="00766772"/>
    <w:rsid w:val="00C64A36"/>
    <w:rsid w:val="00FD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1000"/>
  <w15:docId w15:val="{4F0EE6DC-0B8B-49E8-9C0C-8D4F6C8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58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89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7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teilot.github.io/fizika_project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Сергей Милованов</cp:lastModifiedBy>
  <cp:revision>2</cp:revision>
  <dcterms:created xsi:type="dcterms:W3CDTF">2024-02-18T19:20:00Z</dcterms:created>
  <dcterms:modified xsi:type="dcterms:W3CDTF">2024-02-18T19:20:00Z</dcterms:modified>
</cp:coreProperties>
</file>