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color w:val="17365D"/>
          <w:sz w:val="40"/>
        </w:rPr>
        <w:t>Competitor Price Intelligence Brief</w:t>
      </w:r>
    </w:p>
    <w:p>
      <w:pPr>
        <w:jc w:val="center"/>
      </w:pPr>
      <w:r>
        <w:rPr>
          <w:rFonts w:ascii="Aptos" w:hAnsi="Aptos"/>
          <w:b/>
          <w:sz w:val="21"/>
        </w:rPr>
        <w:t>Task T44 | AI Text Analytics | 30 Marks</w:t>
      </w:r>
    </w:p>
    <w:p>
      <w:pPr>
        <w:spacing w:after="80" w:line="240" w:lineRule="auto"/>
      </w:pPr>
      <w:r>
        <w:rPr>
          <w:rFonts w:ascii="Aptos" w:hAnsi="Aptos"/>
          <w:sz w:val="19"/>
        </w:rPr>
        <w:t>Objective: analyse price gaps against competitors by category and platform, create a verified weekly management brief, identify overpriced and underpriced products, and recommend evidence-based pricing actions.</w:t>
      </w:r>
    </w:p>
    <w:tbl>
      <w:tblPr>
        <w:tblStyle w:val="TableGrid"/>
        <w:tblW w:type="auto" w:w="0"/>
        <w:jc w:val="center"/>
        <w:tblLook w:firstColumn="1" w:firstRow="1" w:lastColumn="0" w:lastRow="0" w:noHBand="0" w:noVBand="1" w:val="04A0"/>
      </w:tblPr>
      <w:tblGrid>
        <w:gridCol w:w="5328"/>
        <w:gridCol w:w="5328"/>
      </w:tblGrid>
      <w:tr>
        <w:tc>
          <w:tcPr>
            <w:tcW w:type="dxa" w:w="5184"/>
            <w:vAlign w:val="center"/>
            <w:shd w:fill="4472C4"/>
          </w:tcPr>
          <w:p>
            <w:r/>
            <w:r>
              <w:rPr>
                <w:rFonts w:ascii="Aptos" w:hAnsi="Aptos"/>
                <w:b/>
                <w:color w:val="FFFFFF"/>
                <w:sz w:val="17"/>
              </w:rPr>
              <w:t>KPI</w:t>
            </w:r>
          </w:p>
        </w:tc>
        <w:tc>
          <w:tcPr>
            <w:tcW w:type="dxa" w:w="2880"/>
            <w:vAlign w:val="center"/>
            <w:shd w:fill="4472C4"/>
          </w:tcPr>
          <w:p>
            <w:r/>
            <w:r>
              <w:rPr>
                <w:rFonts w:ascii="Aptos" w:hAnsi="Aptos"/>
                <w:b/>
                <w:color w:val="FFFFFF"/>
                <w:sz w:val="17"/>
              </w:rPr>
              <w:t>Result</w:t>
            </w:r>
          </w:p>
        </w:tc>
      </w:tr>
      <w:tr>
        <w:tc>
          <w:tcPr>
            <w:tcW w:type="dxa" w:w="5184"/>
            <w:vAlign w:val="center"/>
          </w:tcPr>
          <w:p>
            <w:r/>
            <w:r>
              <w:rPr>
                <w:rFonts w:ascii="Aptos" w:hAnsi="Aptos"/>
                <w:b w:val="0"/>
                <w:sz w:val="17"/>
              </w:rPr>
              <w:t>Source rows</w:t>
            </w:r>
          </w:p>
        </w:tc>
        <w:tc>
          <w:tcPr>
            <w:tcW w:type="dxa" w:w="2880"/>
            <w:vAlign w:val="center"/>
          </w:tcPr>
          <w:p>
            <w:r/>
            <w:r>
              <w:rPr>
                <w:rFonts w:ascii="Aptos" w:hAnsi="Aptos"/>
                <w:b w:val="0"/>
                <w:sz w:val="17"/>
              </w:rPr>
              <w:t>400</w:t>
            </w:r>
          </w:p>
        </w:tc>
      </w:tr>
      <w:tr>
        <w:tc>
          <w:tcPr>
            <w:tcW w:type="dxa" w:w="5184"/>
            <w:vAlign w:val="center"/>
          </w:tcPr>
          <w:p>
            <w:r/>
            <w:r>
              <w:rPr>
                <w:rFonts w:ascii="Aptos" w:hAnsi="Aptos"/>
                <w:b w:val="0"/>
                <w:sz w:val="17"/>
              </w:rPr>
              <w:t>Comparable observations</w:t>
            </w:r>
          </w:p>
        </w:tc>
        <w:tc>
          <w:tcPr>
            <w:tcW w:type="dxa" w:w="2880"/>
            <w:vAlign w:val="center"/>
          </w:tcPr>
          <w:p>
            <w:r/>
            <w:r>
              <w:rPr>
                <w:rFonts w:ascii="Aptos" w:hAnsi="Aptos"/>
                <w:b w:val="0"/>
                <w:sz w:val="17"/>
              </w:rPr>
              <w:t>100</w:t>
            </w:r>
          </w:p>
        </w:tc>
      </w:tr>
      <w:tr>
        <w:tc>
          <w:tcPr>
            <w:tcW w:type="dxa" w:w="5184"/>
            <w:vAlign w:val="center"/>
          </w:tcPr>
          <w:p>
            <w:r/>
            <w:r>
              <w:rPr>
                <w:rFonts w:ascii="Aptos" w:hAnsi="Aptos"/>
                <w:b w:val="0"/>
                <w:sz w:val="17"/>
              </w:rPr>
              <w:t>Overpriced</w:t>
            </w:r>
          </w:p>
        </w:tc>
        <w:tc>
          <w:tcPr>
            <w:tcW w:type="dxa" w:w="2880"/>
            <w:vAlign w:val="center"/>
          </w:tcPr>
          <w:p>
            <w:r/>
            <w:r>
              <w:rPr>
                <w:rFonts w:ascii="Aptos" w:hAnsi="Aptos"/>
                <w:b w:val="0"/>
                <w:sz w:val="17"/>
              </w:rPr>
              <w:t>49</w:t>
            </w:r>
          </w:p>
        </w:tc>
      </w:tr>
      <w:tr>
        <w:tc>
          <w:tcPr>
            <w:tcW w:type="dxa" w:w="5184"/>
            <w:vAlign w:val="center"/>
          </w:tcPr>
          <w:p>
            <w:r/>
            <w:r>
              <w:rPr>
                <w:rFonts w:ascii="Aptos" w:hAnsi="Aptos"/>
                <w:b w:val="0"/>
                <w:sz w:val="17"/>
              </w:rPr>
              <w:t>Underpriced</w:t>
            </w:r>
          </w:p>
        </w:tc>
        <w:tc>
          <w:tcPr>
            <w:tcW w:type="dxa" w:w="2880"/>
            <w:vAlign w:val="center"/>
          </w:tcPr>
          <w:p>
            <w:r/>
            <w:r>
              <w:rPr>
                <w:rFonts w:ascii="Aptos" w:hAnsi="Aptos"/>
                <w:b w:val="0"/>
                <w:sz w:val="17"/>
              </w:rPr>
              <w:t>51</w:t>
            </w:r>
          </w:p>
        </w:tc>
      </w:tr>
      <w:tr>
        <w:tc>
          <w:tcPr>
            <w:tcW w:type="dxa" w:w="5184"/>
            <w:vAlign w:val="center"/>
          </w:tcPr>
          <w:p>
            <w:r/>
            <w:r>
              <w:rPr>
                <w:rFonts w:ascii="Aptos" w:hAnsi="Aptos"/>
                <w:b w:val="0"/>
                <w:sz w:val="17"/>
              </w:rPr>
              <w:t>Average gap</w:t>
            </w:r>
          </w:p>
        </w:tc>
        <w:tc>
          <w:tcPr>
            <w:tcW w:type="dxa" w:w="2880"/>
            <w:vAlign w:val="center"/>
          </w:tcPr>
          <w:p>
            <w:r/>
            <w:r>
              <w:rPr>
                <w:rFonts w:ascii="Aptos" w:hAnsi="Aptos"/>
                <w:b w:val="0"/>
                <w:sz w:val="17"/>
              </w:rPr>
              <w:t>-0.7%</w:t>
            </w:r>
          </w:p>
        </w:tc>
      </w:tr>
      <w:tr>
        <w:tc>
          <w:tcPr>
            <w:tcW w:type="dxa" w:w="5184"/>
            <w:vAlign w:val="center"/>
          </w:tcPr>
          <w:p>
            <w:r/>
            <w:r>
              <w:rPr>
                <w:rFonts w:ascii="Aptos" w:hAnsi="Aptos"/>
                <w:b w:val="0"/>
                <w:sz w:val="17"/>
              </w:rPr>
              <w:t>Same-platform coverage</w:t>
            </w:r>
          </w:p>
        </w:tc>
        <w:tc>
          <w:tcPr>
            <w:tcW w:type="dxa" w:w="2880"/>
            <w:vAlign w:val="center"/>
          </w:tcPr>
          <w:p>
            <w:r/>
            <w:r>
              <w:rPr>
                <w:rFonts w:ascii="Aptos" w:hAnsi="Aptos"/>
                <w:b w:val="0"/>
                <w:sz w:val="17"/>
              </w:rPr>
              <w:t>58%</w:t>
            </w:r>
          </w:p>
        </w:tc>
      </w:tr>
      <w:tr>
        <w:tc>
          <w:tcPr>
            <w:tcW w:type="dxa" w:w="5184"/>
            <w:vAlign w:val="center"/>
          </w:tcPr>
          <w:p>
            <w:r/>
            <w:r>
              <w:rPr>
                <w:rFonts w:ascii="Aptos" w:hAnsi="Aptos"/>
                <w:b w:val="0"/>
                <w:sz w:val="17"/>
              </w:rPr>
              <w:t>Beyond ±5% review threshold</w:t>
            </w:r>
          </w:p>
        </w:tc>
        <w:tc>
          <w:tcPr>
            <w:tcW w:type="dxa" w:w="2880"/>
            <w:vAlign w:val="center"/>
          </w:tcPr>
          <w:p>
            <w:r/>
            <w:r>
              <w:rPr>
                <w:rFonts w:ascii="Aptos" w:hAnsi="Aptos"/>
                <w:b w:val="0"/>
                <w:sz w:val="17"/>
              </w:rPr>
              <w:t>65</w:t>
            </w:r>
          </w:p>
        </w:tc>
      </w:tr>
    </w:tbl>
    <w:p>
      <w:pPr>
        <w:spacing w:after="20"/>
      </w:pPr>
    </w:p>
    <w:p>
      <w:pPr>
        <w:spacing w:before="40" w:after="80"/>
      </w:pPr>
      <w:r>
        <w:rPr>
          <w:rFonts w:ascii="Aptos Display" w:hAnsi="Aptos Display"/>
          <w:b/>
          <w:color w:val="17365D"/>
          <w:sz w:val="23"/>
        </w:rPr>
        <w:t>Executive Summary</w:t>
      </w:r>
    </w:p>
    <w:p>
      <w:pPr>
        <w:spacing w:after="80" w:line="240" w:lineRule="auto"/>
      </w:pPr>
      <w:r>
        <w:rPr>
          <w:rFonts w:ascii="Aptos" w:hAnsi="Aptos"/>
          <w:sz w:val="19"/>
        </w:rPr>
        <w:t>Across 100 comparable observations, Our Brand is on average 0.7% below the three-competitor benchmark, so the portfolio is broadly near market overall. However, the average absolute gap is 7.8%, showing that individual products can still diverge meaningfully even when the total average is small.</w:t>
      </w:r>
    </w:p>
    <w:p>
      <w:pPr>
        <w:spacing w:after="80" w:line="240" w:lineRule="auto"/>
      </w:pPr>
      <w:r>
        <w:rPr>
          <w:rFonts w:ascii="Aptos" w:hAnsi="Aptos"/>
          <w:sz w:val="19"/>
        </w:rPr>
        <w:t>Fashion has the highest category-level average gap at +2.3%, while Grocery is lowest at -2.3%. In the latest week (16 Feb 2026), 3 observations are overpriced and 7 are underpriced, with an average gap of -5.4%.</w:t>
      </w:r>
    </w:p>
    <w:p>
      <w:pPr>
        <w:spacing w:after="80" w:line="240" w:lineRule="auto"/>
      </w:pPr>
      <w:r>
        <w:rPr>
          <w:rFonts w:ascii="Aptos" w:hAnsi="Aptos"/>
          <w:sz w:val="19"/>
        </w:rPr>
        <w:t>The pricing recommendation is not to automate price changes. A ±5% gap is used only as a human-review trigger. Platform comparability, stock status, current promotions, product positioning and margin must be checked before action.</w:t>
      </w:r>
    </w:p>
    <w:p>
      <w:r>
        <w:br w:type="page"/>
      </w:r>
    </w:p>
    <w:p>
      <w:pPr>
        <w:spacing w:before="40" w:after="80"/>
      </w:pPr>
      <w:r>
        <w:rPr>
          <w:rFonts w:ascii="Aptos Display" w:hAnsi="Aptos Display"/>
          <w:b/>
          <w:color w:val="17365D"/>
          <w:sz w:val="30"/>
        </w:rPr>
        <w:t>1. Methodology and Working Build</w:t>
      </w:r>
    </w:p>
    <w:p>
      <w:pPr>
        <w:spacing w:after="80" w:line="240" w:lineRule="auto"/>
      </w:pPr>
      <w:r>
        <w:rPr>
          <w:rFonts w:ascii="Aptos" w:hAnsi="Aptos"/>
          <w:sz w:val="19"/>
        </w:rPr>
        <w:t>The provided Price Tracker contains 400 synthetic observations. The data follows a repeating seller structure: Our Brand, Competitor A, Competitor B and Competitor C. The analysis converts these 400 rows into 100 comparable four-seller observations without collapsing repeated product/week combinations.</w:t>
      </w:r>
    </w:p>
    <w:p>
      <w:pPr>
        <w:spacing w:before="40" w:after="80"/>
      </w:pPr>
      <w:r>
        <w:rPr>
          <w:rFonts w:ascii="Aptos Display" w:hAnsi="Aptos Display"/>
          <w:b/>
          <w:color w:val="17365D"/>
          <w:sz w:val="23"/>
        </w:rPr>
        <w:t>Price-gap calculation</w:t>
      </w:r>
    </w:p>
    <w:p>
      <w:pPr>
        <w:pStyle w:val="ListBullet"/>
        <w:spacing w:after="40"/>
        <w:ind w:left="288"/>
      </w:pPr>
      <w:r>
        <w:rPr>
          <w:rFonts w:ascii="Aptos" w:hAnsi="Aptos"/>
          <w:sz w:val="18"/>
        </w:rPr>
        <w:t>Competitor benchmark = arithmetic mean of Competitor A, Competitor B and Competitor C for the same observation.</w:t>
      </w:r>
    </w:p>
    <w:p>
      <w:pPr>
        <w:pStyle w:val="ListBullet"/>
        <w:spacing w:after="40"/>
        <w:ind w:left="288"/>
      </w:pPr>
      <w:r>
        <w:rPr>
          <w:rFonts w:ascii="Aptos" w:hAnsi="Aptos"/>
          <w:sz w:val="18"/>
        </w:rPr>
        <w:t>Price gap (INR) = Our Brand selling price - competitor benchmark.</w:t>
      </w:r>
    </w:p>
    <w:p>
      <w:pPr>
        <w:pStyle w:val="ListBullet"/>
        <w:spacing w:after="40"/>
        <w:ind w:left="288"/>
      </w:pPr>
      <w:r>
        <w:rPr>
          <w:rFonts w:ascii="Aptos" w:hAnsi="Aptos"/>
          <w:sz w:val="18"/>
        </w:rPr>
        <w:t>Price gap % = price gap / competitor benchmark × 100.</w:t>
      </w:r>
    </w:p>
    <w:p>
      <w:pPr>
        <w:pStyle w:val="ListBullet"/>
        <w:spacing w:after="40"/>
        <w:ind w:left="288"/>
      </w:pPr>
      <w:r>
        <w:rPr>
          <w:rFonts w:ascii="Aptos" w:hAnsi="Aptos"/>
          <w:sz w:val="18"/>
        </w:rPr>
        <w:t>Positive gap = Our Brand is more expensive; negative gap = Our Brand is cheaper.</w:t>
      </w:r>
    </w:p>
    <w:p>
      <w:pPr>
        <w:pStyle w:val="ListBullet"/>
        <w:spacing w:after="40"/>
        <w:ind w:left="288"/>
      </w:pPr>
      <w:r>
        <w:rPr>
          <w:rFonts w:ascii="Aptos" w:hAnsi="Aptos"/>
          <w:sz w:val="18"/>
        </w:rPr>
        <w:t>Same-platform competitor coverage is calculated separately because cross-platform comparisons are less directly comparable.</w:t>
      </w:r>
    </w:p>
    <w:p>
      <w:pPr>
        <w:spacing w:before="40" w:after="80"/>
      </w:pPr>
      <w:r>
        <w:rPr>
          <w:rFonts w:ascii="Aptos Display" w:hAnsi="Aptos Display"/>
          <w:b/>
          <w:color w:val="17365D"/>
          <w:sz w:val="23"/>
        </w:rPr>
        <w:t>Working build</w:t>
      </w:r>
    </w:p>
    <w:p>
      <w:pPr>
        <w:spacing w:after="80" w:line="240" w:lineRule="auto"/>
      </w:pPr>
      <w:r>
        <w:rPr>
          <w:rFonts w:ascii="Aptos" w:hAnsi="Aptos"/>
          <w:sz w:val="19"/>
        </w:rPr>
        <w:t>A Streamlit application was developed in Python. The app loads the bundled T44 workbook by default, while an upload control allows another workbook with the same schema to be analysed. Deterministic calculations are performed in Python rather than delegated to an LLM.</w:t>
      </w:r>
    </w:p>
    <w:p>
      <w:pPr>
        <w:pStyle w:val="ListBullet"/>
        <w:spacing w:after="40"/>
        <w:ind w:left="288"/>
      </w:pPr>
      <w:r>
        <w:rPr>
          <w:rFonts w:ascii="Aptos" w:hAnsi="Aptos"/>
          <w:sz w:val="18"/>
        </w:rPr>
        <w:t>Executive dashboard with KPI cards and category signals.</w:t>
      </w:r>
    </w:p>
    <w:p>
      <w:pPr>
        <w:pStyle w:val="ListBullet"/>
        <w:spacing w:after="40"/>
        <w:ind w:left="288"/>
      </w:pPr>
      <w:r>
        <w:rPr>
          <w:rFonts w:ascii="Aptos" w:hAnsi="Aptos"/>
          <w:sz w:val="18"/>
        </w:rPr>
        <w:t>Threshold slider and category/platform filters.</w:t>
      </w:r>
    </w:p>
    <w:p>
      <w:pPr>
        <w:pStyle w:val="ListBullet"/>
        <w:spacing w:after="40"/>
        <w:ind w:left="288"/>
      </w:pPr>
      <w:r>
        <w:rPr>
          <w:rFonts w:ascii="Aptos" w:hAnsi="Aptos"/>
          <w:sz w:val="18"/>
        </w:rPr>
        <w:t>Action Centre for the largest review signals.</w:t>
      </w:r>
    </w:p>
    <w:p>
      <w:pPr>
        <w:pStyle w:val="ListBullet"/>
        <w:spacing w:after="40"/>
        <w:ind w:left="288"/>
      </w:pPr>
      <w:r>
        <w:rPr>
          <w:rFonts w:ascii="Aptos" w:hAnsi="Aptos"/>
          <w:sz w:val="18"/>
        </w:rPr>
        <w:t>Product, category, platform and weekly analysis.</w:t>
      </w:r>
    </w:p>
    <w:p>
      <w:pPr>
        <w:pStyle w:val="ListBullet"/>
        <w:spacing w:after="40"/>
        <w:ind w:left="288"/>
      </w:pPr>
      <w:r>
        <w:rPr>
          <w:rFonts w:ascii="Aptos" w:hAnsi="Aptos"/>
          <w:sz w:val="18"/>
        </w:rPr>
        <w:t>Verified weekly brief and LLM prompt workflow.</w:t>
      </w:r>
    </w:p>
    <w:p>
      <w:pPr>
        <w:pStyle w:val="ListBullet"/>
        <w:spacing w:after="40"/>
        <w:ind w:left="288"/>
      </w:pPr>
      <w:r>
        <w:rPr>
          <w:rFonts w:ascii="Aptos" w:hAnsi="Aptos"/>
          <w:sz w:val="18"/>
        </w:rPr>
        <w:t>Verification checks and downloadable multi-sheet Excel output.</w:t>
      </w:r>
    </w:p>
    <w:p>
      <w:pPr>
        <w:spacing w:before="40" w:after="80"/>
      </w:pPr>
      <w:r>
        <w:rPr>
          <w:rFonts w:ascii="Aptos Display" w:hAnsi="Aptos Display"/>
          <w:b/>
          <w:color w:val="17365D"/>
          <w:sz w:val="23"/>
        </w:rPr>
        <w:t>Why AI is used this way</w:t>
      </w:r>
    </w:p>
    <w:p>
      <w:pPr>
        <w:spacing w:after="80" w:line="240" w:lineRule="auto"/>
      </w:pPr>
      <w:r>
        <w:rPr>
          <w:rFonts w:ascii="Aptos" w:hAnsi="Aptos"/>
          <w:sz w:val="19"/>
        </w:rPr>
        <w:t>The LLM is used for interpretation, drafting and critique. It is not the source of benchmark arithmetic. This separation reduces hallucination risk: numbers are computed first, a management brief is then drafted from verified metrics, and numeric claims are checked again before acceptance.</w:t>
      </w:r>
    </w:p>
    <w:p>
      <w:r>
        <w:br w:type="page"/>
      </w:r>
    </w:p>
    <w:p>
      <w:pPr>
        <w:spacing w:before="40" w:after="80"/>
      </w:pPr>
      <w:r>
        <w:rPr>
          <w:rFonts w:ascii="Aptos Display" w:hAnsi="Aptos Display"/>
          <w:b/>
          <w:color w:val="17365D"/>
          <w:sz w:val="30"/>
        </w:rPr>
        <w:t>2. Findings</w:t>
      </w:r>
    </w:p>
    <w:p>
      <w:pPr>
        <w:spacing w:before="40" w:after="80"/>
      </w:pPr>
      <w:r>
        <w:rPr>
          <w:rFonts w:ascii="Aptos Display" w:hAnsi="Aptos Display"/>
          <w:b/>
          <w:color w:val="17365D"/>
          <w:sz w:val="23"/>
        </w:rPr>
        <w:t>Category-level position</w:t>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3168"/>
            <w:vAlign w:val="center"/>
            <w:shd w:fill="4472C4"/>
          </w:tcPr>
          <w:p>
            <w:r/>
            <w:r>
              <w:rPr>
                <w:rFonts w:ascii="Aptos" w:hAnsi="Aptos"/>
                <w:b/>
                <w:color w:val="FFFFFF"/>
                <w:sz w:val="17"/>
              </w:rPr>
              <w:t>Category</w:t>
            </w:r>
          </w:p>
        </w:tc>
        <w:tc>
          <w:tcPr>
            <w:tcW w:type="dxa" w:w="1152"/>
            <w:vAlign w:val="center"/>
            <w:shd w:fill="4472C4"/>
          </w:tcPr>
          <w:p>
            <w:r/>
            <w:r>
              <w:rPr>
                <w:rFonts w:ascii="Aptos" w:hAnsi="Aptos"/>
                <w:b/>
                <w:color w:val="FFFFFF"/>
                <w:sz w:val="17"/>
              </w:rPr>
              <w:t>Obs.</w:t>
            </w:r>
          </w:p>
        </w:tc>
        <w:tc>
          <w:tcPr>
            <w:tcW w:type="dxa" w:w="1584"/>
            <w:vAlign w:val="center"/>
            <w:shd w:fill="4472C4"/>
          </w:tcPr>
          <w:p>
            <w:r/>
            <w:r>
              <w:rPr>
                <w:rFonts w:ascii="Aptos" w:hAnsi="Aptos"/>
                <w:b/>
                <w:color w:val="FFFFFF"/>
                <w:sz w:val="17"/>
              </w:rPr>
              <w:t>Avg gap</w:t>
            </w:r>
          </w:p>
        </w:tc>
        <w:tc>
          <w:tcPr>
            <w:tcW w:type="dxa" w:w="2016"/>
            <w:vAlign w:val="center"/>
            <w:shd w:fill="4472C4"/>
          </w:tcPr>
          <w:p>
            <w:r/>
            <w:r>
              <w:rPr>
                <w:rFonts w:ascii="Aptos" w:hAnsi="Aptos"/>
                <w:b/>
                <w:color w:val="FFFFFF"/>
                <w:sz w:val="17"/>
              </w:rPr>
              <w:t>Same-platform</w:t>
            </w:r>
          </w:p>
        </w:tc>
      </w:tr>
      <w:tr>
        <w:tc>
          <w:tcPr>
            <w:tcW w:type="dxa" w:w="3168"/>
            <w:vAlign w:val="center"/>
          </w:tcPr>
          <w:p>
            <w:r/>
            <w:r>
              <w:rPr>
                <w:rFonts w:ascii="Aptos" w:hAnsi="Aptos"/>
                <w:b w:val="0"/>
                <w:sz w:val="17"/>
              </w:rPr>
              <w:t>Fashion</w:t>
            </w:r>
          </w:p>
        </w:tc>
        <w:tc>
          <w:tcPr>
            <w:tcW w:type="dxa" w:w="1152"/>
            <w:vAlign w:val="center"/>
          </w:tcPr>
          <w:p>
            <w:r/>
            <w:r>
              <w:rPr>
                <w:rFonts w:ascii="Aptos" w:hAnsi="Aptos"/>
                <w:b w:val="0"/>
                <w:sz w:val="17"/>
              </w:rPr>
              <w:t>15</w:t>
            </w:r>
          </w:p>
        </w:tc>
        <w:tc>
          <w:tcPr>
            <w:tcW w:type="dxa" w:w="1584"/>
            <w:vAlign w:val="center"/>
          </w:tcPr>
          <w:p>
            <w:r/>
            <w:r>
              <w:rPr>
                <w:rFonts w:ascii="Aptos" w:hAnsi="Aptos"/>
                <w:b w:val="0"/>
                <w:sz w:val="17"/>
              </w:rPr>
              <w:t>+2.3%</w:t>
            </w:r>
          </w:p>
        </w:tc>
        <w:tc>
          <w:tcPr>
            <w:tcW w:type="dxa" w:w="2016"/>
            <w:vAlign w:val="center"/>
          </w:tcPr>
          <w:p>
            <w:r/>
            <w:r>
              <w:rPr>
                <w:rFonts w:ascii="Aptos" w:hAnsi="Aptos"/>
                <w:b w:val="0"/>
                <w:sz w:val="17"/>
              </w:rPr>
              <w:t>67%</w:t>
            </w:r>
          </w:p>
        </w:tc>
      </w:tr>
      <w:tr>
        <w:tc>
          <w:tcPr>
            <w:tcW w:type="dxa" w:w="3168"/>
            <w:vAlign w:val="center"/>
          </w:tcPr>
          <w:p>
            <w:r/>
            <w:r>
              <w:rPr>
                <w:rFonts w:ascii="Aptos" w:hAnsi="Aptos"/>
                <w:b w:val="0"/>
                <w:sz w:val="17"/>
              </w:rPr>
              <w:t>Electronics</w:t>
            </w:r>
          </w:p>
        </w:tc>
        <w:tc>
          <w:tcPr>
            <w:tcW w:type="dxa" w:w="1152"/>
            <w:vAlign w:val="center"/>
          </w:tcPr>
          <w:p>
            <w:r/>
            <w:r>
              <w:rPr>
                <w:rFonts w:ascii="Aptos" w:hAnsi="Aptos"/>
                <w:b w:val="0"/>
                <w:sz w:val="17"/>
              </w:rPr>
              <w:t>15</w:t>
            </w:r>
          </w:p>
        </w:tc>
        <w:tc>
          <w:tcPr>
            <w:tcW w:type="dxa" w:w="1584"/>
            <w:vAlign w:val="center"/>
          </w:tcPr>
          <w:p>
            <w:r/>
            <w:r>
              <w:rPr>
                <w:rFonts w:ascii="Aptos" w:hAnsi="Aptos"/>
                <w:b w:val="0"/>
                <w:sz w:val="17"/>
              </w:rPr>
              <w:t>-0.4%</w:t>
            </w:r>
          </w:p>
        </w:tc>
        <w:tc>
          <w:tcPr>
            <w:tcW w:type="dxa" w:w="2016"/>
            <w:vAlign w:val="center"/>
          </w:tcPr>
          <w:p>
            <w:r/>
            <w:r>
              <w:rPr>
                <w:rFonts w:ascii="Aptos" w:hAnsi="Aptos"/>
                <w:b w:val="0"/>
                <w:sz w:val="17"/>
              </w:rPr>
              <w:t>40%</w:t>
            </w:r>
          </w:p>
        </w:tc>
      </w:tr>
      <w:tr>
        <w:tc>
          <w:tcPr>
            <w:tcW w:type="dxa" w:w="3168"/>
            <w:vAlign w:val="center"/>
          </w:tcPr>
          <w:p>
            <w:r/>
            <w:r>
              <w:rPr>
                <w:rFonts w:ascii="Aptos" w:hAnsi="Aptos"/>
                <w:b w:val="0"/>
                <w:sz w:val="17"/>
              </w:rPr>
              <w:t>Beauty</w:t>
            </w:r>
          </w:p>
        </w:tc>
        <w:tc>
          <w:tcPr>
            <w:tcW w:type="dxa" w:w="1152"/>
            <w:vAlign w:val="center"/>
          </w:tcPr>
          <w:p>
            <w:r/>
            <w:r>
              <w:rPr>
                <w:rFonts w:ascii="Aptos" w:hAnsi="Aptos"/>
                <w:b w:val="0"/>
                <w:sz w:val="17"/>
              </w:rPr>
              <w:t>21</w:t>
            </w:r>
          </w:p>
        </w:tc>
        <w:tc>
          <w:tcPr>
            <w:tcW w:type="dxa" w:w="1584"/>
            <w:vAlign w:val="center"/>
          </w:tcPr>
          <w:p>
            <w:r/>
            <w:r>
              <w:rPr>
                <w:rFonts w:ascii="Aptos" w:hAnsi="Aptos"/>
                <w:b w:val="0"/>
                <w:sz w:val="17"/>
              </w:rPr>
              <w:t>-0.5%</w:t>
            </w:r>
          </w:p>
        </w:tc>
        <w:tc>
          <w:tcPr>
            <w:tcW w:type="dxa" w:w="2016"/>
            <w:vAlign w:val="center"/>
          </w:tcPr>
          <w:p>
            <w:r/>
            <w:r>
              <w:rPr>
                <w:rFonts w:ascii="Aptos" w:hAnsi="Aptos"/>
                <w:b w:val="0"/>
                <w:sz w:val="17"/>
              </w:rPr>
              <w:t>67%</w:t>
            </w:r>
          </w:p>
        </w:tc>
      </w:tr>
      <w:tr>
        <w:tc>
          <w:tcPr>
            <w:tcW w:type="dxa" w:w="3168"/>
            <w:vAlign w:val="center"/>
          </w:tcPr>
          <w:p>
            <w:r/>
            <w:r>
              <w:rPr>
                <w:rFonts w:ascii="Aptos" w:hAnsi="Aptos"/>
                <w:b w:val="0"/>
                <w:sz w:val="17"/>
              </w:rPr>
              <w:t>Home &amp; Kitchen</w:t>
            </w:r>
          </w:p>
        </w:tc>
        <w:tc>
          <w:tcPr>
            <w:tcW w:type="dxa" w:w="1152"/>
            <w:vAlign w:val="center"/>
          </w:tcPr>
          <w:p>
            <w:r/>
            <w:r>
              <w:rPr>
                <w:rFonts w:ascii="Aptos" w:hAnsi="Aptos"/>
                <w:b w:val="0"/>
                <w:sz w:val="17"/>
              </w:rPr>
              <w:t>20</w:t>
            </w:r>
          </w:p>
        </w:tc>
        <w:tc>
          <w:tcPr>
            <w:tcW w:type="dxa" w:w="1584"/>
            <w:vAlign w:val="center"/>
          </w:tcPr>
          <w:p>
            <w:r/>
            <w:r>
              <w:rPr>
                <w:rFonts w:ascii="Aptos" w:hAnsi="Aptos"/>
                <w:b w:val="0"/>
                <w:sz w:val="17"/>
              </w:rPr>
              <w:t>-0.9%</w:t>
            </w:r>
          </w:p>
        </w:tc>
        <w:tc>
          <w:tcPr>
            <w:tcW w:type="dxa" w:w="2016"/>
            <w:vAlign w:val="center"/>
          </w:tcPr>
          <w:p>
            <w:r/>
            <w:r>
              <w:rPr>
                <w:rFonts w:ascii="Aptos" w:hAnsi="Aptos"/>
                <w:b w:val="0"/>
                <w:sz w:val="17"/>
              </w:rPr>
              <w:t>55%</w:t>
            </w:r>
          </w:p>
        </w:tc>
      </w:tr>
      <w:tr>
        <w:tc>
          <w:tcPr>
            <w:tcW w:type="dxa" w:w="3168"/>
            <w:vAlign w:val="center"/>
          </w:tcPr>
          <w:p>
            <w:r/>
            <w:r>
              <w:rPr>
                <w:rFonts w:ascii="Aptos" w:hAnsi="Aptos"/>
                <w:b w:val="0"/>
                <w:sz w:val="17"/>
              </w:rPr>
              <w:t>Grocery</w:t>
            </w:r>
          </w:p>
        </w:tc>
        <w:tc>
          <w:tcPr>
            <w:tcW w:type="dxa" w:w="1152"/>
            <w:vAlign w:val="center"/>
          </w:tcPr>
          <w:p>
            <w:r/>
            <w:r>
              <w:rPr>
                <w:rFonts w:ascii="Aptos" w:hAnsi="Aptos"/>
                <w:b w:val="0"/>
                <w:sz w:val="17"/>
              </w:rPr>
              <w:t>29</w:t>
            </w:r>
          </w:p>
        </w:tc>
        <w:tc>
          <w:tcPr>
            <w:tcW w:type="dxa" w:w="1584"/>
            <w:vAlign w:val="center"/>
          </w:tcPr>
          <w:p>
            <w:r/>
            <w:r>
              <w:rPr>
                <w:rFonts w:ascii="Aptos" w:hAnsi="Aptos"/>
                <w:b w:val="0"/>
                <w:sz w:val="17"/>
              </w:rPr>
              <w:t>-2.3%</w:t>
            </w:r>
          </w:p>
        </w:tc>
        <w:tc>
          <w:tcPr>
            <w:tcW w:type="dxa" w:w="2016"/>
            <w:vAlign w:val="center"/>
          </w:tcPr>
          <w:p>
            <w:r/>
            <w:r>
              <w:rPr>
                <w:rFonts w:ascii="Aptos" w:hAnsi="Aptos"/>
                <w:b w:val="0"/>
                <w:sz w:val="17"/>
              </w:rPr>
              <w:t>59%</w:t>
            </w:r>
          </w:p>
        </w:tc>
      </w:tr>
    </w:tbl>
    <w:p>
      <w:pPr>
        <w:spacing w:after="20"/>
      </w:pPr>
    </w:p>
    <w:p>
      <w:pPr>
        <w:spacing w:after="80" w:line="240" w:lineRule="auto"/>
      </w:pPr>
      <w:r>
        <w:rPr>
          <w:rFonts w:ascii="Aptos" w:hAnsi="Aptos"/>
          <w:sz w:val="19"/>
        </w:rPr>
        <w:t>Fashion is the only category with a clearly positive average gap (+2.3%), meaning it is more expensive than the three-competitor benchmark on average. Grocery is lowest at -2.3%. Electronics, Beauty and Home &amp; Kitchen are close to the benchmark in aggregate.</w:t>
      </w:r>
    </w:p>
    <w:p>
      <w:pPr>
        <w:spacing w:before="40" w:after="80"/>
      </w:pPr>
      <w:r>
        <w:rPr>
          <w:rFonts w:ascii="Aptos Display" w:hAnsi="Aptos Display"/>
          <w:b/>
          <w:color w:val="17365D"/>
          <w:sz w:val="23"/>
        </w:rPr>
        <w:t>Our Brand platform position</w:t>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3600"/>
            <w:vAlign w:val="center"/>
            <w:shd w:fill="4472C4"/>
          </w:tcPr>
          <w:p>
            <w:r/>
            <w:r>
              <w:rPr>
                <w:rFonts w:ascii="Aptos" w:hAnsi="Aptos"/>
                <w:b/>
                <w:color w:val="FFFFFF"/>
                <w:sz w:val="17"/>
              </w:rPr>
              <w:t>Our Brand platform</w:t>
            </w:r>
          </w:p>
        </w:tc>
        <w:tc>
          <w:tcPr>
            <w:tcW w:type="dxa" w:w="1152"/>
            <w:vAlign w:val="center"/>
            <w:shd w:fill="4472C4"/>
          </w:tcPr>
          <w:p>
            <w:r/>
            <w:r>
              <w:rPr>
                <w:rFonts w:ascii="Aptos" w:hAnsi="Aptos"/>
                <w:b/>
                <w:color w:val="FFFFFF"/>
                <w:sz w:val="17"/>
              </w:rPr>
              <w:t>Obs.</w:t>
            </w:r>
          </w:p>
        </w:tc>
        <w:tc>
          <w:tcPr>
            <w:tcW w:type="dxa" w:w="1584"/>
            <w:vAlign w:val="center"/>
            <w:shd w:fill="4472C4"/>
          </w:tcPr>
          <w:p>
            <w:r/>
            <w:r>
              <w:rPr>
                <w:rFonts w:ascii="Aptos" w:hAnsi="Aptos"/>
                <w:b/>
                <w:color w:val="FFFFFF"/>
                <w:sz w:val="17"/>
              </w:rPr>
              <w:t>Avg gap</w:t>
            </w:r>
          </w:p>
        </w:tc>
        <w:tc>
          <w:tcPr>
            <w:tcW w:type="dxa" w:w="2016"/>
            <w:vAlign w:val="center"/>
            <w:shd w:fill="4472C4"/>
          </w:tcPr>
          <w:p>
            <w:r/>
            <w:r>
              <w:rPr>
                <w:rFonts w:ascii="Aptos" w:hAnsi="Aptos"/>
                <w:b/>
                <w:color w:val="FFFFFF"/>
                <w:sz w:val="17"/>
              </w:rPr>
              <w:t>Same-platform</w:t>
            </w:r>
          </w:p>
        </w:tc>
      </w:tr>
      <w:tr>
        <w:tc>
          <w:tcPr>
            <w:tcW w:type="dxa" w:w="3600"/>
            <w:vAlign w:val="center"/>
          </w:tcPr>
          <w:p>
            <w:r/>
            <w:r>
              <w:rPr>
                <w:rFonts w:ascii="Aptos" w:hAnsi="Aptos"/>
                <w:b w:val="0"/>
                <w:sz w:val="17"/>
              </w:rPr>
              <w:t>Quick-commerce app</w:t>
            </w:r>
          </w:p>
        </w:tc>
        <w:tc>
          <w:tcPr>
            <w:tcW w:type="dxa" w:w="1152"/>
            <w:vAlign w:val="center"/>
          </w:tcPr>
          <w:p>
            <w:r/>
            <w:r>
              <w:rPr>
                <w:rFonts w:ascii="Aptos" w:hAnsi="Aptos"/>
                <w:b w:val="0"/>
                <w:sz w:val="17"/>
              </w:rPr>
              <w:t>32</w:t>
            </w:r>
          </w:p>
        </w:tc>
        <w:tc>
          <w:tcPr>
            <w:tcW w:type="dxa" w:w="1584"/>
            <w:vAlign w:val="center"/>
          </w:tcPr>
          <w:p>
            <w:r/>
            <w:r>
              <w:rPr>
                <w:rFonts w:ascii="Aptos" w:hAnsi="Aptos"/>
                <w:b w:val="0"/>
                <w:sz w:val="17"/>
              </w:rPr>
              <w:t>+0.9%</w:t>
            </w:r>
          </w:p>
        </w:tc>
        <w:tc>
          <w:tcPr>
            <w:tcW w:type="dxa" w:w="2016"/>
            <w:vAlign w:val="center"/>
          </w:tcPr>
          <w:p>
            <w:r/>
            <w:r>
              <w:rPr>
                <w:rFonts w:ascii="Aptos" w:hAnsi="Aptos"/>
                <w:b w:val="0"/>
                <w:sz w:val="17"/>
              </w:rPr>
              <w:t>50%</w:t>
            </w:r>
          </w:p>
        </w:tc>
      </w:tr>
      <w:tr>
        <w:tc>
          <w:tcPr>
            <w:tcW w:type="dxa" w:w="3600"/>
            <w:vAlign w:val="center"/>
          </w:tcPr>
          <w:p>
            <w:r/>
            <w:r>
              <w:rPr>
                <w:rFonts w:ascii="Aptos" w:hAnsi="Aptos"/>
                <w:b w:val="0"/>
                <w:sz w:val="17"/>
              </w:rPr>
              <w:t>Own website</w:t>
            </w:r>
          </w:p>
        </w:tc>
        <w:tc>
          <w:tcPr>
            <w:tcW w:type="dxa" w:w="1152"/>
            <w:vAlign w:val="center"/>
          </w:tcPr>
          <w:p>
            <w:r/>
            <w:r>
              <w:rPr>
                <w:rFonts w:ascii="Aptos" w:hAnsi="Aptos"/>
                <w:b w:val="0"/>
                <w:sz w:val="17"/>
              </w:rPr>
              <w:t>31</w:t>
            </w:r>
          </w:p>
        </w:tc>
        <w:tc>
          <w:tcPr>
            <w:tcW w:type="dxa" w:w="1584"/>
            <w:vAlign w:val="center"/>
          </w:tcPr>
          <w:p>
            <w:r/>
            <w:r>
              <w:rPr>
                <w:rFonts w:ascii="Aptos" w:hAnsi="Aptos"/>
                <w:b w:val="0"/>
                <w:sz w:val="17"/>
              </w:rPr>
              <w:t>-1.0%</w:t>
            </w:r>
          </w:p>
        </w:tc>
        <w:tc>
          <w:tcPr>
            <w:tcW w:type="dxa" w:w="2016"/>
            <w:vAlign w:val="center"/>
          </w:tcPr>
          <w:p>
            <w:r/>
            <w:r>
              <w:rPr>
                <w:rFonts w:ascii="Aptos" w:hAnsi="Aptos"/>
                <w:b w:val="0"/>
                <w:sz w:val="17"/>
              </w:rPr>
              <w:t>65%</w:t>
            </w:r>
          </w:p>
        </w:tc>
      </w:tr>
      <w:tr>
        <w:tc>
          <w:tcPr>
            <w:tcW w:type="dxa" w:w="3600"/>
            <w:vAlign w:val="center"/>
          </w:tcPr>
          <w:p>
            <w:r/>
            <w:r>
              <w:rPr>
                <w:rFonts w:ascii="Aptos" w:hAnsi="Aptos"/>
                <w:b w:val="0"/>
                <w:sz w:val="17"/>
              </w:rPr>
              <w:t>Marketplace</w:t>
            </w:r>
          </w:p>
        </w:tc>
        <w:tc>
          <w:tcPr>
            <w:tcW w:type="dxa" w:w="1152"/>
            <w:vAlign w:val="center"/>
          </w:tcPr>
          <w:p>
            <w:r/>
            <w:r>
              <w:rPr>
                <w:rFonts w:ascii="Aptos" w:hAnsi="Aptos"/>
                <w:b w:val="0"/>
                <w:sz w:val="17"/>
              </w:rPr>
              <w:t>37</w:t>
            </w:r>
          </w:p>
        </w:tc>
        <w:tc>
          <w:tcPr>
            <w:tcW w:type="dxa" w:w="1584"/>
            <w:vAlign w:val="center"/>
          </w:tcPr>
          <w:p>
            <w:r/>
            <w:r>
              <w:rPr>
                <w:rFonts w:ascii="Aptos" w:hAnsi="Aptos"/>
                <w:b w:val="0"/>
                <w:sz w:val="17"/>
              </w:rPr>
              <w:t>-1.7%</w:t>
            </w:r>
          </w:p>
        </w:tc>
        <w:tc>
          <w:tcPr>
            <w:tcW w:type="dxa" w:w="2016"/>
            <w:vAlign w:val="center"/>
          </w:tcPr>
          <w:p>
            <w:r/>
            <w:r>
              <w:rPr>
                <w:rFonts w:ascii="Aptos" w:hAnsi="Aptos"/>
                <w:b w:val="0"/>
                <w:sz w:val="17"/>
              </w:rPr>
              <w:t>59%</w:t>
            </w:r>
          </w:p>
        </w:tc>
      </w:tr>
    </w:tbl>
    <w:p>
      <w:pPr>
        <w:spacing w:after="20"/>
      </w:pPr>
    </w:p>
    <w:p>
      <w:pPr>
        <w:spacing w:after="80" w:line="240" w:lineRule="auto"/>
      </w:pPr>
      <w:r>
        <w:rPr>
          <w:rFonts w:ascii="Aptos" w:hAnsi="Aptos"/>
          <w:sz w:val="19"/>
        </w:rPr>
        <w:t>Quick-commerce observations average +0.9%, Own website -1.0% and Marketplace -1.7%. These are descriptive signals rather than causal platform effects because competitor platform, stock and promotion status can differ.</w:t>
      </w:r>
    </w:p>
    <w:p>
      <w:pPr>
        <w:spacing w:before="40" w:after="80"/>
      </w:pPr>
      <w:r>
        <w:rPr>
          <w:rFonts w:ascii="Aptos Display" w:hAnsi="Aptos Display"/>
          <w:b/>
          <w:color w:val="17365D"/>
          <w:sz w:val="23"/>
        </w:rPr>
        <w:t>Persistent product signals</w:t>
      </w:r>
    </w:p>
    <w:tbl>
      <w:tblPr>
        <w:tblStyle w:val="TableGrid"/>
        <w:tblW w:type="auto" w:w="0"/>
        <w:jc w:val="center"/>
        <w:tblLook w:firstColumn="1" w:firstRow="1" w:lastColumn="0" w:lastRow="0" w:noHBand="0" w:noVBand="1" w:val="04A0"/>
      </w:tblPr>
      <w:tblGrid>
        <w:gridCol w:w="2131"/>
        <w:gridCol w:w="2131"/>
        <w:gridCol w:w="2131"/>
        <w:gridCol w:w="2131"/>
        <w:gridCol w:w="2131"/>
      </w:tblGrid>
      <w:tr>
        <w:tc>
          <w:tcPr>
            <w:tcW w:type="dxa" w:w="2880"/>
            <w:vAlign w:val="center"/>
            <w:shd w:fill="4472C4"/>
          </w:tcPr>
          <w:p>
            <w:r/>
            <w:r>
              <w:rPr>
                <w:rFonts w:ascii="Aptos" w:hAnsi="Aptos"/>
                <w:b/>
                <w:color w:val="FFFFFF"/>
                <w:sz w:val="16"/>
              </w:rPr>
              <w:t>Product</w:t>
            </w:r>
          </w:p>
        </w:tc>
        <w:tc>
          <w:tcPr>
            <w:tcW w:type="dxa" w:w="792"/>
            <w:vAlign w:val="center"/>
            <w:shd w:fill="4472C4"/>
          </w:tcPr>
          <w:p>
            <w:r/>
            <w:r>
              <w:rPr>
                <w:rFonts w:ascii="Aptos" w:hAnsi="Aptos"/>
                <w:b/>
                <w:color w:val="FFFFFF"/>
                <w:sz w:val="16"/>
              </w:rPr>
              <w:t>Obs.</w:t>
            </w:r>
          </w:p>
        </w:tc>
        <w:tc>
          <w:tcPr>
            <w:tcW w:type="dxa" w:w="1224"/>
            <w:vAlign w:val="center"/>
            <w:shd w:fill="4472C4"/>
          </w:tcPr>
          <w:p>
            <w:r/>
            <w:r>
              <w:rPr>
                <w:rFonts w:ascii="Aptos" w:hAnsi="Aptos"/>
                <w:b/>
                <w:color w:val="FFFFFF"/>
                <w:sz w:val="16"/>
              </w:rPr>
              <w:t>Avg gap</w:t>
            </w:r>
          </w:p>
        </w:tc>
        <w:tc>
          <w:tcPr>
            <w:tcW w:type="dxa" w:w="1944"/>
            <w:vAlign w:val="center"/>
            <w:shd w:fill="4472C4"/>
          </w:tcPr>
          <w:p>
            <w:r/>
            <w:r>
              <w:rPr>
                <w:rFonts w:ascii="Aptos" w:hAnsi="Aptos"/>
                <w:b/>
                <w:color w:val="FFFFFF"/>
                <w:sz w:val="16"/>
              </w:rPr>
              <w:t>Signal</w:t>
            </w:r>
          </w:p>
        </w:tc>
        <w:tc>
          <w:tcPr>
            <w:tcW w:type="dxa" w:w="1944"/>
            <w:vAlign w:val="center"/>
            <w:shd w:fill="4472C4"/>
          </w:tcPr>
          <w:p>
            <w:r/>
            <w:r>
              <w:rPr>
                <w:rFonts w:ascii="Aptos" w:hAnsi="Aptos"/>
                <w:b/>
                <w:color w:val="FFFFFF"/>
                <w:sz w:val="16"/>
              </w:rPr>
              <w:t>Evidence</w:t>
            </w:r>
          </w:p>
        </w:tc>
      </w:tr>
      <w:tr>
        <w:tc>
          <w:tcPr>
            <w:tcW w:type="dxa" w:w="2880"/>
            <w:vAlign w:val="center"/>
          </w:tcPr>
          <w:p>
            <w:r/>
            <w:r>
              <w:rPr>
                <w:rFonts w:ascii="Aptos" w:hAnsi="Aptos"/>
                <w:b w:val="0"/>
                <w:sz w:val="16"/>
              </w:rPr>
              <w:t>Running Shoes</w:t>
            </w:r>
          </w:p>
        </w:tc>
        <w:tc>
          <w:tcPr>
            <w:tcW w:type="dxa" w:w="792"/>
            <w:vAlign w:val="center"/>
          </w:tcPr>
          <w:p>
            <w:r/>
            <w:r>
              <w:rPr>
                <w:rFonts w:ascii="Aptos" w:hAnsi="Aptos"/>
                <w:b w:val="0"/>
                <w:sz w:val="16"/>
              </w:rPr>
              <w:t>2</w:t>
            </w:r>
          </w:p>
        </w:tc>
        <w:tc>
          <w:tcPr>
            <w:tcW w:type="dxa" w:w="1224"/>
            <w:vAlign w:val="center"/>
          </w:tcPr>
          <w:p>
            <w:r/>
            <w:r>
              <w:rPr>
                <w:rFonts w:ascii="Aptos" w:hAnsi="Aptos"/>
                <w:b w:val="0"/>
                <w:sz w:val="16"/>
              </w:rPr>
              <w:t>+12.8%</w:t>
            </w:r>
          </w:p>
        </w:tc>
        <w:tc>
          <w:tcPr>
            <w:tcW w:type="dxa" w:w="1944"/>
            <w:vAlign w:val="center"/>
          </w:tcPr>
          <w:p>
            <w:r/>
            <w:r>
              <w:rPr>
                <w:rFonts w:ascii="Aptos" w:hAnsi="Aptos"/>
                <w:b w:val="0"/>
                <w:sz w:val="16"/>
              </w:rPr>
              <w:t>Persistent premium</w:t>
            </w:r>
          </w:p>
        </w:tc>
        <w:tc>
          <w:tcPr>
            <w:tcW w:type="dxa" w:w="1944"/>
            <w:vAlign w:val="center"/>
          </w:tcPr>
          <w:p>
            <w:r/>
            <w:r>
              <w:rPr>
                <w:rFonts w:ascii="Aptos" w:hAnsi="Aptos"/>
                <w:b w:val="0"/>
                <w:sz w:val="16"/>
              </w:rPr>
              <w:t>Moderate evidence</w:t>
            </w:r>
          </w:p>
        </w:tc>
      </w:tr>
      <w:tr>
        <w:tc>
          <w:tcPr>
            <w:tcW w:type="dxa" w:w="2880"/>
            <w:vAlign w:val="center"/>
          </w:tcPr>
          <w:p>
            <w:r/>
            <w:r>
              <w:rPr>
                <w:rFonts w:ascii="Aptos" w:hAnsi="Aptos"/>
                <w:b w:val="0"/>
                <w:sz w:val="16"/>
              </w:rPr>
              <w:t>Denim Jeans</w:t>
            </w:r>
          </w:p>
        </w:tc>
        <w:tc>
          <w:tcPr>
            <w:tcW w:type="dxa" w:w="792"/>
            <w:vAlign w:val="center"/>
          </w:tcPr>
          <w:p>
            <w:r/>
            <w:r>
              <w:rPr>
                <w:rFonts w:ascii="Aptos" w:hAnsi="Aptos"/>
                <w:b w:val="0"/>
                <w:sz w:val="16"/>
              </w:rPr>
              <w:t>2</w:t>
            </w:r>
          </w:p>
        </w:tc>
        <w:tc>
          <w:tcPr>
            <w:tcW w:type="dxa" w:w="1224"/>
            <w:vAlign w:val="center"/>
          </w:tcPr>
          <w:p>
            <w:r/>
            <w:r>
              <w:rPr>
                <w:rFonts w:ascii="Aptos" w:hAnsi="Aptos"/>
                <w:b w:val="0"/>
                <w:sz w:val="16"/>
              </w:rPr>
              <w:t>-11.2%</w:t>
            </w:r>
          </w:p>
        </w:tc>
        <w:tc>
          <w:tcPr>
            <w:tcW w:type="dxa" w:w="1944"/>
            <w:vAlign w:val="center"/>
          </w:tcPr>
          <w:p>
            <w:r/>
            <w:r>
              <w:rPr>
                <w:rFonts w:ascii="Aptos" w:hAnsi="Aptos"/>
                <w:b w:val="0"/>
                <w:sz w:val="16"/>
              </w:rPr>
              <w:t>Persistent discount</w:t>
            </w:r>
          </w:p>
        </w:tc>
        <w:tc>
          <w:tcPr>
            <w:tcW w:type="dxa" w:w="1944"/>
            <w:vAlign w:val="center"/>
          </w:tcPr>
          <w:p>
            <w:r/>
            <w:r>
              <w:rPr>
                <w:rFonts w:ascii="Aptos" w:hAnsi="Aptos"/>
                <w:b w:val="0"/>
                <w:sz w:val="16"/>
              </w:rPr>
              <w:t>Moderate evidence</w:t>
            </w:r>
          </w:p>
        </w:tc>
      </w:tr>
      <w:tr>
        <w:tc>
          <w:tcPr>
            <w:tcW w:type="dxa" w:w="2880"/>
            <w:vAlign w:val="center"/>
          </w:tcPr>
          <w:p>
            <w:r/>
            <w:r>
              <w:rPr>
                <w:rFonts w:ascii="Aptos" w:hAnsi="Aptos"/>
                <w:b w:val="0"/>
                <w:sz w:val="16"/>
              </w:rPr>
              <w:t>Face Serum</w:t>
            </w:r>
          </w:p>
        </w:tc>
        <w:tc>
          <w:tcPr>
            <w:tcW w:type="dxa" w:w="792"/>
            <w:vAlign w:val="center"/>
          </w:tcPr>
          <w:p>
            <w:r/>
            <w:r>
              <w:rPr>
                <w:rFonts w:ascii="Aptos" w:hAnsi="Aptos"/>
                <w:b w:val="0"/>
                <w:sz w:val="16"/>
              </w:rPr>
              <w:t>3</w:t>
            </w:r>
          </w:p>
        </w:tc>
        <w:tc>
          <w:tcPr>
            <w:tcW w:type="dxa" w:w="1224"/>
            <w:vAlign w:val="center"/>
          </w:tcPr>
          <w:p>
            <w:r/>
            <w:r>
              <w:rPr>
                <w:rFonts w:ascii="Aptos" w:hAnsi="Aptos"/>
                <w:b w:val="0"/>
                <w:sz w:val="16"/>
              </w:rPr>
              <w:t>-10.0%</w:t>
            </w:r>
          </w:p>
        </w:tc>
        <w:tc>
          <w:tcPr>
            <w:tcW w:type="dxa" w:w="1944"/>
            <w:vAlign w:val="center"/>
          </w:tcPr>
          <w:p>
            <w:r/>
            <w:r>
              <w:rPr>
                <w:rFonts w:ascii="Aptos" w:hAnsi="Aptos"/>
                <w:b w:val="0"/>
                <w:sz w:val="16"/>
              </w:rPr>
              <w:t>Persistent discount</w:t>
            </w:r>
          </w:p>
        </w:tc>
        <w:tc>
          <w:tcPr>
            <w:tcW w:type="dxa" w:w="1944"/>
            <w:vAlign w:val="center"/>
          </w:tcPr>
          <w:p>
            <w:r/>
            <w:r>
              <w:rPr>
                <w:rFonts w:ascii="Aptos" w:hAnsi="Aptos"/>
                <w:b w:val="0"/>
                <w:sz w:val="16"/>
              </w:rPr>
              <w:t>Moderate evidence</w:t>
            </w:r>
          </w:p>
        </w:tc>
      </w:tr>
      <w:tr>
        <w:tc>
          <w:tcPr>
            <w:tcW w:type="dxa" w:w="2880"/>
            <w:vAlign w:val="center"/>
          </w:tcPr>
          <w:p>
            <w:r/>
            <w:r>
              <w:rPr>
                <w:rFonts w:ascii="Aptos" w:hAnsi="Aptos"/>
                <w:b w:val="0"/>
                <w:sz w:val="16"/>
              </w:rPr>
              <w:t>Mixer Grinder</w:t>
            </w:r>
          </w:p>
        </w:tc>
        <w:tc>
          <w:tcPr>
            <w:tcW w:type="dxa" w:w="792"/>
            <w:vAlign w:val="center"/>
          </w:tcPr>
          <w:p>
            <w:r/>
            <w:r>
              <w:rPr>
                <w:rFonts w:ascii="Aptos" w:hAnsi="Aptos"/>
                <w:b w:val="0"/>
                <w:sz w:val="16"/>
              </w:rPr>
              <w:t>2</w:t>
            </w:r>
          </w:p>
        </w:tc>
        <w:tc>
          <w:tcPr>
            <w:tcW w:type="dxa" w:w="1224"/>
            <w:vAlign w:val="center"/>
          </w:tcPr>
          <w:p>
            <w:r/>
            <w:r>
              <w:rPr>
                <w:rFonts w:ascii="Aptos" w:hAnsi="Aptos"/>
                <w:b w:val="0"/>
                <w:sz w:val="16"/>
              </w:rPr>
              <w:t>-9.9%</w:t>
            </w:r>
          </w:p>
        </w:tc>
        <w:tc>
          <w:tcPr>
            <w:tcW w:type="dxa" w:w="1944"/>
            <w:vAlign w:val="center"/>
          </w:tcPr>
          <w:p>
            <w:r/>
            <w:r>
              <w:rPr>
                <w:rFonts w:ascii="Aptos" w:hAnsi="Aptos"/>
                <w:b w:val="0"/>
                <w:sz w:val="16"/>
              </w:rPr>
              <w:t>Persistent discount</w:t>
            </w:r>
          </w:p>
        </w:tc>
        <w:tc>
          <w:tcPr>
            <w:tcW w:type="dxa" w:w="1944"/>
            <w:vAlign w:val="center"/>
          </w:tcPr>
          <w:p>
            <w:r/>
            <w:r>
              <w:rPr>
                <w:rFonts w:ascii="Aptos" w:hAnsi="Aptos"/>
                <w:b w:val="0"/>
                <w:sz w:val="16"/>
              </w:rPr>
              <w:t>Moderate evidence</w:t>
            </w:r>
          </w:p>
        </w:tc>
      </w:tr>
      <w:tr>
        <w:tc>
          <w:tcPr>
            <w:tcW w:type="dxa" w:w="2880"/>
            <w:vAlign w:val="center"/>
          </w:tcPr>
          <w:p>
            <w:r/>
            <w:r>
              <w:rPr>
                <w:rFonts w:ascii="Aptos" w:hAnsi="Aptos"/>
                <w:b w:val="0"/>
                <w:sz w:val="16"/>
              </w:rPr>
              <w:t>USB-C Charger 65W</w:t>
            </w:r>
          </w:p>
        </w:tc>
        <w:tc>
          <w:tcPr>
            <w:tcW w:type="dxa" w:w="792"/>
            <w:vAlign w:val="center"/>
          </w:tcPr>
          <w:p>
            <w:r/>
            <w:r>
              <w:rPr>
                <w:rFonts w:ascii="Aptos" w:hAnsi="Aptos"/>
                <w:b w:val="0"/>
                <w:sz w:val="16"/>
              </w:rPr>
              <w:t>4</w:t>
            </w:r>
          </w:p>
        </w:tc>
        <w:tc>
          <w:tcPr>
            <w:tcW w:type="dxa" w:w="1224"/>
            <w:vAlign w:val="center"/>
          </w:tcPr>
          <w:p>
            <w:r/>
            <w:r>
              <w:rPr>
                <w:rFonts w:ascii="Aptos" w:hAnsi="Aptos"/>
                <w:b w:val="0"/>
                <w:sz w:val="16"/>
              </w:rPr>
              <w:t>-7.5%</w:t>
            </w:r>
          </w:p>
        </w:tc>
        <w:tc>
          <w:tcPr>
            <w:tcW w:type="dxa" w:w="1944"/>
            <w:vAlign w:val="center"/>
          </w:tcPr>
          <w:p>
            <w:r/>
            <w:r>
              <w:rPr>
                <w:rFonts w:ascii="Aptos" w:hAnsi="Aptos"/>
                <w:b w:val="0"/>
                <w:sz w:val="16"/>
              </w:rPr>
              <w:t>Persistent discount</w:t>
            </w:r>
          </w:p>
        </w:tc>
        <w:tc>
          <w:tcPr>
            <w:tcW w:type="dxa" w:w="1944"/>
            <w:vAlign w:val="center"/>
          </w:tcPr>
          <w:p>
            <w:r/>
            <w:r>
              <w:rPr>
                <w:rFonts w:ascii="Aptos" w:hAnsi="Aptos"/>
                <w:b w:val="0"/>
                <w:sz w:val="16"/>
              </w:rPr>
              <w:t>Higher evidence</w:t>
            </w:r>
          </w:p>
        </w:tc>
      </w:tr>
      <w:tr>
        <w:tc>
          <w:tcPr>
            <w:tcW w:type="dxa" w:w="2880"/>
            <w:vAlign w:val="center"/>
          </w:tcPr>
          <w:p>
            <w:r/>
            <w:r>
              <w:rPr>
                <w:rFonts w:ascii="Aptos" w:hAnsi="Aptos"/>
                <w:b w:val="0"/>
                <w:sz w:val="16"/>
              </w:rPr>
              <w:t>Formal Shirt</w:t>
            </w:r>
          </w:p>
        </w:tc>
        <w:tc>
          <w:tcPr>
            <w:tcW w:type="dxa" w:w="792"/>
            <w:vAlign w:val="center"/>
          </w:tcPr>
          <w:p>
            <w:r/>
            <w:r>
              <w:rPr>
                <w:rFonts w:ascii="Aptos" w:hAnsi="Aptos"/>
                <w:b w:val="0"/>
                <w:sz w:val="16"/>
              </w:rPr>
              <w:t>3</w:t>
            </w:r>
          </w:p>
        </w:tc>
        <w:tc>
          <w:tcPr>
            <w:tcW w:type="dxa" w:w="1224"/>
            <w:vAlign w:val="center"/>
          </w:tcPr>
          <w:p>
            <w:r/>
            <w:r>
              <w:rPr>
                <w:rFonts w:ascii="Aptos" w:hAnsi="Aptos"/>
                <w:b w:val="0"/>
                <w:sz w:val="16"/>
              </w:rPr>
              <w:t>+5.5%</w:t>
            </w:r>
          </w:p>
        </w:tc>
        <w:tc>
          <w:tcPr>
            <w:tcW w:type="dxa" w:w="1944"/>
            <w:vAlign w:val="center"/>
          </w:tcPr>
          <w:p>
            <w:r/>
            <w:r>
              <w:rPr>
                <w:rFonts w:ascii="Aptos" w:hAnsi="Aptos"/>
                <w:b w:val="0"/>
                <w:sz w:val="16"/>
              </w:rPr>
              <w:t>Persistent premium</w:t>
            </w:r>
          </w:p>
        </w:tc>
        <w:tc>
          <w:tcPr>
            <w:tcW w:type="dxa" w:w="1944"/>
            <w:vAlign w:val="center"/>
          </w:tcPr>
          <w:p>
            <w:r/>
            <w:r>
              <w:rPr>
                <w:rFonts w:ascii="Aptos" w:hAnsi="Aptos"/>
                <w:b w:val="0"/>
                <w:sz w:val="16"/>
              </w:rPr>
              <w:t>Moderate evidence</w:t>
            </w:r>
          </w:p>
        </w:tc>
      </w:tr>
      <w:tr>
        <w:tc>
          <w:tcPr>
            <w:tcW w:type="dxa" w:w="2880"/>
            <w:vAlign w:val="center"/>
          </w:tcPr>
          <w:p>
            <w:r/>
            <w:r>
              <w:rPr>
                <w:rFonts w:ascii="Aptos" w:hAnsi="Aptos"/>
                <w:b w:val="0"/>
                <w:sz w:val="16"/>
              </w:rPr>
              <w:t>Basmati Rice 5kg</w:t>
            </w:r>
          </w:p>
        </w:tc>
        <w:tc>
          <w:tcPr>
            <w:tcW w:type="dxa" w:w="792"/>
            <w:vAlign w:val="center"/>
          </w:tcPr>
          <w:p>
            <w:r/>
            <w:r>
              <w:rPr>
                <w:rFonts w:ascii="Aptos" w:hAnsi="Aptos"/>
                <w:b w:val="0"/>
                <w:sz w:val="16"/>
              </w:rPr>
              <w:t>2</w:t>
            </w:r>
          </w:p>
        </w:tc>
        <w:tc>
          <w:tcPr>
            <w:tcW w:type="dxa" w:w="1224"/>
            <w:vAlign w:val="center"/>
          </w:tcPr>
          <w:p>
            <w:r/>
            <w:r>
              <w:rPr>
                <w:rFonts w:ascii="Aptos" w:hAnsi="Aptos"/>
                <w:b w:val="0"/>
                <w:sz w:val="16"/>
              </w:rPr>
              <w:t>+5.5%</w:t>
            </w:r>
          </w:p>
        </w:tc>
        <w:tc>
          <w:tcPr>
            <w:tcW w:type="dxa" w:w="1944"/>
            <w:vAlign w:val="center"/>
          </w:tcPr>
          <w:p>
            <w:r/>
            <w:r>
              <w:rPr>
                <w:rFonts w:ascii="Aptos" w:hAnsi="Aptos"/>
                <w:b w:val="0"/>
                <w:sz w:val="16"/>
              </w:rPr>
              <w:t>Persistent premium</w:t>
            </w:r>
          </w:p>
        </w:tc>
        <w:tc>
          <w:tcPr>
            <w:tcW w:type="dxa" w:w="1944"/>
            <w:vAlign w:val="center"/>
          </w:tcPr>
          <w:p>
            <w:r/>
            <w:r>
              <w:rPr>
                <w:rFonts w:ascii="Aptos" w:hAnsi="Aptos"/>
                <w:b w:val="0"/>
                <w:sz w:val="16"/>
              </w:rPr>
              <w:t>Moderate evidence</w:t>
            </w:r>
          </w:p>
        </w:tc>
      </w:tr>
    </w:tbl>
    <w:p>
      <w:pPr>
        <w:spacing w:after="20"/>
      </w:pPr>
    </w:p>
    <w:p>
      <w:pPr>
        <w:spacing w:after="80" w:line="240" w:lineRule="auto"/>
      </w:pPr>
      <w:r>
        <w:rPr>
          <w:rFonts w:ascii="Aptos" w:hAnsi="Aptos"/>
          <w:sz w:val="19"/>
        </w:rPr>
        <w:t>Running Shoes is the strongest persistent premium signal at +12.8% across two observations. Formal Shirt averages +5.5% across three observations. On the discount side, Face Serum averages -10.0% across three observations and USB-C Charger 65W averages -7.5% across four observations. These products deserve review, but small sample sizes and platform differences should be considered.</w:t>
      </w:r>
    </w:p>
    <w:p>
      <w:r>
        <w:br w:type="page"/>
      </w:r>
    </w:p>
    <w:p>
      <w:pPr>
        <w:spacing w:before="40" w:after="80"/>
      </w:pPr>
      <w:r>
        <w:rPr>
          <w:rFonts w:ascii="Aptos Display" w:hAnsi="Aptos Display"/>
          <w:b/>
          <w:color w:val="17365D"/>
          <w:sz w:val="30"/>
        </w:rPr>
        <w:t>3. Latest Weekly Brief and Recommendations</w:t>
      </w:r>
    </w:p>
    <w:p>
      <w:pPr>
        <w:spacing w:after="80" w:line="240" w:lineRule="auto"/>
      </w:pPr>
      <w:r>
        <w:rPr>
          <w:rFonts w:ascii="Aptos" w:hAnsi="Aptos"/>
          <w:sz w:val="19"/>
        </w:rPr>
        <w:t>Latest week analysed: 16 February 2026. There are 10 comparable observations: 3 overpriced and 7 underpriced. The average gap is -5.4% and same-platform coverage is 70%.</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2376"/>
            <w:vAlign w:val="center"/>
            <w:shd w:fill="4472C4"/>
          </w:tcPr>
          <w:p>
            <w:r/>
            <w:r>
              <w:rPr>
                <w:rFonts w:ascii="Aptos" w:hAnsi="Aptos"/>
                <w:b/>
                <w:color w:val="FFFFFF"/>
                <w:sz w:val="15"/>
              </w:rPr>
              <w:t>Product</w:t>
            </w:r>
          </w:p>
        </w:tc>
        <w:tc>
          <w:tcPr>
            <w:tcW w:type="dxa" w:w="1728"/>
            <w:vAlign w:val="center"/>
            <w:shd w:fill="4472C4"/>
          </w:tcPr>
          <w:p>
            <w:r/>
            <w:r>
              <w:rPr>
                <w:rFonts w:ascii="Aptos" w:hAnsi="Aptos"/>
                <w:b/>
                <w:color w:val="FFFFFF"/>
                <w:sz w:val="15"/>
              </w:rPr>
              <w:t>Category</w:t>
            </w:r>
          </w:p>
        </w:tc>
        <w:tc>
          <w:tcPr>
            <w:tcW w:type="dxa" w:w="1296"/>
            <w:vAlign w:val="center"/>
            <w:shd w:fill="4472C4"/>
          </w:tcPr>
          <w:p>
            <w:r/>
            <w:r>
              <w:rPr>
                <w:rFonts w:ascii="Aptos" w:hAnsi="Aptos"/>
                <w:b/>
                <w:color w:val="FFFFFF"/>
                <w:sz w:val="15"/>
              </w:rPr>
              <w:t>Our price</w:t>
            </w:r>
          </w:p>
        </w:tc>
        <w:tc>
          <w:tcPr>
            <w:tcW w:type="dxa" w:w="1440"/>
            <w:vAlign w:val="center"/>
            <w:shd w:fill="4472C4"/>
          </w:tcPr>
          <w:p>
            <w:r/>
            <w:r>
              <w:rPr>
                <w:rFonts w:ascii="Aptos" w:hAnsi="Aptos"/>
                <w:b/>
                <w:color w:val="FFFFFF"/>
                <w:sz w:val="15"/>
              </w:rPr>
              <w:t>Benchmark</w:t>
            </w:r>
          </w:p>
        </w:tc>
        <w:tc>
          <w:tcPr>
            <w:tcW w:type="dxa" w:w="936"/>
            <w:vAlign w:val="center"/>
            <w:shd w:fill="4472C4"/>
          </w:tcPr>
          <w:p>
            <w:r/>
            <w:r>
              <w:rPr>
                <w:rFonts w:ascii="Aptos" w:hAnsi="Aptos"/>
                <w:b/>
                <w:color w:val="FFFFFF"/>
                <w:sz w:val="15"/>
              </w:rPr>
              <w:t>Gap</w:t>
            </w:r>
          </w:p>
        </w:tc>
        <w:tc>
          <w:tcPr>
            <w:tcW w:type="dxa" w:w="2088"/>
            <w:vAlign w:val="center"/>
            <w:shd w:fill="4472C4"/>
          </w:tcPr>
          <w:p>
            <w:r/>
            <w:r>
              <w:rPr>
                <w:rFonts w:ascii="Aptos" w:hAnsi="Aptos"/>
                <w:b/>
                <w:color w:val="FFFFFF"/>
                <w:sz w:val="15"/>
              </w:rPr>
              <w:t>Suggested review</w:t>
            </w:r>
          </w:p>
        </w:tc>
      </w:tr>
      <w:tr>
        <w:tc>
          <w:tcPr>
            <w:tcW w:type="dxa" w:w="2376"/>
            <w:vAlign w:val="center"/>
          </w:tcPr>
          <w:p>
            <w:r/>
            <w:r>
              <w:rPr>
                <w:rFonts w:ascii="Aptos" w:hAnsi="Aptos"/>
                <w:b w:val="0"/>
                <w:sz w:val="15"/>
              </w:rPr>
              <w:t>Formal Shirt</w:t>
            </w:r>
          </w:p>
        </w:tc>
        <w:tc>
          <w:tcPr>
            <w:tcW w:type="dxa" w:w="1728"/>
            <w:vAlign w:val="center"/>
          </w:tcPr>
          <w:p>
            <w:r/>
            <w:r>
              <w:rPr>
                <w:rFonts w:ascii="Aptos" w:hAnsi="Aptos"/>
                <w:b w:val="0"/>
                <w:sz w:val="15"/>
              </w:rPr>
              <w:t>Fashion</w:t>
            </w:r>
          </w:p>
        </w:tc>
        <w:tc>
          <w:tcPr>
            <w:tcW w:type="dxa" w:w="1296"/>
            <w:vAlign w:val="center"/>
          </w:tcPr>
          <w:p>
            <w:r/>
            <w:r>
              <w:rPr>
                <w:rFonts w:ascii="Aptos" w:hAnsi="Aptos"/>
                <w:b w:val="0"/>
                <w:sz w:val="15"/>
              </w:rPr>
              <w:t>₹1,697</w:t>
            </w:r>
          </w:p>
        </w:tc>
        <w:tc>
          <w:tcPr>
            <w:tcW w:type="dxa" w:w="1440"/>
            <w:vAlign w:val="center"/>
          </w:tcPr>
          <w:p>
            <w:r/>
            <w:r>
              <w:rPr>
                <w:rFonts w:ascii="Aptos" w:hAnsi="Aptos"/>
                <w:b w:val="0"/>
                <w:sz w:val="15"/>
              </w:rPr>
              <w:t>₹1,573</w:t>
            </w:r>
          </w:p>
        </w:tc>
        <w:tc>
          <w:tcPr>
            <w:tcW w:type="dxa" w:w="936"/>
            <w:vAlign w:val="center"/>
          </w:tcPr>
          <w:p>
            <w:r/>
            <w:r>
              <w:rPr>
                <w:rFonts w:ascii="Aptos" w:hAnsi="Aptos"/>
                <w:b w:val="0"/>
                <w:sz w:val="15"/>
              </w:rPr>
              <w:t>+7.9%</w:t>
            </w:r>
          </w:p>
        </w:tc>
        <w:tc>
          <w:tcPr>
            <w:tcW w:type="dxa" w:w="2088"/>
            <w:vAlign w:val="center"/>
          </w:tcPr>
          <w:p>
            <w:r/>
            <w:r>
              <w:rPr>
                <w:rFonts w:ascii="Aptos" w:hAnsi="Aptos"/>
                <w:b w:val="0"/>
                <w:sz w:val="15"/>
              </w:rPr>
              <w:t>Review premium / promo</w:t>
            </w:r>
          </w:p>
        </w:tc>
      </w:tr>
      <w:tr>
        <w:tc>
          <w:tcPr>
            <w:tcW w:type="dxa" w:w="2376"/>
            <w:vAlign w:val="center"/>
          </w:tcPr>
          <w:p>
            <w:r/>
            <w:r>
              <w:rPr>
                <w:rFonts w:ascii="Aptos" w:hAnsi="Aptos"/>
                <w:b w:val="0"/>
                <w:sz w:val="15"/>
              </w:rPr>
              <w:t>Cold-pressed Oil 1L</w:t>
            </w:r>
          </w:p>
        </w:tc>
        <w:tc>
          <w:tcPr>
            <w:tcW w:type="dxa" w:w="1728"/>
            <w:vAlign w:val="center"/>
          </w:tcPr>
          <w:p>
            <w:r/>
            <w:r>
              <w:rPr>
                <w:rFonts w:ascii="Aptos" w:hAnsi="Aptos"/>
                <w:b w:val="0"/>
                <w:sz w:val="15"/>
              </w:rPr>
              <w:t>Grocery</w:t>
            </w:r>
          </w:p>
        </w:tc>
        <w:tc>
          <w:tcPr>
            <w:tcW w:type="dxa" w:w="1296"/>
            <w:vAlign w:val="center"/>
          </w:tcPr>
          <w:p>
            <w:r/>
            <w:r>
              <w:rPr>
                <w:rFonts w:ascii="Aptos" w:hAnsi="Aptos"/>
                <w:b w:val="0"/>
                <w:sz w:val="15"/>
              </w:rPr>
              <w:t>₹405</w:t>
            </w:r>
          </w:p>
        </w:tc>
        <w:tc>
          <w:tcPr>
            <w:tcW w:type="dxa" w:w="1440"/>
            <w:vAlign w:val="center"/>
          </w:tcPr>
          <w:p>
            <w:r/>
            <w:r>
              <w:rPr>
                <w:rFonts w:ascii="Aptos" w:hAnsi="Aptos"/>
                <w:b w:val="0"/>
                <w:sz w:val="15"/>
              </w:rPr>
              <w:t>₹432</w:t>
            </w:r>
          </w:p>
        </w:tc>
        <w:tc>
          <w:tcPr>
            <w:tcW w:type="dxa" w:w="936"/>
            <w:vAlign w:val="center"/>
          </w:tcPr>
          <w:p>
            <w:r/>
            <w:r>
              <w:rPr>
                <w:rFonts w:ascii="Aptos" w:hAnsi="Aptos"/>
                <w:b w:val="0"/>
                <w:sz w:val="15"/>
              </w:rPr>
              <w:t>-6.3%</w:t>
            </w:r>
          </w:p>
        </w:tc>
        <w:tc>
          <w:tcPr>
            <w:tcW w:type="dxa" w:w="2088"/>
            <w:vAlign w:val="center"/>
          </w:tcPr>
          <w:p>
            <w:r/>
            <w:r>
              <w:rPr>
                <w:rFonts w:ascii="Aptos" w:hAnsi="Aptos"/>
                <w:b w:val="0"/>
                <w:sz w:val="15"/>
              </w:rPr>
              <w:t>Check margin headroom</w:t>
            </w:r>
          </w:p>
        </w:tc>
      </w:tr>
      <w:tr>
        <w:tc>
          <w:tcPr>
            <w:tcW w:type="dxa" w:w="2376"/>
            <w:vAlign w:val="center"/>
          </w:tcPr>
          <w:p>
            <w:r/>
            <w:r>
              <w:rPr>
                <w:rFonts w:ascii="Aptos" w:hAnsi="Aptos"/>
                <w:b w:val="0"/>
                <w:sz w:val="15"/>
              </w:rPr>
              <w:t>USB-C Charger 65W</w:t>
            </w:r>
          </w:p>
        </w:tc>
        <w:tc>
          <w:tcPr>
            <w:tcW w:type="dxa" w:w="1728"/>
            <w:vAlign w:val="center"/>
          </w:tcPr>
          <w:p>
            <w:r/>
            <w:r>
              <w:rPr>
                <w:rFonts w:ascii="Aptos" w:hAnsi="Aptos"/>
                <w:b w:val="0"/>
                <w:sz w:val="15"/>
              </w:rPr>
              <w:t>Electronics</w:t>
            </w:r>
          </w:p>
        </w:tc>
        <w:tc>
          <w:tcPr>
            <w:tcW w:type="dxa" w:w="1296"/>
            <w:vAlign w:val="center"/>
          </w:tcPr>
          <w:p>
            <w:r/>
            <w:r>
              <w:rPr>
                <w:rFonts w:ascii="Aptos" w:hAnsi="Aptos"/>
                <w:b w:val="0"/>
                <w:sz w:val="15"/>
              </w:rPr>
              <w:t>₹1,326</w:t>
            </w:r>
          </w:p>
        </w:tc>
        <w:tc>
          <w:tcPr>
            <w:tcW w:type="dxa" w:w="1440"/>
            <w:vAlign w:val="center"/>
          </w:tcPr>
          <w:p>
            <w:r/>
            <w:r>
              <w:rPr>
                <w:rFonts w:ascii="Aptos" w:hAnsi="Aptos"/>
                <w:b w:val="0"/>
                <w:sz w:val="15"/>
              </w:rPr>
              <w:t>₹1,464</w:t>
            </w:r>
          </w:p>
        </w:tc>
        <w:tc>
          <w:tcPr>
            <w:tcW w:type="dxa" w:w="936"/>
            <w:vAlign w:val="center"/>
          </w:tcPr>
          <w:p>
            <w:r/>
            <w:r>
              <w:rPr>
                <w:rFonts w:ascii="Aptos" w:hAnsi="Aptos"/>
                <w:b w:val="0"/>
                <w:sz w:val="15"/>
              </w:rPr>
              <w:t>-9.4%</w:t>
            </w:r>
          </w:p>
        </w:tc>
        <w:tc>
          <w:tcPr>
            <w:tcW w:type="dxa" w:w="2088"/>
            <w:vAlign w:val="center"/>
          </w:tcPr>
          <w:p>
            <w:r/>
            <w:r>
              <w:rPr>
                <w:rFonts w:ascii="Aptos" w:hAnsi="Aptos"/>
                <w:b w:val="0"/>
                <w:sz w:val="15"/>
              </w:rPr>
              <w:t>Check margin headroom</w:t>
            </w:r>
          </w:p>
        </w:tc>
      </w:tr>
      <w:tr>
        <w:tc>
          <w:tcPr>
            <w:tcW w:type="dxa" w:w="2376"/>
            <w:vAlign w:val="center"/>
          </w:tcPr>
          <w:p>
            <w:r/>
            <w:r>
              <w:rPr>
                <w:rFonts w:ascii="Aptos" w:hAnsi="Aptos"/>
                <w:b w:val="0"/>
                <w:sz w:val="15"/>
              </w:rPr>
              <w:t>Cold-pressed Oil 1L</w:t>
            </w:r>
          </w:p>
        </w:tc>
        <w:tc>
          <w:tcPr>
            <w:tcW w:type="dxa" w:w="1728"/>
            <w:vAlign w:val="center"/>
          </w:tcPr>
          <w:p>
            <w:r/>
            <w:r>
              <w:rPr>
                <w:rFonts w:ascii="Aptos" w:hAnsi="Aptos"/>
                <w:b w:val="0"/>
                <w:sz w:val="15"/>
              </w:rPr>
              <w:t>Grocery</w:t>
            </w:r>
          </w:p>
        </w:tc>
        <w:tc>
          <w:tcPr>
            <w:tcW w:type="dxa" w:w="1296"/>
            <w:vAlign w:val="center"/>
          </w:tcPr>
          <w:p>
            <w:r/>
            <w:r>
              <w:rPr>
                <w:rFonts w:ascii="Aptos" w:hAnsi="Aptos"/>
                <w:b w:val="0"/>
                <w:sz w:val="15"/>
              </w:rPr>
              <w:t>₹305</w:t>
            </w:r>
          </w:p>
        </w:tc>
        <w:tc>
          <w:tcPr>
            <w:tcW w:type="dxa" w:w="1440"/>
            <w:vAlign w:val="center"/>
          </w:tcPr>
          <w:p>
            <w:r/>
            <w:r>
              <w:rPr>
                <w:rFonts w:ascii="Aptos" w:hAnsi="Aptos"/>
                <w:b w:val="0"/>
                <w:sz w:val="15"/>
              </w:rPr>
              <w:t>₹350</w:t>
            </w:r>
          </w:p>
        </w:tc>
        <w:tc>
          <w:tcPr>
            <w:tcW w:type="dxa" w:w="936"/>
            <w:vAlign w:val="center"/>
          </w:tcPr>
          <w:p>
            <w:r/>
            <w:r>
              <w:rPr>
                <w:rFonts w:ascii="Aptos" w:hAnsi="Aptos"/>
                <w:b w:val="0"/>
                <w:sz w:val="15"/>
              </w:rPr>
              <w:t>-12.8%</w:t>
            </w:r>
          </w:p>
        </w:tc>
        <w:tc>
          <w:tcPr>
            <w:tcW w:type="dxa" w:w="2088"/>
            <w:vAlign w:val="center"/>
          </w:tcPr>
          <w:p>
            <w:r/>
            <w:r>
              <w:rPr>
                <w:rFonts w:ascii="Aptos" w:hAnsi="Aptos"/>
                <w:b w:val="0"/>
                <w:sz w:val="15"/>
              </w:rPr>
              <w:t>Check margin headroom</w:t>
            </w:r>
          </w:p>
        </w:tc>
      </w:tr>
      <w:tr>
        <w:tc>
          <w:tcPr>
            <w:tcW w:type="dxa" w:w="2376"/>
            <w:vAlign w:val="center"/>
          </w:tcPr>
          <w:p>
            <w:r/>
            <w:r>
              <w:rPr>
                <w:rFonts w:ascii="Aptos" w:hAnsi="Aptos"/>
                <w:b w:val="0"/>
                <w:sz w:val="15"/>
              </w:rPr>
              <w:t>Beard Trimmer</w:t>
            </w:r>
          </w:p>
        </w:tc>
        <w:tc>
          <w:tcPr>
            <w:tcW w:type="dxa" w:w="1728"/>
            <w:vAlign w:val="center"/>
          </w:tcPr>
          <w:p>
            <w:r/>
            <w:r>
              <w:rPr>
                <w:rFonts w:ascii="Aptos" w:hAnsi="Aptos"/>
                <w:b w:val="0"/>
                <w:sz w:val="15"/>
              </w:rPr>
              <w:t>Beauty</w:t>
            </w:r>
          </w:p>
        </w:tc>
        <w:tc>
          <w:tcPr>
            <w:tcW w:type="dxa" w:w="1296"/>
            <w:vAlign w:val="center"/>
          </w:tcPr>
          <w:p>
            <w:r/>
            <w:r>
              <w:rPr>
                <w:rFonts w:ascii="Aptos" w:hAnsi="Aptos"/>
                <w:b w:val="0"/>
                <w:sz w:val="15"/>
              </w:rPr>
              <w:t>₹1,353</w:t>
            </w:r>
          </w:p>
        </w:tc>
        <w:tc>
          <w:tcPr>
            <w:tcW w:type="dxa" w:w="1440"/>
            <w:vAlign w:val="center"/>
          </w:tcPr>
          <w:p>
            <w:r/>
            <w:r>
              <w:rPr>
                <w:rFonts w:ascii="Aptos" w:hAnsi="Aptos"/>
                <w:b w:val="0"/>
                <w:sz w:val="15"/>
              </w:rPr>
              <w:t>₹1,554</w:t>
            </w:r>
          </w:p>
        </w:tc>
        <w:tc>
          <w:tcPr>
            <w:tcW w:type="dxa" w:w="936"/>
            <w:vAlign w:val="center"/>
          </w:tcPr>
          <w:p>
            <w:r/>
            <w:r>
              <w:rPr>
                <w:rFonts w:ascii="Aptos" w:hAnsi="Aptos"/>
                <w:b w:val="0"/>
                <w:sz w:val="15"/>
              </w:rPr>
              <w:t>-13.0%</w:t>
            </w:r>
          </w:p>
        </w:tc>
        <w:tc>
          <w:tcPr>
            <w:tcW w:type="dxa" w:w="2088"/>
            <w:vAlign w:val="center"/>
          </w:tcPr>
          <w:p>
            <w:r/>
            <w:r>
              <w:rPr>
                <w:rFonts w:ascii="Aptos" w:hAnsi="Aptos"/>
                <w:b w:val="0"/>
                <w:sz w:val="15"/>
              </w:rPr>
              <w:t>Check margin headroom</w:t>
            </w:r>
          </w:p>
        </w:tc>
      </w:tr>
      <w:tr>
        <w:tc>
          <w:tcPr>
            <w:tcW w:type="dxa" w:w="2376"/>
            <w:vAlign w:val="center"/>
          </w:tcPr>
          <w:p>
            <w:r/>
            <w:r>
              <w:rPr>
                <w:rFonts w:ascii="Aptos" w:hAnsi="Aptos"/>
                <w:b w:val="0"/>
                <w:sz w:val="15"/>
              </w:rPr>
              <w:t>Pressure Cooker 5L</w:t>
            </w:r>
          </w:p>
        </w:tc>
        <w:tc>
          <w:tcPr>
            <w:tcW w:type="dxa" w:w="1728"/>
            <w:vAlign w:val="center"/>
          </w:tcPr>
          <w:p>
            <w:r/>
            <w:r>
              <w:rPr>
                <w:rFonts w:ascii="Aptos" w:hAnsi="Aptos"/>
                <w:b w:val="0"/>
                <w:sz w:val="15"/>
              </w:rPr>
              <w:t>Home &amp; Kitchen</w:t>
            </w:r>
          </w:p>
        </w:tc>
        <w:tc>
          <w:tcPr>
            <w:tcW w:type="dxa" w:w="1296"/>
            <w:vAlign w:val="center"/>
          </w:tcPr>
          <w:p>
            <w:r/>
            <w:r>
              <w:rPr>
                <w:rFonts w:ascii="Aptos" w:hAnsi="Aptos"/>
                <w:b w:val="0"/>
                <w:sz w:val="15"/>
              </w:rPr>
              <w:t>₹1,315</w:t>
            </w:r>
          </w:p>
        </w:tc>
        <w:tc>
          <w:tcPr>
            <w:tcW w:type="dxa" w:w="1440"/>
            <w:vAlign w:val="center"/>
          </w:tcPr>
          <w:p>
            <w:r/>
            <w:r>
              <w:rPr>
                <w:rFonts w:ascii="Aptos" w:hAnsi="Aptos"/>
                <w:b w:val="0"/>
                <w:sz w:val="15"/>
              </w:rPr>
              <w:t>₹1,567</w:t>
            </w:r>
          </w:p>
        </w:tc>
        <w:tc>
          <w:tcPr>
            <w:tcW w:type="dxa" w:w="936"/>
            <w:vAlign w:val="center"/>
          </w:tcPr>
          <w:p>
            <w:r/>
            <w:r>
              <w:rPr>
                <w:rFonts w:ascii="Aptos" w:hAnsi="Aptos"/>
                <w:b w:val="0"/>
                <w:sz w:val="15"/>
              </w:rPr>
              <w:t>-16.1%</w:t>
            </w:r>
          </w:p>
        </w:tc>
        <w:tc>
          <w:tcPr>
            <w:tcW w:type="dxa" w:w="2088"/>
            <w:vAlign w:val="center"/>
          </w:tcPr>
          <w:p>
            <w:r/>
            <w:r>
              <w:rPr>
                <w:rFonts w:ascii="Aptos" w:hAnsi="Aptos"/>
                <w:b w:val="0"/>
                <w:sz w:val="15"/>
              </w:rPr>
              <w:t>Check margin headroom</w:t>
            </w:r>
          </w:p>
        </w:tc>
      </w:tr>
    </w:tbl>
    <w:p>
      <w:pPr>
        <w:spacing w:after="20"/>
      </w:pPr>
    </w:p>
    <w:p>
      <w:pPr>
        <w:spacing w:before="40" w:after="80"/>
      </w:pPr>
      <w:r>
        <w:rPr>
          <w:rFonts w:ascii="Aptos Display" w:hAnsi="Aptos Display"/>
          <w:b/>
          <w:color w:val="17365D"/>
          <w:sz w:val="23"/>
        </w:rPr>
        <w:t>Recommended actions</w:t>
      </w:r>
    </w:p>
    <w:p>
      <w:pPr>
        <w:pStyle w:val="ListBullet"/>
        <w:spacing w:after="40"/>
        <w:ind w:left="288"/>
      </w:pPr>
      <w:r>
        <w:rPr>
          <w:rFonts w:ascii="Aptos" w:hAnsi="Aptos"/>
          <w:sz w:val="18"/>
        </w:rPr>
        <w:t>Formal Shirt: latest-week gap is +7.9%. Review the price or promotion; retain the premium only if product positioning or margin strategy supports it.</w:t>
      </w:r>
    </w:p>
    <w:p>
      <w:pPr>
        <w:pStyle w:val="ListBullet"/>
        <w:spacing w:after="40"/>
        <w:ind w:left="288"/>
      </w:pPr>
      <w:r>
        <w:rPr>
          <w:rFonts w:ascii="Aptos" w:hAnsi="Aptos"/>
          <w:sz w:val="18"/>
        </w:rPr>
        <w:t>Pressure Cooker 5L: latest-week gap is -16.1%. Check margin headroom before maintaining such a large discount.</w:t>
      </w:r>
    </w:p>
    <w:p>
      <w:pPr>
        <w:pStyle w:val="ListBullet"/>
        <w:spacing w:after="40"/>
        <w:ind w:left="288"/>
      </w:pPr>
      <w:r>
        <w:rPr>
          <w:rFonts w:ascii="Aptos" w:hAnsi="Aptos"/>
          <w:sz w:val="18"/>
        </w:rPr>
        <w:t>Beard Trimmer (Marketplace): latest-week gap is -13.0%. Same-platform evidence is available, so this is a stronger candidate for margin review.</w:t>
      </w:r>
    </w:p>
    <w:p>
      <w:pPr>
        <w:pStyle w:val="ListBullet"/>
        <w:spacing w:after="40"/>
        <w:ind w:left="288"/>
      </w:pPr>
      <w:r>
        <w:rPr>
          <w:rFonts w:ascii="Aptos" w:hAnsi="Aptos"/>
          <w:sz w:val="18"/>
        </w:rPr>
        <w:t>Cold-pressed Oil 1L: one latest-week observation is -12.8%. Validate the repeated product observations separately rather than averaging away variation.</w:t>
      </w:r>
    </w:p>
    <w:p>
      <w:pPr>
        <w:pStyle w:val="ListBullet"/>
        <w:spacing w:after="40"/>
        <w:ind w:left="288"/>
      </w:pPr>
      <w:r>
        <w:rPr>
          <w:rFonts w:ascii="Aptos" w:hAnsi="Aptos"/>
          <w:sz w:val="18"/>
        </w:rPr>
        <w:t>USB-C Charger 65W: latest-week gap is -9.4% and the product also shows a persistent -7.5% average gap across four observations; this is one of the stronger repeat discount signals.</w:t>
      </w:r>
    </w:p>
    <w:p>
      <w:pPr>
        <w:spacing w:after="80" w:line="240" w:lineRule="auto"/>
      </w:pPr>
      <w:r>
        <w:rPr>
          <w:rFonts w:ascii="Aptos" w:hAnsi="Aptos"/>
          <w:sz w:val="19"/>
        </w:rPr>
        <w:t>Management should avoid automatic repricing. A price move should follow a commercial check of stock status, promotions, competitor platform, customer value proposition and margin impact.</w:t>
      </w:r>
    </w:p>
    <w:p>
      <w:r>
        <w:br w:type="page"/>
      </w:r>
    </w:p>
    <w:p>
      <w:pPr>
        <w:spacing w:before="40" w:after="80"/>
      </w:pPr>
      <w:r>
        <w:rPr>
          <w:rFonts w:ascii="Aptos Display" w:hAnsi="Aptos Display"/>
          <w:b/>
          <w:color w:val="17365D"/>
          <w:sz w:val="30"/>
        </w:rPr>
        <w:t>4. Verification, Responsible AI, Limitations and Reflection</w:t>
      </w:r>
    </w:p>
    <w:p>
      <w:pPr>
        <w:spacing w:before="40" w:after="80"/>
      </w:pPr>
      <w:r>
        <w:rPr>
          <w:rFonts w:ascii="Aptos Display" w:hAnsi="Aptos Display"/>
          <w:b/>
          <w:color w:val="17365D"/>
          <w:sz w:val="23"/>
        </w:rPr>
        <w:t>Verification performed</w:t>
      </w:r>
    </w:p>
    <w:tbl>
      <w:tblPr>
        <w:tblStyle w:val="TableGrid"/>
        <w:tblW w:type="auto" w:w="0"/>
        <w:jc w:val="center"/>
        <w:tblLook w:firstColumn="1" w:firstRow="1" w:lastColumn="0" w:lastRow="0" w:noHBand="0" w:noVBand="1" w:val="04A0"/>
      </w:tblPr>
      <w:tblGrid>
        <w:gridCol w:w="3552"/>
        <w:gridCol w:w="3552"/>
        <w:gridCol w:w="3552"/>
      </w:tblGrid>
      <w:tr>
        <w:tc>
          <w:tcPr>
            <w:tcW w:type="dxa" w:w="2448"/>
            <w:vAlign w:val="center"/>
            <w:shd w:fill="4472C4"/>
          </w:tcPr>
          <w:p>
            <w:r/>
            <w:r>
              <w:rPr>
                <w:rFonts w:ascii="Aptos" w:hAnsi="Aptos"/>
                <w:b/>
                <w:color w:val="FFFFFF"/>
                <w:sz w:val="15"/>
              </w:rPr>
              <w:t>Check</w:t>
            </w:r>
          </w:p>
        </w:tc>
        <w:tc>
          <w:tcPr>
            <w:tcW w:type="dxa" w:w="1008"/>
            <w:vAlign w:val="center"/>
            <w:shd w:fill="4472C4"/>
          </w:tcPr>
          <w:p>
            <w:r/>
            <w:r>
              <w:rPr>
                <w:rFonts w:ascii="Aptos" w:hAnsi="Aptos"/>
                <w:b/>
                <w:color w:val="FFFFFF"/>
                <w:sz w:val="15"/>
              </w:rPr>
              <w:t>Status</w:t>
            </w:r>
          </w:p>
        </w:tc>
        <w:tc>
          <w:tcPr>
            <w:tcW w:type="dxa" w:w="5760"/>
            <w:vAlign w:val="center"/>
            <w:shd w:fill="4472C4"/>
          </w:tcPr>
          <w:p>
            <w:r/>
            <w:r>
              <w:rPr>
                <w:rFonts w:ascii="Aptos" w:hAnsi="Aptos"/>
                <w:b/>
                <w:color w:val="FFFFFF"/>
                <w:sz w:val="15"/>
              </w:rPr>
              <w:t>Result</w:t>
            </w:r>
          </w:p>
        </w:tc>
      </w:tr>
      <w:tr>
        <w:tc>
          <w:tcPr>
            <w:tcW w:type="dxa" w:w="2448"/>
            <w:vAlign w:val="center"/>
          </w:tcPr>
          <w:p>
            <w:r/>
            <w:r>
              <w:rPr>
                <w:rFonts w:ascii="Aptos" w:hAnsi="Aptos"/>
                <w:b w:val="0"/>
                <w:sz w:val="15"/>
              </w:rPr>
              <w:t>Source row count</w:t>
            </w:r>
          </w:p>
        </w:tc>
        <w:tc>
          <w:tcPr>
            <w:tcW w:type="dxa" w:w="1008"/>
            <w:vAlign w:val="center"/>
          </w:tcPr>
          <w:p>
            <w:r/>
            <w:r>
              <w:rPr>
                <w:rFonts w:ascii="Aptos" w:hAnsi="Aptos"/>
                <w:b w:val="0"/>
                <w:sz w:val="15"/>
              </w:rPr>
              <w:t>PASS</w:t>
            </w:r>
          </w:p>
        </w:tc>
        <w:tc>
          <w:tcPr>
            <w:tcW w:type="dxa" w:w="5760"/>
            <w:vAlign w:val="center"/>
          </w:tcPr>
          <w:p>
            <w:r/>
            <w:r>
              <w:rPr>
                <w:rFonts w:ascii="Aptos" w:hAnsi="Aptos"/>
                <w:b w:val="0"/>
                <w:sz w:val="15"/>
              </w:rPr>
              <w:t>Found 400 rows; task brief says 400.</w:t>
            </w:r>
          </w:p>
        </w:tc>
      </w:tr>
      <w:tr>
        <w:tc>
          <w:tcPr>
            <w:tcW w:type="dxa" w:w="2448"/>
            <w:vAlign w:val="center"/>
          </w:tcPr>
          <w:p>
            <w:r/>
            <w:r>
              <w:rPr>
                <w:rFonts w:ascii="Aptos" w:hAnsi="Aptos"/>
                <w:b w:val="0"/>
                <w:sz w:val="15"/>
              </w:rPr>
              <w:t>Complete observations</w:t>
            </w:r>
          </w:p>
        </w:tc>
        <w:tc>
          <w:tcPr>
            <w:tcW w:type="dxa" w:w="1008"/>
            <w:vAlign w:val="center"/>
          </w:tcPr>
          <w:p>
            <w:r/>
            <w:r>
              <w:rPr>
                <w:rFonts w:ascii="Aptos" w:hAnsi="Aptos"/>
                <w:b w:val="0"/>
                <w:sz w:val="15"/>
              </w:rPr>
              <w:t>PASS</w:t>
            </w:r>
          </w:p>
        </w:tc>
        <w:tc>
          <w:tcPr>
            <w:tcW w:type="dxa" w:w="5760"/>
            <w:vAlign w:val="center"/>
          </w:tcPr>
          <w:p>
            <w:r/>
            <w:r>
              <w:rPr>
                <w:rFonts w:ascii="Aptos" w:hAnsi="Aptos"/>
                <w:b w:val="0"/>
                <w:sz w:val="15"/>
              </w:rPr>
              <w:t>Built 100 complete Our Brand + 3 competitor observations.</w:t>
            </w:r>
          </w:p>
        </w:tc>
      </w:tr>
      <w:tr>
        <w:tc>
          <w:tcPr>
            <w:tcW w:type="dxa" w:w="2448"/>
            <w:vAlign w:val="center"/>
          </w:tcPr>
          <w:p>
            <w:r/>
            <w:r>
              <w:rPr>
                <w:rFonts w:ascii="Aptos" w:hAnsi="Aptos"/>
                <w:b w:val="0"/>
                <w:sz w:val="15"/>
              </w:rPr>
              <w:t>Expected seller set</w:t>
            </w:r>
          </w:p>
        </w:tc>
        <w:tc>
          <w:tcPr>
            <w:tcW w:type="dxa" w:w="1008"/>
            <w:vAlign w:val="center"/>
          </w:tcPr>
          <w:p>
            <w:r/>
            <w:r>
              <w:rPr>
                <w:rFonts w:ascii="Aptos" w:hAnsi="Aptos"/>
                <w:b w:val="0"/>
                <w:sz w:val="15"/>
              </w:rPr>
              <w:t>PASS</w:t>
            </w:r>
          </w:p>
        </w:tc>
        <w:tc>
          <w:tcPr>
            <w:tcW w:type="dxa" w:w="5760"/>
            <w:vAlign w:val="center"/>
          </w:tcPr>
          <w:p>
            <w:r/>
            <w:r>
              <w:rPr>
                <w:rFonts w:ascii="Aptos" w:hAnsi="Aptos"/>
                <w:b w:val="0"/>
                <w:sz w:val="15"/>
              </w:rPr>
              <w:t>Sellers: ['Competitor A', 'Competitor B', 'Competitor C', 'Our Brand']</w:t>
            </w:r>
          </w:p>
        </w:tc>
      </w:tr>
      <w:tr>
        <w:tc>
          <w:tcPr>
            <w:tcW w:type="dxa" w:w="2448"/>
            <w:vAlign w:val="center"/>
          </w:tcPr>
          <w:p>
            <w:r/>
            <w:r>
              <w:rPr>
                <w:rFonts w:ascii="Aptos" w:hAnsi="Aptos"/>
                <w:b w:val="0"/>
                <w:sz w:val="15"/>
              </w:rPr>
              <w:t>No missing selling prices</w:t>
            </w:r>
          </w:p>
        </w:tc>
        <w:tc>
          <w:tcPr>
            <w:tcW w:type="dxa" w:w="1008"/>
            <w:vAlign w:val="center"/>
          </w:tcPr>
          <w:p>
            <w:r/>
            <w:r>
              <w:rPr>
                <w:rFonts w:ascii="Aptos" w:hAnsi="Aptos"/>
                <w:b w:val="0"/>
                <w:sz w:val="15"/>
              </w:rPr>
              <w:t>PASS</w:t>
            </w:r>
          </w:p>
        </w:tc>
        <w:tc>
          <w:tcPr>
            <w:tcW w:type="dxa" w:w="5760"/>
            <w:vAlign w:val="center"/>
          </w:tcPr>
          <w:p>
            <w:r/>
            <w:r>
              <w:rPr>
                <w:rFonts w:ascii="Aptos" w:hAnsi="Aptos"/>
                <w:b w:val="0"/>
                <w:sz w:val="15"/>
              </w:rPr>
              <w:t>Missing/non-numeric: 0</w:t>
            </w:r>
          </w:p>
        </w:tc>
      </w:tr>
      <w:tr>
        <w:tc>
          <w:tcPr>
            <w:tcW w:type="dxa" w:w="2448"/>
            <w:vAlign w:val="center"/>
          </w:tcPr>
          <w:p>
            <w:r/>
            <w:r>
              <w:rPr>
                <w:rFonts w:ascii="Aptos" w:hAnsi="Aptos"/>
                <w:b w:val="0"/>
                <w:sz w:val="15"/>
              </w:rPr>
              <w:t>Three-competitor benchmark</w:t>
            </w:r>
          </w:p>
        </w:tc>
        <w:tc>
          <w:tcPr>
            <w:tcW w:type="dxa" w:w="1008"/>
            <w:vAlign w:val="center"/>
          </w:tcPr>
          <w:p>
            <w:r/>
            <w:r>
              <w:rPr>
                <w:rFonts w:ascii="Aptos" w:hAnsi="Aptos"/>
                <w:b w:val="0"/>
                <w:sz w:val="15"/>
              </w:rPr>
              <w:t>PASS</w:t>
            </w:r>
          </w:p>
        </w:tc>
        <w:tc>
          <w:tcPr>
            <w:tcW w:type="dxa" w:w="5760"/>
            <w:vAlign w:val="center"/>
          </w:tcPr>
          <w:p>
            <w:r/>
            <w:r>
              <w:rPr>
                <w:rFonts w:ascii="Aptos" w:hAnsi="Aptos"/>
                <w:b w:val="0"/>
                <w:sz w:val="15"/>
              </w:rPr>
              <w:t>Benchmark equals mean(Competitor A, B, C) for every observation.</w:t>
            </w:r>
          </w:p>
        </w:tc>
      </w:tr>
      <w:tr>
        <w:tc>
          <w:tcPr>
            <w:tcW w:type="dxa" w:w="2448"/>
            <w:vAlign w:val="center"/>
          </w:tcPr>
          <w:p>
            <w:r/>
            <w:r>
              <w:rPr>
                <w:rFonts w:ascii="Aptos" w:hAnsi="Aptos"/>
                <w:b w:val="0"/>
                <w:sz w:val="15"/>
              </w:rPr>
              <w:t>Gap formula</w:t>
            </w:r>
          </w:p>
        </w:tc>
        <w:tc>
          <w:tcPr>
            <w:tcW w:type="dxa" w:w="1008"/>
            <w:vAlign w:val="center"/>
          </w:tcPr>
          <w:p>
            <w:r/>
            <w:r>
              <w:rPr>
                <w:rFonts w:ascii="Aptos" w:hAnsi="Aptos"/>
                <w:b w:val="0"/>
                <w:sz w:val="15"/>
              </w:rPr>
              <w:t>PASS</w:t>
            </w:r>
          </w:p>
        </w:tc>
        <w:tc>
          <w:tcPr>
            <w:tcW w:type="dxa" w:w="5760"/>
            <w:vAlign w:val="center"/>
          </w:tcPr>
          <w:p>
            <w:r/>
            <w:r>
              <w:rPr>
                <w:rFonts w:ascii="Aptos" w:hAnsi="Aptos"/>
                <w:b w:val="0"/>
                <w:sz w:val="15"/>
              </w:rPr>
              <w:t>price_gap_inr = our_price_inr - competitor_avg_price_inr for every observation.</w:t>
            </w:r>
          </w:p>
        </w:tc>
      </w:tr>
      <w:tr>
        <w:tc>
          <w:tcPr>
            <w:tcW w:type="dxa" w:w="2448"/>
            <w:vAlign w:val="center"/>
          </w:tcPr>
          <w:p>
            <w:r/>
            <w:r>
              <w:rPr>
                <w:rFonts w:ascii="Aptos" w:hAnsi="Aptos"/>
                <w:b w:val="0"/>
                <w:sz w:val="15"/>
              </w:rPr>
              <w:t>Gap % formula</w:t>
            </w:r>
          </w:p>
        </w:tc>
        <w:tc>
          <w:tcPr>
            <w:tcW w:type="dxa" w:w="1008"/>
            <w:vAlign w:val="center"/>
          </w:tcPr>
          <w:p>
            <w:r/>
            <w:r>
              <w:rPr>
                <w:rFonts w:ascii="Aptos" w:hAnsi="Aptos"/>
                <w:b w:val="0"/>
                <w:sz w:val="15"/>
              </w:rPr>
              <w:t>PASS</w:t>
            </w:r>
          </w:p>
        </w:tc>
        <w:tc>
          <w:tcPr>
            <w:tcW w:type="dxa" w:w="5760"/>
            <w:vAlign w:val="center"/>
          </w:tcPr>
          <w:p>
            <w:r/>
            <w:r>
              <w:rPr>
                <w:rFonts w:ascii="Aptos" w:hAnsi="Aptos"/>
                <w:b w:val="0"/>
                <w:sz w:val="15"/>
              </w:rPr>
              <w:t>price_gap_pct = price_gap_inr / competitor_avg_price_inr × 100.</w:t>
            </w:r>
          </w:p>
        </w:tc>
      </w:tr>
      <w:tr>
        <w:tc>
          <w:tcPr>
            <w:tcW w:type="dxa" w:w="2448"/>
            <w:vAlign w:val="center"/>
          </w:tcPr>
          <w:p>
            <w:r/>
            <w:r>
              <w:rPr>
                <w:rFonts w:ascii="Aptos" w:hAnsi="Aptos"/>
                <w:b w:val="0"/>
                <w:sz w:val="15"/>
              </w:rPr>
              <w:t>Three competitors per observation</w:t>
            </w:r>
          </w:p>
        </w:tc>
        <w:tc>
          <w:tcPr>
            <w:tcW w:type="dxa" w:w="1008"/>
            <w:vAlign w:val="center"/>
          </w:tcPr>
          <w:p>
            <w:r/>
            <w:r>
              <w:rPr>
                <w:rFonts w:ascii="Aptos" w:hAnsi="Aptos"/>
                <w:b w:val="0"/>
                <w:sz w:val="15"/>
              </w:rPr>
              <w:t>PASS</w:t>
            </w:r>
          </w:p>
        </w:tc>
        <w:tc>
          <w:tcPr>
            <w:tcW w:type="dxa" w:w="5760"/>
            <w:vAlign w:val="center"/>
          </w:tcPr>
          <w:p>
            <w:r/>
            <w:r>
              <w:rPr>
                <w:rFonts w:ascii="Aptos" w:hAnsi="Aptos"/>
                <w:b w:val="0"/>
                <w:sz w:val="15"/>
              </w:rPr>
              <w:t>Each observation is traceable to exactly three competitor source rows.</w:t>
            </w:r>
          </w:p>
        </w:tc>
      </w:tr>
      <w:tr>
        <w:tc>
          <w:tcPr>
            <w:tcW w:type="dxa" w:w="2448"/>
            <w:vAlign w:val="center"/>
          </w:tcPr>
          <w:p>
            <w:r/>
            <w:r>
              <w:rPr>
                <w:rFonts w:ascii="Aptos" w:hAnsi="Aptos"/>
                <w:b w:val="0"/>
                <w:sz w:val="15"/>
              </w:rPr>
              <w:t>Same-platform logic</w:t>
            </w:r>
          </w:p>
        </w:tc>
        <w:tc>
          <w:tcPr>
            <w:tcW w:type="dxa" w:w="1008"/>
            <w:vAlign w:val="center"/>
          </w:tcPr>
          <w:p>
            <w:r/>
            <w:r>
              <w:rPr>
                <w:rFonts w:ascii="Aptos" w:hAnsi="Aptos"/>
                <w:b w:val="0"/>
                <w:sz w:val="15"/>
              </w:rPr>
              <w:t>PASS</w:t>
            </w:r>
          </w:p>
        </w:tc>
        <w:tc>
          <w:tcPr>
            <w:tcW w:type="dxa" w:w="5760"/>
            <w:vAlign w:val="center"/>
          </w:tcPr>
          <w:p>
            <w:r/>
            <w:r>
              <w:rPr>
                <w:rFonts w:ascii="Aptos" w:hAnsi="Aptos"/>
                <w:b w:val="0"/>
                <w:sz w:val="15"/>
              </w:rPr>
              <w:t>Same-platform count is restricted to 0–3 competitors.</w:t>
            </w:r>
          </w:p>
        </w:tc>
      </w:tr>
    </w:tbl>
    <w:p>
      <w:pPr>
        <w:spacing w:after="20"/>
      </w:pPr>
    </w:p>
    <w:p>
      <w:pPr>
        <w:spacing w:after="80" w:line="240" w:lineRule="auto"/>
      </w:pPr>
      <w:r>
        <w:rPr>
          <w:rFonts w:ascii="Aptos" w:hAnsi="Aptos"/>
          <w:sz w:val="19"/>
        </w:rPr>
        <w:t>The project test script also passed end to end: 400 source rows were converted into 100 observations; the three-competitor benchmark, gap formulas and Excel export were verified.</w:t>
      </w:r>
    </w:p>
    <w:p>
      <w:pPr>
        <w:spacing w:before="40" w:after="80"/>
      </w:pPr>
      <w:r>
        <w:rPr>
          <w:rFonts w:ascii="Aptos Display" w:hAnsi="Aptos Display"/>
          <w:b/>
          <w:color w:val="17365D"/>
          <w:sz w:val="23"/>
        </w:rPr>
        <w:t>Responsible AI and limitations</w:t>
      </w:r>
    </w:p>
    <w:p>
      <w:pPr>
        <w:pStyle w:val="ListBullet"/>
        <w:spacing w:after="40"/>
        <w:ind w:left="288"/>
      </w:pPr>
      <w:r>
        <w:rPr>
          <w:rFonts w:ascii="Aptos" w:hAnsi="Aptos"/>
          <w:sz w:val="18"/>
        </w:rPr>
        <w:t>All supplied data is synthetic and created for teaching; no real personal or confidential business data was sent to a public AI tool.</w:t>
      </w:r>
    </w:p>
    <w:p>
      <w:pPr>
        <w:pStyle w:val="ListBullet"/>
        <w:spacing w:after="40"/>
        <w:ind w:left="288"/>
      </w:pPr>
      <w:r>
        <w:rPr>
          <w:rFonts w:ascii="Aptos" w:hAnsi="Aptos"/>
          <w:sz w:val="18"/>
        </w:rPr>
        <w:t>Every business number in the final brief comes from deterministic calculations and verification checks, not from an LLM guess.</w:t>
      </w:r>
    </w:p>
    <w:p>
      <w:pPr>
        <w:pStyle w:val="ListBullet"/>
        <w:spacing w:after="40"/>
        <w:ind w:left="288"/>
      </w:pPr>
      <w:r>
        <w:rPr>
          <w:rFonts w:ascii="Aptos" w:hAnsi="Aptos"/>
          <w:sz w:val="18"/>
        </w:rPr>
        <w:t>Same-platform competitor coverage is 58%, so some comparisons are cross-platform and require caution.</w:t>
      </w:r>
    </w:p>
    <w:p>
      <w:pPr>
        <w:pStyle w:val="ListBullet"/>
        <w:spacing w:after="40"/>
        <w:ind w:left="288"/>
      </w:pPr>
      <w:r>
        <w:rPr>
          <w:rFonts w:ascii="Aptos" w:hAnsi="Aptos"/>
          <w:sz w:val="18"/>
        </w:rPr>
        <w:t>Availability, promotions, fulfilment, brand positioning and margin are not fully captured by a simple price-gap metric.</w:t>
      </w:r>
    </w:p>
    <w:p>
      <w:pPr>
        <w:pStyle w:val="ListBullet"/>
        <w:spacing w:after="40"/>
        <w:ind w:left="288"/>
      </w:pPr>
      <w:r>
        <w:rPr>
          <w:rFonts w:ascii="Aptos" w:hAnsi="Aptos"/>
          <w:sz w:val="18"/>
        </w:rPr>
        <w:t>Several products have only one to three observations, so persistence claims are stronger for products with more repeated observations.</w:t>
      </w:r>
    </w:p>
    <w:p>
      <w:pPr>
        <w:spacing w:before="40" w:after="80"/>
      </w:pPr>
      <w:r>
        <w:rPr>
          <w:rFonts w:ascii="Aptos Display" w:hAnsi="Aptos Display"/>
          <w:b/>
          <w:color w:val="17365D"/>
          <w:sz w:val="23"/>
        </w:rPr>
        <w:t>Personal reflection</w:t>
      </w:r>
    </w:p>
    <w:p>
      <w:pPr>
        <w:spacing w:after="80" w:line="240" w:lineRule="auto"/>
      </w:pPr>
      <w:r>
        <w:rPr>
          <w:rFonts w:ascii="Aptos" w:hAnsi="Aptos"/>
          <w:sz w:val="19"/>
        </w:rPr>
        <w:t>The first approach focused too much on a static workbook. Reviewing the rubric changed the direction: the project was rebuilt as a working Streamlit tool, tested locally, and then improved after reviewing the first app output. The second version made the business decision more visible through executive KPIs, an Action Centre and explicit verification.</w:t>
      </w:r>
    </w:p>
    <w:p>
      <w:pPr>
        <w:spacing w:after="80" w:line="240" w:lineRule="auto"/>
      </w:pPr>
      <w:r>
        <w:rPr>
          <w:rFonts w:ascii="Aptos" w:hAnsi="Aptos"/>
          <w:sz w:val="19"/>
        </w:rPr>
        <w:t>The most useful learning was that generative AI should not be treated as the calculator. The stronger workflow is: compute and verify first, ask the LLM to communicate the findings second, then re-check every numeric claim. This makes the AI useful without giving it authority over the underlying business facts.</w:t>
      </w:r>
    </w:p>
    <w:p>
      <w:pPr>
        <w:spacing w:after="80" w:line="240" w:lineRule="auto"/>
      </w:pPr>
      <w:r>
        <w:rPr>
          <w:rFonts w:ascii="Aptos" w:hAnsi="Aptos"/>
          <w:sz w:val="19"/>
        </w:rPr>
        <w:t>Final recommendation: use the dashboard as a weekly review tool. Prioritise repeated gaps above ±5%, starting with products that also have same-platform competitor evidence, and require a human commercial check before any pricing decision.</w:t>
      </w:r>
    </w:p>
    <w:sectPr w:rsidR="00FC693F" w:rsidRPr="0006063C" w:rsidSect="00034616">
      <w:footerReference w:type="default" r:id="rId9"/>
      <w:pgSz w:w="12240" w:h="15840"/>
      <w:pgMar w:top="691" w:right="792" w:bottom="648"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46464"/>
        <w:sz w:val="16"/>
      </w:rPr>
      <w:t>T44 | Competitor Price Intelligence | Mini Project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