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11F139" w14:textId="1B9823DC" w:rsidR="00A07B28" w:rsidRDefault="00BA28EC">
      <w:r w:rsidRPr="00BA28EC">
        <w:rPr>
          <w:noProof/>
        </w:rPr>
        <w:drawing>
          <wp:inline distT="0" distB="0" distL="0" distR="0" wp14:anchorId="3446157D" wp14:editId="3247FDB5">
            <wp:extent cx="1423883" cy="609600"/>
            <wp:effectExtent l="0" t="0" r="5080" b="0"/>
            <wp:docPr id="2" name="Picture 2" descr="C:\Users\steppn\Desktop\dn_wordmark_72dpi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pn\Desktop\dn_wordmark_72dpi_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2591" cy="613328"/>
                    </a:xfrm>
                    <a:prstGeom prst="rect">
                      <a:avLst/>
                    </a:prstGeom>
                    <a:noFill/>
                    <a:ln>
                      <a:noFill/>
                    </a:ln>
                  </pic:spPr>
                </pic:pic>
              </a:graphicData>
            </a:graphic>
          </wp:inline>
        </w:drawing>
      </w:r>
      <w:r w:rsidR="00A07B28">
        <w:t>Memo</w:t>
      </w:r>
    </w:p>
    <w:p w14:paraId="305FEA81" w14:textId="6BDCD618" w:rsidR="00A07B28" w:rsidRDefault="00A07B28" w:rsidP="00FA046B">
      <w:pPr>
        <w:spacing w:after="0"/>
      </w:pPr>
      <w:r>
        <w:t>Date:</w:t>
      </w:r>
      <w:r>
        <w:tab/>
      </w:r>
      <w:r>
        <w:fldChar w:fldCharType="begin"/>
      </w:r>
      <w:r>
        <w:instrText xml:space="preserve"> DATE \@ "MMMM d, yyyy" </w:instrText>
      </w:r>
      <w:r>
        <w:fldChar w:fldCharType="separate"/>
      </w:r>
      <w:r w:rsidR="00A67901">
        <w:rPr>
          <w:noProof/>
        </w:rPr>
        <w:t>June 21, 2017</w:t>
      </w:r>
      <w:r>
        <w:fldChar w:fldCharType="end"/>
      </w:r>
      <w:r w:rsidR="006F7BA8">
        <w:t xml:space="preserve">   DOB</w:t>
      </w:r>
      <w:bookmarkStart w:id="0" w:name="_GoBack"/>
      <w:bookmarkEnd w:id="0"/>
      <w:r w:rsidR="006F7BA8">
        <w:t xml:space="preserve">   </w:t>
      </w:r>
      <w:fldSimple w:instr=" MERGEFIELD a15 ">
        <w:r w:rsidR="00D35E1C">
          <w:rPr>
            <w:noProof/>
          </w:rPr>
          <w:t>PLAN EFFECTIVE DATE</w:t>
        </w:r>
      </w:fldSimple>
    </w:p>
    <w:p w14:paraId="77C3489F" w14:textId="1F185D98" w:rsidR="00A832F0" w:rsidRDefault="00A07B28" w:rsidP="00E0389A">
      <w:pPr>
        <w:rPr>
          <w:rFonts w:ascii="Calibri" w:eastAsia="Times New Roman" w:hAnsi="Calibri" w:cs="Times New Roman"/>
          <w:color w:val="000000"/>
        </w:rPr>
      </w:pPr>
      <w:r>
        <w:t>T</w:t>
      </w:r>
      <w:r w:rsidR="00A832F0">
        <w:t>o</w:t>
      </w:r>
      <w:r>
        <w:t>:</w:t>
      </w:r>
      <w:r>
        <w:tab/>
      </w:r>
      <w:r w:rsidR="00A67901">
        <w:rPr>
          <w:highlight w:val="yellow"/>
        </w:rPr>
        <w:fldChar w:fldCharType="begin"/>
      </w:r>
      <w:r w:rsidR="00A67901">
        <w:rPr>
          <w:highlight w:val="yellow"/>
        </w:rPr>
        <w:instrText xml:space="preserve"> MERGEFIELD "a2" </w:instrText>
      </w:r>
      <w:r w:rsidR="00A67901">
        <w:rPr>
          <w:highlight w:val="yellow"/>
        </w:rPr>
        <w:fldChar w:fldCharType="separate"/>
      </w:r>
      <w:r w:rsidR="00D35E1C" w:rsidRPr="0076730B">
        <w:rPr>
          <w:noProof/>
          <w:highlight w:val="yellow"/>
        </w:rPr>
        <w:t>EMPLOYEE</w:t>
      </w:r>
      <w:r w:rsidR="00A67901">
        <w:rPr>
          <w:highlight w:val="yellow"/>
        </w:rPr>
        <w:fldChar w:fldCharType="end"/>
      </w:r>
    </w:p>
    <w:p w14:paraId="1C16AE13" w14:textId="19C5F406" w:rsidR="00A07B28" w:rsidRDefault="00A07B28" w:rsidP="00E0389A">
      <w:r>
        <w:t>From:</w:t>
      </w:r>
      <w:r>
        <w:tab/>
      </w:r>
      <w:r w:rsidR="000635EC">
        <w:t>Global Compensation</w:t>
      </w:r>
    </w:p>
    <w:p w14:paraId="2D20E047" w14:textId="5B8D7009" w:rsidR="00A07B28" w:rsidRDefault="00A07B28" w:rsidP="003B0A9B">
      <w:pPr>
        <w:spacing w:after="0"/>
        <w:rPr>
          <w:b/>
        </w:rPr>
      </w:pPr>
      <w:r>
        <w:rPr>
          <w:noProof/>
        </w:rPr>
        <mc:AlternateContent>
          <mc:Choice Requires="wps">
            <w:drawing>
              <wp:anchor distT="0" distB="0" distL="114300" distR="114300" simplePos="0" relativeHeight="251659264" behindDoc="0" locked="0" layoutInCell="1" allowOverlap="1" wp14:anchorId="3882722D" wp14:editId="7F62EEC7">
                <wp:simplePos x="0" y="0"/>
                <wp:positionH relativeFrom="column">
                  <wp:posOffset>19050</wp:posOffset>
                </wp:positionH>
                <wp:positionV relativeFrom="paragraph">
                  <wp:posOffset>298450</wp:posOffset>
                </wp:positionV>
                <wp:extent cx="58578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57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D45C53"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3.5pt" to="462.7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" strokecolor="#4579b8 [3044]"/>
            </w:pict>
          </mc:Fallback>
        </mc:AlternateContent>
      </w:r>
      <w:r>
        <w:t xml:space="preserve">RE: </w:t>
      </w:r>
      <w:r>
        <w:tab/>
      </w:r>
      <w:r w:rsidR="001126E8">
        <w:rPr>
          <w:b/>
        </w:rPr>
        <w:t>201</w:t>
      </w:r>
      <w:r w:rsidR="00A76930">
        <w:rPr>
          <w:b/>
        </w:rPr>
        <w:t>7</w:t>
      </w:r>
      <w:r w:rsidR="001126E8">
        <w:rPr>
          <w:b/>
        </w:rPr>
        <w:t xml:space="preserve"> Diebold </w:t>
      </w:r>
      <w:r w:rsidR="00A76930">
        <w:rPr>
          <w:b/>
        </w:rPr>
        <w:t xml:space="preserve">Nixdorf </w:t>
      </w:r>
      <w:r w:rsidR="001126E8">
        <w:rPr>
          <w:b/>
        </w:rPr>
        <w:t>Annual Incentive Plan Performance Metrics</w:t>
      </w:r>
      <w:r w:rsidR="00325BA5">
        <w:rPr>
          <w:b/>
        </w:rPr>
        <w:t xml:space="preserve"> Award Designation</w:t>
      </w:r>
    </w:p>
    <w:p w14:paraId="6148C14F" w14:textId="77777777" w:rsidR="00BF03EB" w:rsidRDefault="00BF03EB" w:rsidP="003B0A9B">
      <w:pPr>
        <w:spacing w:after="0"/>
      </w:pPr>
    </w:p>
    <w:p w14:paraId="3FB7EDCA" w14:textId="77777777" w:rsidR="008B4BAC" w:rsidRPr="008B4BAC" w:rsidRDefault="008B4BAC" w:rsidP="008B4BAC">
      <w:pPr>
        <w:spacing w:line="240" w:lineRule="auto"/>
        <w:rPr>
          <w:rFonts w:cs="Arial"/>
        </w:rPr>
      </w:pPr>
      <w:r w:rsidRPr="008B4BAC">
        <w:rPr>
          <w:rFonts w:cs="Arial"/>
        </w:rPr>
        <w:t xml:space="preserve">We are ONE TEAM, with the same goal to succeed as ONE Diebold Nixdorf. This year, our focus is on executing our integration plans and transforming our business to meet market demands -- all while keeping our customers at the center of what we do. </w:t>
      </w:r>
    </w:p>
    <w:p w14:paraId="0E2A463D" w14:textId="77777777" w:rsidR="008B4BAC" w:rsidRPr="008B4BAC" w:rsidRDefault="008B4BAC" w:rsidP="008B4BAC">
      <w:pPr>
        <w:rPr>
          <w:rFonts w:cs="Arial"/>
        </w:rPr>
      </w:pPr>
      <w:r w:rsidRPr="008B4BAC">
        <w:rPr>
          <w:rFonts w:cs="Arial"/>
        </w:rPr>
        <w:t xml:space="preserve">All of our efforts need to be aligned with DN2020 – our multi-year transformation roadmap that reflects where we want the business to be by 2020. Through this program, we’ll integrate our business processes, drive operating efficiencies and measure how we’re doing through defined key performance indicators. </w:t>
      </w:r>
    </w:p>
    <w:p w14:paraId="06D53C33" w14:textId="77777777" w:rsidR="008B4BAC" w:rsidRPr="008B4BAC" w:rsidRDefault="008B4BAC" w:rsidP="008B4BAC">
      <w:pPr>
        <w:spacing w:after="0" w:line="240" w:lineRule="auto"/>
        <w:rPr>
          <w:rFonts w:cs="Arial"/>
          <w:color w:val="333333"/>
          <w:shd w:val="clear" w:color="auto" w:fill="FFFFFF"/>
        </w:rPr>
      </w:pPr>
      <w:r w:rsidRPr="008B4BAC">
        <w:rPr>
          <w:rFonts w:cs="Arial"/>
        </w:rPr>
        <w:t xml:space="preserve">That’s where our global rewards program, Perform 2 Win, comes in. It will support us on this journey and focuses on the six pillars of DN2020: </w:t>
      </w:r>
    </w:p>
    <w:p w14:paraId="3D73202F" w14:textId="77777777" w:rsidR="008B4BAC" w:rsidRPr="008B4BAC" w:rsidRDefault="008B4BAC" w:rsidP="008B4BAC">
      <w:pPr>
        <w:pStyle w:val="ListParagraph"/>
        <w:numPr>
          <w:ilvl w:val="0"/>
          <w:numId w:val="1"/>
        </w:numPr>
        <w:spacing w:after="0" w:line="240" w:lineRule="auto"/>
        <w:rPr>
          <w:rFonts w:cs="Arial"/>
          <w:b/>
          <w:bCs/>
          <w:shd w:val="clear" w:color="auto" w:fill="FFFFFF"/>
        </w:rPr>
      </w:pPr>
      <w:r w:rsidRPr="008B4BAC">
        <w:rPr>
          <w:rFonts w:cs="Arial"/>
          <w:shd w:val="clear" w:color="auto" w:fill="FFFFFF"/>
        </w:rPr>
        <w:t>Implement</w:t>
      </w:r>
      <w:r w:rsidRPr="008B4BAC">
        <w:rPr>
          <w:rStyle w:val="apple-converted-space"/>
          <w:rFonts w:cs="Arial"/>
          <w:shd w:val="clear" w:color="auto" w:fill="FFFFFF"/>
        </w:rPr>
        <w:t> </w:t>
      </w:r>
      <w:r w:rsidRPr="008B4BAC">
        <w:rPr>
          <w:rFonts w:cs="Arial"/>
          <w:b/>
          <w:bCs/>
          <w:shd w:val="clear" w:color="auto" w:fill="FFFFFF"/>
        </w:rPr>
        <w:t>Connected Commerce</w:t>
      </w:r>
      <w:r w:rsidRPr="008B4BAC">
        <w:rPr>
          <w:rStyle w:val="apple-converted-space"/>
          <w:rFonts w:cs="Arial"/>
          <w:b/>
          <w:bCs/>
          <w:shd w:val="clear" w:color="auto" w:fill="FFFFFF"/>
        </w:rPr>
        <w:t> </w:t>
      </w:r>
      <w:r w:rsidRPr="008B4BAC">
        <w:rPr>
          <w:rFonts w:cs="Arial"/>
          <w:shd w:val="clear" w:color="auto" w:fill="FFFFFF"/>
        </w:rPr>
        <w:t>strategy</w:t>
      </w:r>
    </w:p>
    <w:p w14:paraId="04A672A2"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Achieving</w:t>
      </w:r>
      <w:r w:rsidRPr="008B4BAC">
        <w:rPr>
          <w:rStyle w:val="apple-converted-space"/>
          <w:rFonts w:cs="Arial"/>
          <w:shd w:val="clear" w:color="auto" w:fill="FFFFFF"/>
        </w:rPr>
        <w:t> </w:t>
      </w:r>
      <w:r w:rsidRPr="008B4BAC">
        <w:rPr>
          <w:rFonts w:cs="Arial"/>
          <w:b/>
          <w:bCs/>
          <w:shd w:val="clear" w:color="auto" w:fill="FFFFFF"/>
        </w:rPr>
        <w:t>financial excellence</w:t>
      </w:r>
    </w:p>
    <w:p w14:paraId="0088763D"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Continued success in</w:t>
      </w:r>
      <w:r w:rsidRPr="008B4BAC">
        <w:rPr>
          <w:rStyle w:val="apple-converted-space"/>
          <w:rFonts w:cs="Arial"/>
          <w:shd w:val="clear" w:color="auto" w:fill="FFFFFF"/>
        </w:rPr>
        <w:t> </w:t>
      </w:r>
      <w:r w:rsidRPr="008B4BAC">
        <w:rPr>
          <w:rFonts w:cs="Arial"/>
          <w:b/>
          <w:bCs/>
          <w:shd w:val="clear" w:color="auto" w:fill="FFFFFF"/>
        </w:rPr>
        <w:t>integration</w:t>
      </w:r>
    </w:p>
    <w:p w14:paraId="0E2CBD48"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Implementing</w:t>
      </w:r>
      <w:r w:rsidRPr="008B4BAC">
        <w:rPr>
          <w:rStyle w:val="apple-converted-space"/>
          <w:rFonts w:cs="Arial"/>
          <w:shd w:val="clear" w:color="auto" w:fill="FFFFFF"/>
        </w:rPr>
        <w:t> </w:t>
      </w:r>
      <w:r w:rsidRPr="008B4BAC">
        <w:rPr>
          <w:rFonts w:cs="Arial"/>
          <w:b/>
          <w:bCs/>
          <w:shd w:val="clear" w:color="auto" w:fill="FFFFFF"/>
        </w:rPr>
        <w:t>operational excellence</w:t>
      </w:r>
      <w:r w:rsidRPr="008B4BAC">
        <w:rPr>
          <w:rStyle w:val="apple-converted-space"/>
          <w:rFonts w:cs="Arial"/>
          <w:shd w:val="clear" w:color="auto" w:fill="FFFFFF"/>
        </w:rPr>
        <w:t> </w:t>
      </w:r>
      <w:r w:rsidRPr="008B4BAC">
        <w:rPr>
          <w:rFonts w:cs="Arial"/>
          <w:shd w:val="clear" w:color="auto" w:fill="FFFFFF"/>
        </w:rPr>
        <w:t>around services, manufacturing and supply chain</w:t>
      </w:r>
    </w:p>
    <w:p w14:paraId="656632B2"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Building a performance-based</w:t>
      </w:r>
      <w:r w:rsidRPr="008B4BAC">
        <w:rPr>
          <w:rStyle w:val="apple-converted-space"/>
          <w:rFonts w:cs="Arial"/>
          <w:shd w:val="clear" w:color="auto" w:fill="FFFFFF"/>
        </w:rPr>
        <w:t> </w:t>
      </w:r>
      <w:r w:rsidRPr="008B4BAC">
        <w:rPr>
          <w:rFonts w:cs="Arial"/>
          <w:b/>
          <w:bCs/>
          <w:shd w:val="clear" w:color="auto" w:fill="FFFFFF"/>
        </w:rPr>
        <w:t>culture</w:t>
      </w:r>
      <w:r w:rsidRPr="008B4BAC">
        <w:rPr>
          <w:rStyle w:val="apple-converted-space"/>
          <w:rFonts w:cs="Arial"/>
          <w:b/>
          <w:bCs/>
          <w:shd w:val="clear" w:color="auto" w:fill="FFFFFF"/>
        </w:rPr>
        <w:t> </w:t>
      </w:r>
      <w:r w:rsidRPr="008B4BAC">
        <w:rPr>
          <w:rFonts w:cs="Arial"/>
          <w:shd w:val="clear" w:color="auto" w:fill="FFFFFF"/>
        </w:rPr>
        <w:t>while continuing to attract and retain top</w:t>
      </w:r>
      <w:r w:rsidRPr="008B4BAC">
        <w:rPr>
          <w:rStyle w:val="apple-converted-space"/>
          <w:rFonts w:cs="Arial"/>
          <w:shd w:val="clear" w:color="auto" w:fill="FFFFFF"/>
        </w:rPr>
        <w:t> </w:t>
      </w:r>
      <w:r w:rsidRPr="008B4BAC">
        <w:rPr>
          <w:rFonts w:cs="Arial"/>
          <w:b/>
          <w:bCs/>
          <w:shd w:val="clear" w:color="auto" w:fill="FFFFFF"/>
        </w:rPr>
        <w:t>talent</w:t>
      </w:r>
    </w:p>
    <w:p w14:paraId="1CB3BD35" w14:textId="77777777" w:rsidR="008B4BAC" w:rsidRPr="008B4BAC" w:rsidRDefault="008B4BAC" w:rsidP="008B4BAC">
      <w:pPr>
        <w:pStyle w:val="ListParagraph"/>
        <w:numPr>
          <w:ilvl w:val="0"/>
          <w:numId w:val="1"/>
        </w:numPr>
        <w:spacing w:line="240" w:lineRule="auto"/>
        <w:rPr>
          <w:rFonts w:cs="Arial"/>
          <w:b/>
          <w:bCs/>
          <w:shd w:val="clear" w:color="auto" w:fill="FFFFFF"/>
        </w:rPr>
      </w:pPr>
      <w:r w:rsidRPr="008B4BAC">
        <w:rPr>
          <w:rFonts w:cs="Arial"/>
          <w:shd w:val="clear" w:color="auto" w:fill="FFFFFF"/>
        </w:rPr>
        <w:t>Establishing</w:t>
      </w:r>
      <w:r w:rsidRPr="008B4BAC">
        <w:rPr>
          <w:rStyle w:val="apple-converted-space"/>
          <w:rFonts w:cs="Arial"/>
          <w:shd w:val="clear" w:color="auto" w:fill="FFFFFF"/>
        </w:rPr>
        <w:t> </w:t>
      </w:r>
      <w:r w:rsidRPr="008B4BAC">
        <w:rPr>
          <w:rFonts w:cs="Arial"/>
          <w:b/>
          <w:bCs/>
          <w:shd w:val="clear" w:color="auto" w:fill="FFFFFF"/>
        </w:rPr>
        <w:t>sales excellence</w:t>
      </w:r>
    </w:p>
    <w:p w14:paraId="366E50A7" w14:textId="22BA461F" w:rsidR="008B4BAC" w:rsidRPr="008B4BAC" w:rsidRDefault="008B4BAC" w:rsidP="008B4BAC">
      <w:pPr>
        <w:spacing w:line="240" w:lineRule="auto"/>
        <w:rPr>
          <w:rFonts w:cs="Arial"/>
        </w:rPr>
      </w:pPr>
      <w:r w:rsidRPr="008B4BAC">
        <w:rPr>
          <w:rFonts w:cs="Arial"/>
        </w:rPr>
        <w:t xml:space="preserve">Perform 2 Win emphasizes the link between individual and company results by rewarding you for your contributions to Diebold Nixdorf’s company performance. </w:t>
      </w:r>
    </w:p>
    <w:p w14:paraId="49A80D65" w14:textId="0703CC45" w:rsidR="008B4BAC" w:rsidRDefault="00F72623" w:rsidP="00461B5A">
      <w:r w:rsidRPr="008B4BAC">
        <w:rPr>
          <w:rFonts w:ascii="Calibri" w:eastAsia="Calibri" w:hAnsi="Calibri" w:cs="Times New Roman"/>
        </w:rPr>
        <w:t xml:space="preserve">You have been </w:t>
      </w:r>
      <w:r w:rsidR="0092721F" w:rsidRPr="008B4BAC">
        <w:rPr>
          <w:rFonts w:ascii="Calibri" w:eastAsia="Calibri" w:hAnsi="Calibri" w:cs="Times New Roman"/>
        </w:rPr>
        <w:t>designated as eligible</w:t>
      </w:r>
      <w:r w:rsidRPr="008B4BAC">
        <w:rPr>
          <w:rFonts w:ascii="Calibri" w:eastAsia="Calibri" w:hAnsi="Calibri" w:cs="Times New Roman"/>
        </w:rPr>
        <w:t xml:space="preserve"> for participation in the 201</w:t>
      </w:r>
      <w:r w:rsidR="00A76930" w:rsidRPr="008B4BAC">
        <w:rPr>
          <w:rFonts w:ascii="Calibri" w:eastAsia="Calibri" w:hAnsi="Calibri" w:cs="Times New Roman"/>
        </w:rPr>
        <w:t>7</w:t>
      </w:r>
      <w:r w:rsidRPr="008B4BAC">
        <w:rPr>
          <w:rFonts w:ascii="Calibri" w:eastAsia="Calibri" w:hAnsi="Calibri" w:cs="Times New Roman"/>
        </w:rPr>
        <w:t xml:space="preserve"> </w:t>
      </w:r>
      <w:r w:rsidR="009A2524" w:rsidRPr="008B4BAC">
        <w:rPr>
          <w:rFonts w:ascii="Calibri" w:eastAsia="Calibri" w:hAnsi="Calibri" w:cs="Times New Roman"/>
        </w:rPr>
        <w:t>a</w:t>
      </w:r>
      <w:r w:rsidRPr="008B4BAC">
        <w:rPr>
          <w:rFonts w:ascii="Calibri" w:eastAsia="Calibri" w:hAnsi="Calibri" w:cs="Times New Roman"/>
        </w:rPr>
        <w:t xml:space="preserve">nnual </w:t>
      </w:r>
      <w:r w:rsidR="009A2524" w:rsidRPr="008B4BAC">
        <w:rPr>
          <w:rFonts w:ascii="Calibri" w:eastAsia="Calibri" w:hAnsi="Calibri" w:cs="Times New Roman"/>
        </w:rPr>
        <w:t>i</w:t>
      </w:r>
      <w:r w:rsidRPr="008B4BAC">
        <w:rPr>
          <w:rFonts w:ascii="Calibri" w:eastAsia="Calibri" w:hAnsi="Calibri" w:cs="Times New Roman"/>
        </w:rPr>
        <w:t xml:space="preserve">ncentive </w:t>
      </w:r>
      <w:r w:rsidR="009A2524" w:rsidRPr="008B4BAC">
        <w:rPr>
          <w:rFonts w:ascii="Calibri" w:eastAsia="Calibri" w:hAnsi="Calibri" w:cs="Times New Roman"/>
        </w:rPr>
        <w:t>p</w:t>
      </w:r>
      <w:r w:rsidRPr="008B4BAC">
        <w:rPr>
          <w:rFonts w:ascii="Calibri" w:eastAsia="Calibri" w:hAnsi="Calibri" w:cs="Times New Roman"/>
        </w:rPr>
        <w:t>lan</w:t>
      </w:r>
      <w:r w:rsidR="008B4BAC">
        <w:rPr>
          <w:rFonts w:ascii="Calibri" w:eastAsia="Calibri" w:hAnsi="Calibri" w:cs="Times New Roman"/>
        </w:rPr>
        <w:t xml:space="preserve"> and as such, yo</w:t>
      </w:r>
      <w:r w:rsidR="008B4BAC" w:rsidRPr="008B4BAC">
        <w:rPr>
          <w:rFonts w:cs="Arial"/>
        </w:rPr>
        <w:t>u’ll be rewarded based on how well we perform</w:t>
      </w:r>
      <w:r w:rsidR="008B4BAC">
        <w:rPr>
          <w:rFonts w:cs="Arial"/>
        </w:rPr>
        <w:t xml:space="preserve"> and achieve our goals</w:t>
      </w:r>
      <w:r w:rsidRPr="008B4BAC">
        <w:rPr>
          <w:rFonts w:ascii="Calibri" w:eastAsia="Calibri" w:hAnsi="Calibri" w:cs="Times New Roman"/>
        </w:rPr>
        <w:t>. Below are the comp</w:t>
      </w:r>
      <w:r w:rsidR="00CF5F8E">
        <w:rPr>
          <w:rFonts w:ascii="Calibri" w:eastAsia="Calibri" w:hAnsi="Calibri" w:cs="Times New Roman"/>
        </w:rPr>
        <w:t>onents and metrics by which the business component of your</w:t>
      </w:r>
      <w:r w:rsidRPr="008B4BAC">
        <w:rPr>
          <w:rFonts w:ascii="Calibri" w:eastAsia="Calibri" w:hAnsi="Calibri" w:cs="Times New Roman"/>
        </w:rPr>
        <w:t xml:space="preserve"> achievement will be measured for 201</w:t>
      </w:r>
      <w:r w:rsidR="00A76930" w:rsidRPr="008B4BAC">
        <w:rPr>
          <w:rFonts w:ascii="Calibri" w:eastAsia="Calibri" w:hAnsi="Calibri" w:cs="Times New Roman"/>
        </w:rPr>
        <w:t>7</w:t>
      </w:r>
      <w:r w:rsidRPr="008B4BAC">
        <w:rPr>
          <w:rFonts w:ascii="Calibri" w:eastAsia="Calibri" w:hAnsi="Calibri" w:cs="Times New Roman"/>
        </w:rPr>
        <w:t xml:space="preserve">, along with your </w:t>
      </w:r>
      <w:r w:rsidR="00031F01" w:rsidRPr="008B4BAC">
        <w:rPr>
          <w:rFonts w:ascii="Calibri" w:eastAsia="Calibri" w:hAnsi="Calibri" w:cs="Times New Roman"/>
        </w:rPr>
        <w:t xml:space="preserve">threshold, </w:t>
      </w:r>
      <w:r w:rsidRPr="008B4BAC">
        <w:rPr>
          <w:rFonts w:ascii="Calibri" w:eastAsia="Calibri" w:hAnsi="Calibri" w:cs="Times New Roman"/>
        </w:rPr>
        <w:t>target</w:t>
      </w:r>
      <w:r w:rsidR="00031F01" w:rsidRPr="008B4BAC">
        <w:rPr>
          <w:rFonts w:ascii="Calibri" w:eastAsia="Calibri" w:hAnsi="Calibri" w:cs="Times New Roman"/>
        </w:rPr>
        <w:t xml:space="preserve"> and maximum</w:t>
      </w:r>
      <w:r w:rsidRPr="008B4BAC">
        <w:rPr>
          <w:rFonts w:ascii="Calibri" w:eastAsia="Calibri" w:hAnsi="Calibri" w:cs="Times New Roman"/>
        </w:rPr>
        <w:t xml:space="preserve"> award</w:t>
      </w:r>
      <w:r w:rsidR="00031F01" w:rsidRPr="008B4BAC">
        <w:rPr>
          <w:rFonts w:ascii="Calibri" w:eastAsia="Calibri" w:hAnsi="Calibri" w:cs="Times New Roman"/>
        </w:rPr>
        <w:t xml:space="preserve"> potential</w:t>
      </w:r>
      <w:r w:rsidRPr="008B4BAC">
        <w:rPr>
          <w:rFonts w:ascii="Calibri" w:eastAsia="Calibri" w:hAnsi="Calibri" w:cs="Times New Roman"/>
        </w:rPr>
        <w:t xml:space="preserve">.  </w:t>
      </w:r>
      <w:r w:rsidR="00CF5F8E" w:rsidRPr="008B4BAC">
        <w:rPr>
          <w:rFonts w:ascii="Calibri" w:eastAsia="Calibri" w:hAnsi="Calibri" w:cs="Times New Roman"/>
        </w:rPr>
        <w:t xml:space="preserve">The personal bonus </w:t>
      </w:r>
      <w:r w:rsidR="00CF5F8E">
        <w:rPr>
          <w:rFonts w:ascii="Calibri" w:eastAsia="Calibri" w:hAnsi="Calibri" w:cs="Times New Roman"/>
        </w:rPr>
        <w:t>portion is based on personal achievement of measureable goals that were agreed upon with your manager. T</w:t>
      </w:r>
      <w:r w:rsidR="00CF5F8E" w:rsidRPr="008B4BAC">
        <w:rPr>
          <w:rFonts w:ascii="Calibri" w:eastAsia="Calibri" w:hAnsi="Calibri" w:cs="Times New Roman"/>
        </w:rPr>
        <w:t xml:space="preserve">he plan allows for an adjustment to </w:t>
      </w:r>
      <w:r w:rsidR="00CF5F8E">
        <w:rPr>
          <w:rFonts w:ascii="Calibri" w:eastAsia="Calibri" w:hAnsi="Calibri" w:cs="Times New Roman"/>
        </w:rPr>
        <w:t xml:space="preserve">the payout calculation of </w:t>
      </w:r>
      <w:r w:rsidR="00CF5F8E" w:rsidRPr="008B4BAC">
        <w:rPr>
          <w:rFonts w:ascii="Calibri" w:eastAsia="Calibri" w:hAnsi="Calibri" w:cs="Times New Roman"/>
        </w:rPr>
        <w:t>personal scores based on business achievement</w:t>
      </w:r>
      <w:r w:rsidR="00CF5F8E">
        <w:rPr>
          <w:rFonts w:ascii="Calibri" w:eastAsia="Calibri" w:hAnsi="Calibri" w:cs="Times New Roman"/>
        </w:rPr>
        <w:t>.  The average of all personal scores is compared to the weighted average of the business performance in your metric group. Payouts for the personal component may be adjusted so that the average of all scores is within 0.5 of the business score.  Your</w:t>
      </w:r>
      <w:r w:rsidR="00CF5F8E" w:rsidRPr="008B4BAC">
        <w:rPr>
          <w:rFonts w:ascii="Calibri" w:eastAsia="Calibri" w:hAnsi="Calibri" w:cs="Times New Roman"/>
        </w:rPr>
        <w:t xml:space="preserve"> actual achievement score will continue to be maintained and your payout will be in the same relative position to others.</w:t>
      </w:r>
      <w:r w:rsidR="00CF5F8E">
        <w:rPr>
          <w:rFonts w:ascii="Calibri" w:eastAsia="Calibri" w:hAnsi="Calibri" w:cs="Times New Roman"/>
        </w:rPr>
        <w:t xml:space="preserve"> </w:t>
      </w:r>
      <w:r w:rsidR="00461B5A" w:rsidRPr="008B4BAC">
        <w:t xml:space="preserve">The specific amounts of </w:t>
      </w:r>
      <w:r w:rsidR="00CF5F8E">
        <w:t xml:space="preserve">all </w:t>
      </w:r>
      <w:r w:rsidR="00461B5A" w:rsidRPr="008B4BAC">
        <w:t xml:space="preserve">awards will be based on actual </w:t>
      </w:r>
      <w:r w:rsidR="008B4BAC">
        <w:t xml:space="preserve">company </w:t>
      </w:r>
      <w:r w:rsidR="00461B5A" w:rsidRPr="008B4BAC">
        <w:t xml:space="preserve">performance, inclusive of the cost of the awards, as approved by the Board of Directors.  </w:t>
      </w:r>
      <w:r w:rsidR="008B4BAC" w:rsidRPr="008B4BAC">
        <w:rPr>
          <w:rFonts w:ascii="Calibri" w:eastAsia="Calibri" w:hAnsi="Calibri" w:cs="Times New Roman"/>
        </w:rPr>
        <w:t xml:space="preserve">  </w:t>
      </w:r>
    </w:p>
    <w:p w14:paraId="3F2CD269" w14:textId="5E414C47" w:rsidR="00481A7A" w:rsidRPr="008B4BAC" w:rsidRDefault="008B4BAC" w:rsidP="00461B5A">
      <w:r>
        <w:rPr>
          <w:rFonts w:ascii="Calibri" w:eastAsia="Calibri" w:hAnsi="Calibri" w:cs="Times New Roman"/>
        </w:rPr>
        <w:t>All p</w:t>
      </w:r>
      <w:r w:rsidR="0055209C" w:rsidRPr="008B4BAC">
        <w:rPr>
          <w:rFonts w:ascii="Calibri" w:eastAsia="Calibri" w:hAnsi="Calibri" w:cs="Times New Roman"/>
        </w:rPr>
        <w:t xml:space="preserve">ayouts will be </w:t>
      </w:r>
      <w:r w:rsidR="004B7DC5" w:rsidRPr="008B4BAC">
        <w:rPr>
          <w:rFonts w:ascii="Calibri" w:eastAsia="Calibri" w:hAnsi="Calibri" w:cs="Times New Roman"/>
        </w:rPr>
        <w:t xml:space="preserve">calculated in accordance with the plan </w:t>
      </w:r>
      <w:r w:rsidR="006443B6">
        <w:rPr>
          <w:rFonts w:ascii="Calibri" w:eastAsia="Calibri" w:hAnsi="Calibri" w:cs="Times New Roman"/>
        </w:rPr>
        <w:t>guidelines</w:t>
      </w:r>
      <w:r>
        <w:rPr>
          <w:rFonts w:ascii="Calibri" w:eastAsia="Calibri" w:hAnsi="Calibri" w:cs="Times New Roman"/>
        </w:rPr>
        <w:t xml:space="preserve"> and only </w:t>
      </w:r>
      <w:r w:rsidRPr="008B4BAC">
        <w:rPr>
          <w:rFonts w:ascii="Calibri" w:eastAsia="Calibri" w:hAnsi="Calibri" w:cs="Times New Roman"/>
        </w:rPr>
        <w:t>individuals who receive one of these award designations are eligible under the plan.</w:t>
      </w:r>
      <w:r w:rsidR="0055209C" w:rsidRPr="008B4BAC">
        <w:rPr>
          <w:rFonts w:ascii="Calibri" w:eastAsia="Calibri" w:hAnsi="Calibri" w:cs="Times New Roman"/>
        </w:rPr>
        <w:t xml:space="preserve">  </w:t>
      </w:r>
      <w:r w:rsidR="00F72623" w:rsidRPr="008B4BAC">
        <w:rPr>
          <w:rFonts w:ascii="Calibri" w:eastAsia="Calibri" w:hAnsi="Calibri" w:cs="Times New Roman"/>
        </w:rPr>
        <w:t xml:space="preserve">No representative of the company has the </w:t>
      </w:r>
      <w:r w:rsidR="00F72623" w:rsidRPr="008B4BAC">
        <w:rPr>
          <w:rFonts w:ascii="Calibri" w:eastAsia="Calibri" w:hAnsi="Calibri" w:cs="Times New Roman"/>
        </w:rPr>
        <w:lastRenderedPageBreak/>
        <w:t>authority to promise an actual award in a specific amount</w:t>
      </w:r>
      <w:r w:rsidR="004B7DC5" w:rsidRPr="008B4BAC">
        <w:rPr>
          <w:rFonts w:ascii="Calibri" w:eastAsia="Calibri" w:hAnsi="Calibri" w:cs="Times New Roman"/>
        </w:rPr>
        <w:t xml:space="preserve"> or under specific circumstances</w:t>
      </w:r>
      <w:r w:rsidR="00F72623" w:rsidRPr="008B4BAC">
        <w:rPr>
          <w:rFonts w:ascii="Calibri" w:eastAsia="Calibri" w:hAnsi="Calibri" w:cs="Times New Roman"/>
        </w:rPr>
        <w:t>.</w:t>
      </w:r>
      <w:r w:rsidR="00E36C64">
        <w:rPr>
          <w:rFonts w:ascii="Calibri" w:eastAsia="Calibri" w:hAnsi="Calibri" w:cs="Times New Roman"/>
        </w:rPr>
        <w:t xml:space="preserve"> </w:t>
      </w:r>
      <w:r w:rsidR="006443B6">
        <w:rPr>
          <w:rFonts w:ascii="Calibri" w:eastAsia="Calibri" w:hAnsi="Calibri" w:cs="Times New Roman"/>
        </w:rPr>
        <w:t>This bonus replaces any and all legacy Wincor Nixdorf bonus programs</w:t>
      </w:r>
      <w:r w:rsidR="00E36C64">
        <w:rPr>
          <w:rFonts w:ascii="Calibri" w:eastAsia="Calibri" w:hAnsi="Calibri" w:cs="Times New Roman"/>
        </w:rPr>
        <w:t>.</w:t>
      </w:r>
    </w:p>
    <w:tbl>
      <w:tblPr>
        <w:tblStyle w:val="MediumShading1-Accent1"/>
        <w:tblW w:w="0" w:type="auto"/>
        <w:tblLook w:val="04A0" w:firstRow="1" w:lastRow="0" w:firstColumn="1" w:lastColumn="0" w:noHBand="0" w:noVBand="1"/>
      </w:tblPr>
      <w:tblGrid>
        <w:gridCol w:w="4588"/>
        <w:gridCol w:w="4752"/>
      </w:tblGrid>
      <w:tr w:rsidR="00A07B28" w14:paraId="0F97B31F" w14:textId="77777777" w:rsidTr="009C0C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Pr>
          <w:p w14:paraId="3590D066" w14:textId="1008F830" w:rsidR="00A07B28" w:rsidRDefault="00A07B28" w:rsidP="001126E8">
            <w:pPr>
              <w:jc w:val="center"/>
            </w:pPr>
            <w:r>
              <w:t>201</w:t>
            </w:r>
            <w:r w:rsidR="00A76930">
              <w:t>7</w:t>
            </w:r>
            <w:r>
              <w:t xml:space="preserve"> Diebold </w:t>
            </w:r>
            <w:r w:rsidR="00A76930">
              <w:t xml:space="preserve">Nixdorf </w:t>
            </w:r>
            <w:r>
              <w:t>Annual Incentive Plan – Minimum Funding Gate</w:t>
            </w:r>
          </w:p>
        </w:tc>
      </w:tr>
      <w:tr w:rsidR="00A07B28" w:rsidRPr="00CC5766" w14:paraId="608A92AE" w14:textId="77777777" w:rsidTr="00EE2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9BF6C7A" w14:textId="76E49D1A" w:rsidR="00A07B28" w:rsidRPr="00CC5766" w:rsidRDefault="006443B6" w:rsidP="009C0C17">
            <w:pPr>
              <w:jc w:val="center"/>
              <w:rPr>
                <w:b w:val="0"/>
              </w:rPr>
            </w:pPr>
            <w:r>
              <w:rPr>
                <w:b w:val="0"/>
              </w:rPr>
              <w:t xml:space="preserve">Global </w:t>
            </w:r>
            <w:r w:rsidR="00A07B28">
              <w:rPr>
                <w:b w:val="0"/>
              </w:rPr>
              <w:t xml:space="preserve">Non-GAAP Operating Profit </w:t>
            </w:r>
            <w:r w:rsidR="001126E8">
              <w:rPr>
                <w:b w:val="0"/>
              </w:rPr>
              <w:t>(OP)</w:t>
            </w:r>
          </w:p>
        </w:tc>
        <w:tc>
          <w:tcPr>
            <w:tcW w:w="4878" w:type="dxa"/>
          </w:tcPr>
          <w:p w14:paraId="4FB15159" w14:textId="7A687D85" w:rsidR="00A07B28" w:rsidRPr="00CB7BCE" w:rsidRDefault="00A76930" w:rsidP="009C0C17">
            <w:pPr>
              <w:jc w:val="center"/>
              <w:cnfStyle w:val="000000100000" w:firstRow="0" w:lastRow="0" w:firstColumn="0" w:lastColumn="0" w:oddVBand="0" w:evenVBand="0" w:oddHBand="1" w:evenHBand="0" w:firstRowFirstColumn="0" w:firstRowLastColumn="0" w:lastRowFirstColumn="0" w:lastRowLastColumn="0"/>
              <w:rPr>
                <w:b/>
                <w:sz w:val="18"/>
              </w:rPr>
            </w:pPr>
            <w:r>
              <w:rPr>
                <w:b/>
                <w:sz w:val="18"/>
              </w:rPr>
              <w:t>$</w:t>
            </w:r>
            <w:r w:rsidR="000366C0">
              <w:rPr>
                <w:b/>
                <w:sz w:val="18"/>
              </w:rPr>
              <w:t>200</w:t>
            </w:r>
            <w:r w:rsidR="00A07B28">
              <w:rPr>
                <w:b/>
                <w:sz w:val="18"/>
              </w:rPr>
              <w:t>M</w:t>
            </w:r>
          </w:p>
        </w:tc>
      </w:tr>
    </w:tbl>
    <w:p w14:paraId="3F2A04C3" w14:textId="77777777" w:rsidR="00A07B28" w:rsidRPr="00CB7BCE" w:rsidRDefault="00A07B28" w:rsidP="003B0A9B">
      <w:pPr>
        <w:spacing w:after="0"/>
        <w:rPr>
          <w:sz w:val="20"/>
        </w:rPr>
      </w:pPr>
    </w:p>
    <w:tbl>
      <w:tblPr>
        <w:tblStyle w:val="MediumShading1-Accent1"/>
        <w:tblW w:w="9399" w:type="dxa"/>
        <w:tblLook w:val="04A0" w:firstRow="1" w:lastRow="0" w:firstColumn="1" w:lastColumn="0" w:noHBand="0" w:noVBand="1"/>
      </w:tblPr>
      <w:tblGrid>
        <w:gridCol w:w="2600"/>
        <w:gridCol w:w="4230"/>
        <w:gridCol w:w="2569"/>
      </w:tblGrid>
      <w:tr w:rsidR="00A07B28" w14:paraId="5134D112" w14:textId="77777777" w:rsidTr="00DF7CD2">
        <w:trPr>
          <w:cnfStyle w:val="100000000000" w:firstRow="1" w:lastRow="0" w:firstColumn="0" w:lastColumn="0" w:oddVBand="0" w:evenVBand="0" w:oddHBand="0"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9399" w:type="dxa"/>
            <w:gridSpan w:val="3"/>
          </w:tcPr>
          <w:p w14:paraId="4A0587BA" w14:textId="3AE824D9" w:rsidR="00A07B28" w:rsidRDefault="00A07B28" w:rsidP="00A76930">
            <w:pPr>
              <w:jc w:val="center"/>
            </w:pPr>
            <w:r>
              <w:t>201</w:t>
            </w:r>
            <w:r w:rsidR="00A76930">
              <w:t xml:space="preserve">7 </w:t>
            </w:r>
            <w:r>
              <w:t xml:space="preserve">Diebold </w:t>
            </w:r>
            <w:r w:rsidR="00A76930">
              <w:t xml:space="preserve">Nixdorf </w:t>
            </w:r>
            <w:r>
              <w:t>Annual Incentive Plan</w:t>
            </w:r>
          </w:p>
        </w:tc>
      </w:tr>
      <w:tr w:rsidR="00A07B28" w14:paraId="2142D499" w14:textId="77777777" w:rsidTr="00031F01">
        <w:trPr>
          <w:cnfStyle w:val="000000100000" w:firstRow="0" w:lastRow="0" w:firstColumn="0" w:lastColumn="0" w:oddVBand="0" w:evenVBand="0" w:oddHBand="1" w:evenHBand="0" w:firstRowFirstColumn="0" w:firstRowLastColumn="0" w:lastRowFirstColumn="0" w:lastRowLastColumn="0"/>
          <w:trHeight w:val="157"/>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tcPr>
          <w:p w14:paraId="72458BF5" w14:textId="576D9BB2" w:rsidR="00A07B28" w:rsidRPr="00031F01" w:rsidRDefault="00031F01" w:rsidP="0046708C">
            <w:pPr>
              <w:jc w:val="center"/>
              <w:rPr>
                <w:sz w:val="18"/>
                <w:szCs w:val="18"/>
              </w:rPr>
            </w:pPr>
            <w:r w:rsidRPr="00031F01">
              <w:rPr>
                <w:sz w:val="18"/>
                <w:szCs w:val="18"/>
              </w:rPr>
              <w:t>Threshold %</w:t>
            </w:r>
          </w:p>
        </w:tc>
        <w:tc>
          <w:tcPr>
            <w:tcW w:w="4230" w:type="dxa"/>
            <w:tcBorders>
              <w:left w:val="single" w:sz="4" w:space="0" w:color="auto"/>
              <w:right w:val="single" w:sz="4" w:space="0" w:color="auto"/>
            </w:tcBorders>
          </w:tcPr>
          <w:p w14:paraId="71172FD6" w14:textId="23CB07EB" w:rsidR="00A07B28" w:rsidRPr="00031F01" w:rsidRDefault="00031F01" w:rsidP="0046708C">
            <w:pPr>
              <w:jc w:val="center"/>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Target %</w:t>
            </w:r>
          </w:p>
        </w:tc>
        <w:tc>
          <w:tcPr>
            <w:tcW w:w="2569" w:type="dxa"/>
            <w:tcBorders>
              <w:left w:val="single" w:sz="4" w:space="0" w:color="auto"/>
            </w:tcBorders>
          </w:tcPr>
          <w:p w14:paraId="21930C12" w14:textId="07B2753F" w:rsidR="00A07B28" w:rsidRPr="00031F01" w:rsidRDefault="00031F01" w:rsidP="0046708C">
            <w:pPr>
              <w:jc w:val="center"/>
              <w:cnfStyle w:val="000000100000" w:firstRow="0" w:lastRow="0" w:firstColumn="0" w:lastColumn="0" w:oddVBand="0" w:evenVBand="0" w:oddHBand="1" w:evenHBand="0" w:firstRowFirstColumn="0" w:firstRowLastColumn="0" w:lastRowFirstColumn="0" w:lastRowLastColumn="0"/>
              <w:rPr>
                <w:b/>
                <w:sz w:val="18"/>
                <w:szCs w:val="18"/>
              </w:rPr>
            </w:pPr>
            <w:r w:rsidRPr="00031F01">
              <w:rPr>
                <w:b/>
                <w:sz w:val="18"/>
                <w:szCs w:val="18"/>
              </w:rPr>
              <w:t>Maximum %</w:t>
            </w:r>
          </w:p>
        </w:tc>
      </w:tr>
      <w:tr w:rsidR="00A07B28" w14:paraId="3234F37A" w14:textId="77777777" w:rsidTr="00031F01">
        <w:trPr>
          <w:cnfStyle w:val="000000010000" w:firstRow="0" w:lastRow="0" w:firstColumn="0" w:lastColumn="0" w:oddVBand="0" w:evenVBand="0" w:oddHBand="0" w:evenHBand="1"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2600" w:type="dxa"/>
            <w:tcBorders>
              <w:right w:val="single" w:sz="4" w:space="0" w:color="auto"/>
            </w:tcBorders>
          </w:tcPr>
          <w:p w14:paraId="1BE2C50E" w14:textId="3553C493" w:rsidR="00A07B28" w:rsidRDefault="0006669D" w:rsidP="00031F01">
            <w:pPr>
              <w:jc w:val="center"/>
            </w:pPr>
            <w:r>
              <w:rPr>
                <w:noProof/>
                <w:sz w:val="18"/>
              </w:rPr>
              <w:t xml:space="preserve">  </w:t>
            </w:r>
            <w:r w:rsidR="00A67901">
              <w:rPr>
                <w:noProof/>
                <w:sz w:val="18"/>
              </w:rPr>
              <w:fldChar w:fldCharType="begin"/>
            </w:r>
            <w:r w:rsidR="00A67901">
              <w:rPr>
                <w:noProof/>
                <w:sz w:val="18"/>
              </w:rPr>
              <w:instrText xml:space="preserve"> MERGEFIELD "a20" </w:instrText>
            </w:r>
            <w:r w:rsidR="00A67901">
              <w:rPr>
                <w:noProof/>
                <w:sz w:val="18"/>
              </w:rPr>
              <w:fldChar w:fldCharType="separate"/>
            </w:r>
            <w:r w:rsidR="00D35E1C" w:rsidRPr="0076730B">
              <w:rPr>
                <w:noProof/>
                <w:sz w:val="18"/>
              </w:rPr>
              <w:t>THRESHOLD %</w:t>
            </w:r>
            <w:r w:rsidR="00A67901">
              <w:rPr>
                <w:noProof/>
                <w:sz w:val="18"/>
              </w:rPr>
              <w:fldChar w:fldCharType="end"/>
            </w:r>
            <w:r w:rsidR="00031F01" w:rsidRPr="0006669D">
              <w:rPr>
                <w:noProof/>
                <w:sz w:val="18"/>
                <w:highlight w:val="yellow"/>
              </w:rPr>
              <w:t>%</w:t>
            </w:r>
          </w:p>
        </w:tc>
        <w:tc>
          <w:tcPr>
            <w:tcW w:w="4230" w:type="dxa"/>
            <w:tcBorders>
              <w:left w:val="single" w:sz="4" w:space="0" w:color="auto"/>
              <w:right w:val="single" w:sz="4" w:space="0" w:color="auto"/>
            </w:tcBorders>
          </w:tcPr>
          <w:p w14:paraId="65AE6AE6" w14:textId="67E4DC9F" w:rsidR="00A07B28" w:rsidRPr="00CB7BCE" w:rsidRDefault="00A67901" w:rsidP="00031F01">
            <w:pPr>
              <w:spacing w:after="200"/>
              <w:jc w:val="center"/>
              <w:cnfStyle w:val="000000010000" w:firstRow="0" w:lastRow="0" w:firstColumn="0" w:lastColumn="0" w:oddVBand="0" w:evenVBand="0" w:oddHBand="0" w:evenHBand="1" w:firstRowFirstColumn="0" w:firstRowLastColumn="0" w:lastRowFirstColumn="0" w:lastRowLastColumn="0"/>
              <w:rPr>
                <w:b/>
                <w:sz w:val="18"/>
              </w:rPr>
            </w:pPr>
            <w:r>
              <w:rPr>
                <w:b/>
                <w:noProof/>
                <w:sz w:val="18"/>
                <w:highlight w:val="yellow"/>
              </w:rPr>
              <w:fldChar w:fldCharType="begin"/>
            </w:r>
            <w:r>
              <w:rPr>
                <w:b/>
                <w:noProof/>
                <w:sz w:val="18"/>
                <w:highlight w:val="yellow"/>
              </w:rPr>
              <w:instrText xml:space="preserve"> MERGEFIELD "a21" </w:instrText>
            </w:r>
            <w:r>
              <w:rPr>
                <w:b/>
                <w:noProof/>
                <w:sz w:val="18"/>
                <w:highlight w:val="yellow"/>
              </w:rPr>
              <w:fldChar w:fldCharType="separate"/>
            </w:r>
            <w:r w:rsidR="00D35E1C" w:rsidRPr="0076730B">
              <w:rPr>
                <w:b/>
                <w:noProof/>
                <w:sz w:val="18"/>
                <w:highlight w:val="yellow"/>
              </w:rPr>
              <w:t>TARGET %</w:t>
            </w:r>
            <w:r>
              <w:rPr>
                <w:b/>
                <w:noProof/>
                <w:sz w:val="18"/>
                <w:highlight w:val="yellow"/>
              </w:rPr>
              <w:fldChar w:fldCharType="end"/>
            </w:r>
            <w:r w:rsidR="00A07B28" w:rsidRPr="0006669D">
              <w:rPr>
                <w:b/>
                <w:noProof/>
                <w:sz w:val="18"/>
                <w:highlight w:val="yellow"/>
              </w:rPr>
              <w:t>%</w:t>
            </w:r>
          </w:p>
        </w:tc>
        <w:tc>
          <w:tcPr>
            <w:tcW w:w="2569" w:type="dxa"/>
            <w:tcBorders>
              <w:left w:val="single" w:sz="4" w:space="0" w:color="auto"/>
            </w:tcBorders>
          </w:tcPr>
          <w:p w14:paraId="6F47D7F6" w14:textId="38502A72" w:rsidR="00A07B28" w:rsidRDefault="00A67901" w:rsidP="00D93E50">
            <w:pPr>
              <w:jc w:val="center"/>
              <w:cnfStyle w:val="000000010000" w:firstRow="0" w:lastRow="0" w:firstColumn="0" w:lastColumn="0" w:oddVBand="0" w:evenVBand="0" w:oddHBand="0" w:evenHBand="1" w:firstRowFirstColumn="0" w:firstRowLastColumn="0" w:lastRowFirstColumn="0" w:lastRowLastColumn="0"/>
            </w:pPr>
            <w:r>
              <w:rPr>
                <w:b/>
                <w:noProof/>
                <w:sz w:val="18"/>
                <w:highlight w:val="yellow"/>
              </w:rPr>
              <w:fldChar w:fldCharType="begin"/>
            </w:r>
            <w:r>
              <w:rPr>
                <w:b/>
                <w:noProof/>
                <w:sz w:val="18"/>
                <w:highlight w:val="yellow"/>
              </w:rPr>
              <w:instrText xml:space="preserve"> MERGEFIELD "a22" </w:instrText>
            </w:r>
            <w:r>
              <w:rPr>
                <w:b/>
                <w:noProof/>
                <w:sz w:val="18"/>
                <w:highlight w:val="yellow"/>
              </w:rPr>
              <w:fldChar w:fldCharType="separate"/>
            </w:r>
            <w:r w:rsidR="00D35E1C" w:rsidRPr="0076730B">
              <w:rPr>
                <w:b/>
                <w:noProof/>
                <w:sz w:val="18"/>
                <w:highlight w:val="yellow"/>
              </w:rPr>
              <w:t>MAX %</w:t>
            </w:r>
            <w:r>
              <w:rPr>
                <w:b/>
                <w:noProof/>
                <w:sz w:val="18"/>
                <w:highlight w:val="yellow"/>
              </w:rPr>
              <w:fldChar w:fldCharType="end"/>
            </w:r>
            <w:r w:rsidR="00031F01" w:rsidRPr="0006669D">
              <w:rPr>
                <w:b/>
                <w:noProof/>
                <w:sz w:val="18"/>
                <w:highlight w:val="yellow"/>
              </w:rPr>
              <w:t>%</w:t>
            </w:r>
          </w:p>
        </w:tc>
      </w:tr>
      <w:tr w:rsidR="00031F01" w14:paraId="540EC1F4" w14:textId="77777777" w:rsidTr="00A6790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399" w:type="dxa"/>
            <w:gridSpan w:val="3"/>
          </w:tcPr>
          <w:p w14:paraId="51EEDFDB" w14:textId="514B9482" w:rsidR="00031F01" w:rsidRPr="00AA061B" w:rsidRDefault="00031F01" w:rsidP="0046708C">
            <w:pPr>
              <w:jc w:val="center"/>
              <w:rPr>
                <w:b w:val="0"/>
                <w:sz w:val="18"/>
                <w:szCs w:val="18"/>
              </w:rPr>
            </w:pPr>
            <w:r w:rsidRPr="00AA061B">
              <w:rPr>
                <w:b w:val="0"/>
                <w:sz w:val="18"/>
                <w:szCs w:val="18"/>
              </w:rPr>
              <w:t>Variable percentages are taken as a percentage of base salary, i.e. 10% target on salary of 60,000</w:t>
            </w:r>
            <w:r w:rsidR="007F4380">
              <w:rPr>
                <w:b w:val="0"/>
                <w:sz w:val="18"/>
                <w:szCs w:val="18"/>
              </w:rPr>
              <w:t xml:space="preserve"> EUR would be a target annual incentive </w:t>
            </w:r>
            <w:r w:rsidRPr="00AA061B">
              <w:rPr>
                <w:b w:val="0"/>
                <w:sz w:val="18"/>
                <w:szCs w:val="18"/>
              </w:rPr>
              <w:t>of 6,000 EUR</w:t>
            </w:r>
          </w:p>
        </w:tc>
      </w:tr>
      <w:tr w:rsidR="00BF03EB" w14:paraId="39691701" w14:textId="77777777" w:rsidTr="00031F01">
        <w:trPr>
          <w:cnfStyle w:val="000000010000" w:firstRow="0" w:lastRow="0" w:firstColumn="0" w:lastColumn="0" w:oddVBand="0" w:evenVBand="0" w:oddHBand="0" w:evenHBand="1"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600" w:type="dxa"/>
          </w:tcPr>
          <w:p w14:paraId="346D5395" w14:textId="77777777" w:rsidR="00BF03EB" w:rsidRDefault="00BF03EB" w:rsidP="0046708C">
            <w:pPr>
              <w:jc w:val="center"/>
            </w:pPr>
          </w:p>
        </w:tc>
        <w:tc>
          <w:tcPr>
            <w:tcW w:w="4230" w:type="dxa"/>
          </w:tcPr>
          <w:p w14:paraId="612C40CF" w14:textId="77777777" w:rsidR="00BF03EB" w:rsidRDefault="00DF7CD2" w:rsidP="00F72623">
            <w:pPr>
              <w:jc w:val="center"/>
              <w:cnfStyle w:val="000000010000" w:firstRow="0" w:lastRow="0" w:firstColumn="0" w:lastColumn="0" w:oddVBand="0" w:evenVBand="0" w:oddHBand="0" w:evenHBand="1" w:firstRowFirstColumn="0" w:firstRowLastColumn="0" w:lastRowFirstColumn="0" w:lastRowLastColumn="0"/>
              <w:rPr>
                <w:b/>
                <w:noProof/>
                <w:sz w:val="18"/>
              </w:rPr>
            </w:pPr>
            <w:r>
              <w:rPr>
                <w:b/>
                <w:sz w:val="18"/>
              </w:rPr>
              <w:t>Scope</w:t>
            </w:r>
            <w:r w:rsidR="00F72623">
              <w:rPr>
                <w:b/>
                <w:sz w:val="18"/>
              </w:rPr>
              <w:t xml:space="preserve"> </w:t>
            </w:r>
            <w:r w:rsidR="00BF03EB">
              <w:rPr>
                <w:b/>
                <w:sz w:val="18"/>
              </w:rPr>
              <w:t>of Responsibility</w:t>
            </w:r>
          </w:p>
        </w:tc>
        <w:tc>
          <w:tcPr>
            <w:tcW w:w="2569" w:type="dxa"/>
          </w:tcPr>
          <w:p w14:paraId="79BF428D" w14:textId="77777777" w:rsidR="00BF03EB" w:rsidRDefault="00BF03EB" w:rsidP="0046708C">
            <w:pPr>
              <w:jc w:val="center"/>
              <w:cnfStyle w:val="000000010000" w:firstRow="0" w:lastRow="0" w:firstColumn="0" w:lastColumn="0" w:oddVBand="0" w:evenVBand="0" w:oddHBand="0" w:evenHBand="1" w:firstRowFirstColumn="0" w:firstRowLastColumn="0" w:lastRowFirstColumn="0" w:lastRowLastColumn="0"/>
            </w:pPr>
          </w:p>
        </w:tc>
      </w:tr>
      <w:tr w:rsidR="00EE7223" w14:paraId="1158B079" w14:textId="77777777" w:rsidTr="00031F0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600" w:type="dxa"/>
          </w:tcPr>
          <w:p w14:paraId="463967CC" w14:textId="77777777" w:rsidR="00EE7223" w:rsidRDefault="00EE7223" w:rsidP="0046708C">
            <w:pPr>
              <w:jc w:val="center"/>
            </w:pPr>
          </w:p>
        </w:tc>
        <w:tc>
          <w:tcPr>
            <w:tcW w:w="4230" w:type="dxa"/>
          </w:tcPr>
          <w:p w14:paraId="234FE629" w14:textId="55274100" w:rsidR="00EE7223" w:rsidRDefault="00A67901" w:rsidP="00F72623">
            <w:pPr>
              <w:jc w:val="center"/>
              <w:cnfStyle w:val="000000100000" w:firstRow="0" w:lastRow="0" w:firstColumn="0" w:lastColumn="0" w:oddVBand="0" w:evenVBand="0" w:oddHBand="1" w:evenHBand="0" w:firstRowFirstColumn="0" w:firstRowLastColumn="0" w:lastRowFirstColumn="0" w:lastRowLastColumn="0"/>
              <w:rPr>
                <w:b/>
                <w:sz w:val="18"/>
              </w:rPr>
            </w:pPr>
            <w:r>
              <w:rPr>
                <w:b/>
                <w:sz w:val="18"/>
                <w:highlight w:val="yellow"/>
              </w:rPr>
              <w:fldChar w:fldCharType="begin"/>
            </w:r>
            <w:r>
              <w:rPr>
                <w:b/>
                <w:sz w:val="18"/>
                <w:highlight w:val="yellow"/>
              </w:rPr>
              <w:instrText xml:space="preserve"> MERGEFIELD "a17" </w:instrText>
            </w:r>
            <w:r>
              <w:rPr>
                <w:b/>
                <w:sz w:val="18"/>
                <w:highlight w:val="yellow"/>
              </w:rPr>
              <w:fldChar w:fldCharType="separate"/>
            </w:r>
            <w:r w:rsidR="00D35E1C" w:rsidRPr="0076730B">
              <w:rPr>
                <w:b/>
                <w:noProof/>
                <w:sz w:val="18"/>
                <w:highlight w:val="yellow"/>
              </w:rPr>
              <w:t>SCOPE OF  RESPONSIBILITY</w:t>
            </w:r>
            <w:r>
              <w:rPr>
                <w:b/>
                <w:sz w:val="18"/>
                <w:highlight w:val="yellow"/>
              </w:rPr>
              <w:fldChar w:fldCharType="end"/>
            </w:r>
          </w:p>
        </w:tc>
        <w:tc>
          <w:tcPr>
            <w:tcW w:w="2569" w:type="dxa"/>
          </w:tcPr>
          <w:p w14:paraId="4B3D7FB2" w14:textId="77777777" w:rsidR="00EE7223" w:rsidRDefault="00EE7223" w:rsidP="0046708C">
            <w:pPr>
              <w:jc w:val="center"/>
              <w:cnfStyle w:val="000000100000" w:firstRow="0" w:lastRow="0" w:firstColumn="0" w:lastColumn="0" w:oddVBand="0" w:evenVBand="0" w:oddHBand="1" w:evenHBand="0" w:firstRowFirstColumn="0" w:firstRowLastColumn="0" w:lastRowFirstColumn="0" w:lastRowLastColumn="0"/>
            </w:pPr>
          </w:p>
        </w:tc>
      </w:tr>
      <w:tr w:rsidR="00BF03EB" w14:paraId="1E3AEAEB" w14:textId="77777777" w:rsidTr="00031F01">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0FA45DE7" w14:textId="77777777" w:rsidR="00BF03EB" w:rsidRDefault="00BF03EB" w:rsidP="0046708C">
            <w:pPr>
              <w:jc w:val="center"/>
            </w:pPr>
          </w:p>
        </w:tc>
        <w:tc>
          <w:tcPr>
            <w:tcW w:w="4230" w:type="dxa"/>
          </w:tcPr>
          <w:p w14:paraId="2FB326E8" w14:textId="2D9F1985" w:rsidR="00BF03EB" w:rsidRDefault="00402C58" w:rsidP="002C030A">
            <w:pPr>
              <w:jc w:val="center"/>
              <w:cnfStyle w:val="000000010000" w:firstRow="0" w:lastRow="0" w:firstColumn="0" w:lastColumn="0" w:oddVBand="0" w:evenVBand="0" w:oddHBand="0" w:evenHBand="1" w:firstRowFirstColumn="0" w:firstRowLastColumn="0" w:lastRowFirstColumn="0" w:lastRowLastColumn="0"/>
              <w:rPr>
                <w:b/>
                <w:noProof/>
                <w:sz w:val="18"/>
              </w:rPr>
            </w:pPr>
            <w:r>
              <w:rPr>
                <w:b/>
                <w:noProof/>
                <w:sz w:val="18"/>
              </w:rPr>
              <w:t>Area of Responsibility</w:t>
            </w:r>
          </w:p>
        </w:tc>
        <w:tc>
          <w:tcPr>
            <w:tcW w:w="2569" w:type="dxa"/>
          </w:tcPr>
          <w:p w14:paraId="06E870C5" w14:textId="77777777" w:rsidR="00BF03EB" w:rsidRDefault="00BF03EB" w:rsidP="0046708C">
            <w:pPr>
              <w:jc w:val="center"/>
              <w:cnfStyle w:val="000000010000" w:firstRow="0" w:lastRow="0" w:firstColumn="0" w:lastColumn="0" w:oddVBand="0" w:evenVBand="0" w:oddHBand="0" w:evenHBand="1" w:firstRowFirstColumn="0" w:firstRowLastColumn="0" w:lastRowFirstColumn="0" w:lastRowLastColumn="0"/>
            </w:pPr>
          </w:p>
        </w:tc>
      </w:tr>
      <w:tr w:rsidR="00DF7CD2" w14:paraId="56C505FA" w14:textId="77777777" w:rsidTr="00031F0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5552F96F" w14:textId="77777777" w:rsidR="00DF7CD2" w:rsidRDefault="00DF7CD2" w:rsidP="0046708C">
            <w:pPr>
              <w:jc w:val="center"/>
            </w:pPr>
          </w:p>
        </w:tc>
        <w:tc>
          <w:tcPr>
            <w:tcW w:w="4230" w:type="dxa"/>
          </w:tcPr>
          <w:p w14:paraId="6B37FCC6" w14:textId="466D49C3" w:rsidR="00DF7CD2" w:rsidRDefault="00A67901" w:rsidP="002C030A">
            <w:pPr>
              <w:jc w:val="center"/>
              <w:cnfStyle w:val="000000100000" w:firstRow="0" w:lastRow="0" w:firstColumn="0" w:lastColumn="0" w:oddVBand="0" w:evenVBand="0" w:oddHBand="1" w:evenHBand="0" w:firstRowFirstColumn="0" w:firstRowLastColumn="0" w:lastRowFirstColumn="0" w:lastRowLastColumn="0"/>
              <w:rPr>
                <w:b/>
                <w:noProof/>
                <w:sz w:val="18"/>
              </w:rPr>
            </w:pPr>
            <w:r>
              <w:rPr>
                <w:b/>
                <w:noProof/>
                <w:sz w:val="18"/>
                <w:highlight w:val="yellow"/>
              </w:rPr>
              <w:fldChar w:fldCharType="begin"/>
            </w:r>
            <w:r>
              <w:rPr>
                <w:b/>
                <w:noProof/>
                <w:sz w:val="18"/>
                <w:highlight w:val="yellow"/>
              </w:rPr>
              <w:instrText xml:space="preserve"> MERGEFIELD "a18" </w:instrText>
            </w:r>
            <w:r>
              <w:rPr>
                <w:b/>
                <w:noProof/>
                <w:sz w:val="18"/>
                <w:highlight w:val="yellow"/>
              </w:rPr>
              <w:fldChar w:fldCharType="separate"/>
            </w:r>
            <w:r w:rsidR="00D35E1C" w:rsidRPr="0076730B">
              <w:rPr>
                <w:b/>
                <w:noProof/>
                <w:sz w:val="18"/>
                <w:highlight w:val="yellow"/>
              </w:rPr>
              <w:t>REGION/AREA</w:t>
            </w:r>
            <w:r>
              <w:rPr>
                <w:b/>
                <w:noProof/>
                <w:sz w:val="18"/>
                <w:highlight w:val="yellow"/>
              </w:rPr>
              <w:fldChar w:fldCharType="end"/>
            </w:r>
          </w:p>
        </w:tc>
        <w:tc>
          <w:tcPr>
            <w:tcW w:w="2569" w:type="dxa"/>
          </w:tcPr>
          <w:p w14:paraId="5DE935E2" w14:textId="77777777" w:rsidR="00DF7CD2" w:rsidRDefault="00DF7CD2" w:rsidP="0046708C">
            <w:pPr>
              <w:jc w:val="center"/>
              <w:cnfStyle w:val="000000100000" w:firstRow="0" w:lastRow="0" w:firstColumn="0" w:lastColumn="0" w:oddVBand="0" w:evenVBand="0" w:oddHBand="1" w:evenHBand="0" w:firstRowFirstColumn="0" w:firstRowLastColumn="0" w:lastRowFirstColumn="0" w:lastRowLastColumn="0"/>
            </w:pPr>
          </w:p>
        </w:tc>
      </w:tr>
      <w:tr w:rsidR="00176CE9" w14:paraId="5B29C43B" w14:textId="77777777" w:rsidTr="00031F01">
        <w:trPr>
          <w:cnfStyle w:val="000000010000" w:firstRow="0" w:lastRow="0" w:firstColumn="0" w:lastColumn="0" w:oddVBand="0" w:evenVBand="0" w:oddHBand="0" w:evenHBand="1"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1A99A089" w14:textId="77777777" w:rsidR="00176CE9" w:rsidRDefault="00176CE9" w:rsidP="0046708C">
            <w:pPr>
              <w:jc w:val="center"/>
            </w:pPr>
          </w:p>
        </w:tc>
        <w:tc>
          <w:tcPr>
            <w:tcW w:w="4230" w:type="dxa"/>
          </w:tcPr>
          <w:p w14:paraId="12B0614F" w14:textId="6C59DF77" w:rsidR="00176CE9" w:rsidRDefault="00176CE9" w:rsidP="002C030A">
            <w:pPr>
              <w:jc w:val="center"/>
              <w:cnfStyle w:val="000000010000" w:firstRow="0" w:lastRow="0" w:firstColumn="0" w:lastColumn="0" w:oddVBand="0" w:evenVBand="0" w:oddHBand="0" w:evenHBand="1" w:firstRowFirstColumn="0" w:firstRowLastColumn="0" w:lastRowFirstColumn="0" w:lastRowLastColumn="0"/>
              <w:rPr>
                <w:b/>
                <w:noProof/>
                <w:sz w:val="18"/>
              </w:rPr>
            </w:pPr>
            <w:r>
              <w:rPr>
                <w:b/>
                <w:noProof/>
                <w:sz w:val="18"/>
              </w:rPr>
              <w:t>LoB</w:t>
            </w:r>
          </w:p>
        </w:tc>
        <w:tc>
          <w:tcPr>
            <w:tcW w:w="2569" w:type="dxa"/>
          </w:tcPr>
          <w:p w14:paraId="1391CB1D" w14:textId="77777777" w:rsidR="00176CE9" w:rsidRDefault="00176CE9" w:rsidP="0046708C">
            <w:pPr>
              <w:jc w:val="center"/>
              <w:cnfStyle w:val="000000010000" w:firstRow="0" w:lastRow="0" w:firstColumn="0" w:lastColumn="0" w:oddVBand="0" w:evenVBand="0" w:oddHBand="0" w:evenHBand="1" w:firstRowFirstColumn="0" w:firstRowLastColumn="0" w:lastRowFirstColumn="0" w:lastRowLastColumn="0"/>
            </w:pPr>
          </w:p>
        </w:tc>
      </w:tr>
      <w:tr w:rsidR="00176CE9" w14:paraId="40134AC4" w14:textId="77777777" w:rsidTr="00031F0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600" w:type="dxa"/>
          </w:tcPr>
          <w:p w14:paraId="5C645763" w14:textId="77777777" w:rsidR="00176CE9" w:rsidRDefault="00176CE9" w:rsidP="0046708C">
            <w:pPr>
              <w:jc w:val="center"/>
            </w:pPr>
          </w:p>
        </w:tc>
        <w:tc>
          <w:tcPr>
            <w:tcW w:w="4230" w:type="dxa"/>
          </w:tcPr>
          <w:p w14:paraId="10795F43" w14:textId="3ABE0F3A" w:rsidR="00176CE9" w:rsidRDefault="00A67901" w:rsidP="002C030A">
            <w:pPr>
              <w:jc w:val="center"/>
              <w:cnfStyle w:val="000000100000" w:firstRow="0" w:lastRow="0" w:firstColumn="0" w:lastColumn="0" w:oddVBand="0" w:evenVBand="0" w:oddHBand="1" w:evenHBand="0" w:firstRowFirstColumn="0" w:firstRowLastColumn="0" w:lastRowFirstColumn="0" w:lastRowLastColumn="0"/>
              <w:rPr>
                <w:b/>
                <w:noProof/>
                <w:sz w:val="18"/>
              </w:rPr>
            </w:pPr>
            <w:r>
              <w:rPr>
                <w:b/>
                <w:noProof/>
                <w:sz w:val="18"/>
                <w:highlight w:val="yellow"/>
              </w:rPr>
              <w:fldChar w:fldCharType="begin"/>
            </w:r>
            <w:r>
              <w:rPr>
                <w:b/>
                <w:noProof/>
                <w:sz w:val="18"/>
                <w:highlight w:val="yellow"/>
              </w:rPr>
              <w:instrText xml:space="preserve"> MERGEFIELD "a19" </w:instrText>
            </w:r>
            <w:r>
              <w:rPr>
                <w:b/>
                <w:noProof/>
                <w:sz w:val="18"/>
                <w:highlight w:val="yellow"/>
              </w:rPr>
              <w:fldChar w:fldCharType="separate"/>
            </w:r>
            <w:r w:rsidR="00D35E1C" w:rsidRPr="0076730B">
              <w:rPr>
                <w:b/>
                <w:noProof/>
                <w:sz w:val="18"/>
                <w:highlight w:val="yellow"/>
              </w:rPr>
              <w:t>LOB</w:t>
            </w:r>
            <w:r>
              <w:rPr>
                <w:b/>
                <w:noProof/>
                <w:sz w:val="18"/>
                <w:highlight w:val="yellow"/>
              </w:rPr>
              <w:fldChar w:fldCharType="end"/>
            </w:r>
          </w:p>
        </w:tc>
        <w:tc>
          <w:tcPr>
            <w:tcW w:w="2569" w:type="dxa"/>
          </w:tcPr>
          <w:p w14:paraId="1B484F34" w14:textId="77777777" w:rsidR="00176CE9" w:rsidRDefault="00176CE9" w:rsidP="0046708C">
            <w:pPr>
              <w:jc w:val="center"/>
              <w:cnfStyle w:val="000000100000" w:firstRow="0" w:lastRow="0" w:firstColumn="0" w:lastColumn="0" w:oddVBand="0" w:evenVBand="0" w:oddHBand="1" w:evenHBand="0" w:firstRowFirstColumn="0" w:firstRowLastColumn="0" w:lastRowFirstColumn="0" w:lastRowLastColumn="0"/>
            </w:pPr>
          </w:p>
        </w:tc>
      </w:tr>
    </w:tbl>
    <w:tbl>
      <w:tblPr>
        <w:tblStyle w:val="MediumShading2-Accent1"/>
        <w:tblpPr w:leftFromText="180" w:rightFromText="180" w:vertAnchor="text" w:tblpXSpec="center" w:tblpY="165"/>
        <w:tblW w:w="0" w:type="auto"/>
        <w:tblLook w:val="04A0" w:firstRow="1" w:lastRow="0" w:firstColumn="1" w:lastColumn="0" w:noHBand="0" w:noVBand="1"/>
      </w:tblPr>
      <w:tblGrid>
        <w:gridCol w:w="1303"/>
        <w:gridCol w:w="679"/>
        <w:gridCol w:w="1456"/>
        <w:gridCol w:w="1251"/>
        <w:gridCol w:w="1223"/>
        <w:gridCol w:w="1303"/>
        <w:gridCol w:w="1303"/>
        <w:gridCol w:w="13"/>
      </w:tblGrid>
      <w:tr w:rsidR="00402C58" w14:paraId="38A2C2A8" w14:textId="77777777" w:rsidTr="00A67901">
        <w:trPr>
          <w:cnfStyle w:val="100000000000" w:firstRow="1" w:lastRow="0" w:firstColumn="0" w:lastColumn="0" w:oddVBand="0" w:evenVBand="0" w:oddHBand="0" w:evenHBand="0" w:firstRowFirstColumn="0" w:firstRowLastColumn="0" w:lastRowFirstColumn="0" w:lastRowLastColumn="0"/>
          <w:trHeight w:val="582"/>
        </w:trPr>
        <w:tc>
          <w:tcPr>
            <w:cnfStyle w:val="001000000100" w:firstRow="0" w:lastRow="0" w:firstColumn="1" w:lastColumn="0" w:oddVBand="0" w:evenVBand="0" w:oddHBand="0" w:evenHBand="0" w:firstRowFirstColumn="1" w:firstRowLastColumn="0" w:lastRowFirstColumn="0" w:lastRowLastColumn="0"/>
            <w:tcW w:w="1303" w:type="dxa"/>
          </w:tcPr>
          <w:p w14:paraId="597F239F" w14:textId="77777777" w:rsidR="00402C58" w:rsidRDefault="00402C58" w:rsidP="0046708C">
            <w:pPr>
              <w:jc w:val="center"/>
              <w:rPr>
                <w:szCs w:val="18"/>
              </w:rPr>
            </w:pPr>
          </w:p>
        </w:tc>
        <w:tc>
          <w:tcPr>
            <w:tcW w:w="7228" w:type="dxa"/>
            <w:gridSpan w:val="7"/>
            <w:vAlign w:val="center"/>
          </w:tcPr>
          <w:p w14:paraId="72D6E1D6" w14:textId="7D204189" w:rsidR="00402C58" w:rsidRPr="00CB7BCE" w:rsidRDefault="00402C58" w:rsidP="0046708C">
            <w:pPr>
              <w:jc w:val="center"/>
              <w:cnfStyle w:val="100000000000" w:firstRow="1" w:lastRow="0" w:firstColumn="0" w:lastColumn="0" w:oddVBand="0" w:evenVBand="0" w:oddHBand="0" w:evenHBand="0" w:firstRowFirstColumn="0" w:firstRowLastColumn="0" w:lastRowFirstColumn="0" w:lastRowLastColumn="0"/>
              <w:rPr>
                <w:sz w:val="18"/>
                <w:szCs w:val="18"/>
              </w:rPr>
            </w:pPr>
            <w:r>
              <w:rPr>
                <w:szCs w:val="18"/>
              </w:rPr>
              <w:t xml:space="preserve">Plan </w:t>
            </w:r>
            <w:r w:rsidRPr="00CB7BCE">
              <w:rPr>
                <w:szCs w:val="18"/>
              </w:rPr>
              <w:t>Metrics</w:t>
            </w:r>
          </w:p>
        </w:tc>
      </w:tr>
      <w:tr w:rsidR="00402C58" w14:paraId="34F97158" w14:textId="7D867887" w:rsidTr="00402C58">
        <w:trPr>
          <w:gridAfter w:val="1"/>
          <w:cnfStyle w:val="000000100000" w:firstRow="0" w:lastRow="0" w:firstColumn="0" w:lastColumn="0" w:oddVBand="0" w:evenVBand="0" w:oddHBand="1" w:evenHBand="0" w:firstRowFirstColumn="0" w:firstRowLastColumn="0" w:lastRowFirstColumn="0" w:lastRowLastColumn="0"/>
          <w:wAfter w:w="13" w:type="dxa"/>
          <w:trHeight w:val="135"/>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571280DF" w14:textId="77777777" w:rsidR="00402C58" w:rsidRPr="00CB7BCE" w:rsidRDefault="00402C58" w:rsidP="0046708C">
            <w:pPr>
              <w:jc w:val="center"/>
              <w:rPr>
                <w:sz w:val="18"/>
                <w:szCs w:val="18"/>
              </w:rPr>
            </w:pPr>
            <w:r w:rsidRPr="00CA0099">
              <w:rPr>
                <w:color w:val="auto"/>
                <w:sz w:val="18"/>
                <w:szCs w:val="18"/>
              </w:rPr>
              <w:t>Components</w:t>
            </w:r>
          </w:p>
        </w:tc>
        <w:tc>
          <w:tcPr>
            <w:tcW w:w="1456" w:type="dxa"/>
            <w:vAlign w:val="center"/>
          </w:tcPr>
          <w:p w14:paraId="7BE6BCAE"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Percentage Weighting</w:t>
            </w:r>
          </w:p>
        </w:tc>
        <w:tc>
          <w:tcPr>
            <w:tcW w:w="1251" w:type="dxa"/>
            <w:vAlign w:val="center"/>
          </w:tcPr>
          <w:p w14:paraId="5DE15EF6"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Threshold</w:t>
            </w:r>
          </w:p>
        </w:tc>
        <w:tc>
          <w:tcPr>
            <w:tcW w:w="1223" w:type="dxa"/>
            <w:vAlign w:val="center"/>
          </w:tcPr>
          <w:p w14:paraId="2A04F808"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Target</w:t>
            </w:r>
          </w:p>
        </w:tc>
        <w:tc>
          <w:tcPr>
            <w:tcW w:w="1303" w:type="dxa"/>
            <w:vAlign w:val="center"/>
          </w:tcPr>
          <w:p w14:paraId="1BAC1DA1" w14:textId="77777777" w:rsidR="00402C58" w:rsidRPr="00CB7BCE" w:rsidRDefault="00402C58" w:rsidP="0046708C">
            <w:pPr>
              <w:jc w:val="center"/>
              <w:cnfStyle w:val="000000100000" w:firstRow="0" w:lastRow="0" w:firstColumn="0" w:lastColumn="0" w:oddVBand="0" w:evenVBand="0" w:oddHBand="1" w:evenHBand="0" w:firstRowFirstColumn="0" w:firstRowLastColumn="0" w:lastRowFirstColumn="0" w:lastRowLastColumn="0"/>
              <w:rPr>
                <w:sz w:val="18"/>
                <w:szCs w:val="18"/>
              </w:rPr>
            </w:pPr>
            <w:r w:rsidRPr="00CB7BCE">
              <w:rPr>
                <w:sz w:val="18"/>
                <w:szCs w:val="18"/>
              </w:rPr>
              <w:t>Maximum</w:t>
            </w:r>
          </w:p>
        </w:tc>
        <w:tc>
          <w:tcPr>
            <w:tcW w:w="1303" w:type="dxa"/>
            <w:vAlign w:val="center"/>
          </w:tcPr>
          <w:p w14:paraId="2ACAD738" w14:textId="2F65907D" w:rsidR="00402C58" w:rsidRPr="00CB7BCE" w:rsidRDefault="00402C58" w:rsidP="00402C58">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Currency</w:t>
            </w:r>
          </w:p>
        </w:tc>
      </w:tr>
      <w:tr w:rsidR="00402C58" w14:paraId="5A14F661" w14:textId="42AF42B4" w:rsidTr="00A67901">
        <w:trPr>
          <w:gridAfter w:val="1"/>
          <w:wAfter w:w="13" w:type="dxa"/>
          <w:trHeight w:val="507"/>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607E1E39" w14:textId="77777777" w:rsidR="00402C58" w:rsidRPr="00CB7BCE" w:rsidRDefault="00402C58" w:rsidP="0046708C">
            <w:pPr>
              <w:jc w:val="center"/>
              <w:rPr>
                <w:sz w:val="18"/>
                <w:szCs w:val="18"/>
              </w:rPr>
            </w:pPr>
            <w:r w:rsidRPr="00CB7BCE">
              <w:rPr>
                <w:sz w:val="18"/>
                <w:szCs w:val="18"/>
              </w:rPr>
              <w:t>Operating Profit</w:t>
            </w:r>
            <w:r>
              <w:rPr>
                <w:sz w:val="18"/>
                <w:szCs w:val="18"/>
              </w:rPr>
              <w:t xml:space="preserve"> (OP)</w:t>
            </w:r>
          </w:p>
        </w:tc>
        <w:tc>
          <w:tcPr>
            <w:tcW w:w="1456" w:type="dxa"/>
            <w:vAlign w:val="center"/>
          </w:tcPr>
          <w:p w14:paraId="615A6811" w14:textId="284FC95A" w:rsidR="00402C58" w:rsidRPr="0006669D" w:rsidRDefault="00A67901" w:rsidP="00EE2BB9">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"a24" </w:instrText>
            </w:r>
            <w:r>
              <w:rPr>
                <w:sz w:val="18"/>
                <w:szCs w:val="18"/>
                <w:highlight w:val="yellow"/>
              </w:rPr>
              <w:fldChar w:fldCharType="separate"/>
            </w:r>
            <w:r w:rsidR="00D35E1C" w:rsidRPr="0076730B">
              <w:rPr>
                <w:noProof/>
                <w:sz w:val="18"/>
                <w:szCs w:val="18"/>
                <w:highlight w:val="yellow"/>
              </w:rPr>
              <w:t>Operating Profit (OP)</w:t>
            </w:r>
            <w:r>
              <w:rPr>
                <w:sz w:val="18"/>
                <w:szCs w:val="18"/>
                <w:highlight w:val="yellow"/>
              </w:rPr>
              <w:fldChar w:fldCharType="end"/>
            </w:r>
            <w:r w:rsidR="00402C58" w:rsidRPr="0006669D">
              <w:rPr>
                <w:sz w:val="18"/>
                <w:szCs w:val="18"/>
                <w:highlight w:val="yellow"/>
              </w:rPr>
              <w:t>%</w:t>
            </w:r>
          </w:p>
        </w:tc>
        <w:tc>
          <w:tcPr>
            <w:tcW w:w="1251" w:type="dxa"/>
            <w:vAlign w:val="center"/>
          </w:tcPr>
          <w:p w14:paraId="64573B93" w14:textId="531CC997" w:rsidR="00402C58" w:rsidRPr="0006669D" w:rsidRDefault="00A67901" w:rsidP="00B1522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"a36" </w:instrText>
            </w:r>
            <w:r>
              <w:rPr>
                <w:sz w:val="18"/>
                <w:szCs w:val="18"/>
                <w:highlight w:val="yellow"/>
              </w:rPr>
              <w:fldChar w:fldCharType="separate"/>
            </w:r>
            <w:r w:rsidR="00D35E1C" w:rsidRPr="0076730B">
              <w:rPr>
                <w:noProof/>
                <w:sz w:val="18"/>
                <w:szCs w:val="18"/>
                <w:highlight w:val="yellow"/>
              </w:rPr>
              <w:t>OP THRESHOLD (LOCAL)</w:t>
            </w:r>
            <w:r>
              <w:rPr>
                <w:sz w:val="18"/>
                <w:szCs w:val="18"/>
                <w:highlight w:val="yellow"/>
              </w:rPr>
              <w:fldChar w:fldCharType="end"/>
            </w:r>
          </w:p>
        </w:tc>
        <w:tc>
          <w:tcPr>
            <w:tcW w:w="1223" w:type="dxa"/>
            <w:vAlign w:val="center"/>
          </w:tcPr>
          <w:p w14:paraId="019569B9" w14:textId="7F72010A" w:rsidR="00402C58" w:rsidRPr="0006669D" w:rsidRDefault="00A67901" w:rsidP="00B1522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sidRPr="006F7BA8">
              <w:rPr>
                <w:sz w:val="18"/>
                <w:szCs w:val="18"/>
              </w:rPr>
              <w:fldChar w:fldCharType="begin"/>
            </w:r>
            <w:r w:rsidRPr="006F7BA8">
              <w:rPr>
                <w:sz w:val="18"/>
                <w:szCs w:val="18"/>
              </w:rPr>
              <w:instrText xml:space="preserve"> MERGEFIELD "a37" </w:instrText>
            </w:r>
            <w:r w:rsidRPr="006F7BA8">
              <w:rPr>
                <w:sz w:val="18"/>
                <w:szCs w:val="18"/>
              </w:rPr>
              <w:fldChar w:fldCharType="separate"/>
            </w:r>
            <w:r w:rsidR="00D35E1C" w:rsidRPr="0076730B">
              <w:rPr>
                <w:noProof/>
                <w:sz w:val="18"/>
                <w:szCs w:val="18"/>
              </w:rPr>
              <w:t>OP TARGET (LOCAL)</w:t>
            </w:r>
            <w:r w:rsidRPr="006F7BA8">
              <w:rPr>
                <w:sz w:val="18"/>
                <w:szCs w:val="18"/>
              </w:rPr>
              <w:fldChar w:fldCharType="end"/>
            </w:r>
          </w:p>
        </w:tc>
        <w:tc>
          <w:tcPr>
            <w:tcW w:w="1303" w:type="dxa"/>
            <w:vAlign w:val="center"/>
          </w:tcPr>
          <w:p w14:paraId="5C058039" w14:textId="0C949836" w:rsidR="00402C58" w:rsidRPr="0006669D" w:rsidRDefault="00A67901" w:rsidP="00B15220">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"a38" </w:instrText>
            </w:r>
            <w:r>
              <w:rPr>
                <w:sz w:val="18"/>
                <w:szCs w:val="18"/>
                <w:highlight w:val="yellow"/>
              </w:rPr>
              <w:fldChar w:fldCharType="separate"/>
            </w:r>
            <w:r w:rsidR="00D35E1C" w:rsidRPr="0076730B">
              <w:rPr>
                <w:noProof/>
                <w:sz w:val="18"/>
                <w:szCs w:val="18"/>
                <w:highlight w:val="yellow"/>
              </w:rPr>
              <w:t>OP MAX (LOCAL)</w:t>
            </w:r>
            <w:r>
              <w:rPr>
                <w:sz w:val="18"/>
                <w:szCs w:val="18"/>
                <w:highlight w:val="yellow"/>
              </w:rPr>
              <w:fldChar w:fldCharType="end"/>
            </w:r>
          </w:p>
        </w:tc>
        <w:tc>
          <w:tcPr>
            <w:tcW w:w="1303" w:type="dxa"/>
          </w:tcPr>
          <w:p w14:paraId="589ED88B" w14:textId="2922B27F" w:rsidR="00402C58" w:rsidRPr="0006669D" w:rsidRDefault="006F7BA8" w:rsidP="00B15220">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"a35" </w:instrText>
            </w:r>
            <w:r>
              <w:rPr>
                <w:noProof/>
                <w:sz w:val="18"/>
                <w:szCs w:val="18"/>
                <w:highlight w:val="yellow"/>
              </w:rPr>
              <w:fldChar w:fldCharType="separate"/>
            </w:r>
            <w:r w:rsidR="00D35E1C" w:rsidRPr="0076730B">
              <w:rPr>
                <w:noProof/>
                <w:sz w:val="18"/>
                <w:szCs w:val="18"/>
                <w:highlight w:val="yellow"/>
              </w:rPr>
              <w:t>OP CURRENCY</w:t>
            </w:r>
            <w:r>
              <w:rPr>
                <w:noProof/>
                <w:sz w:val="18"/>
                <w:szCs w:val="18"/>
                <w:highlight w:val="yellow"/>
              </w:rPr>
              <w:fldChar w:fldCharType="end"/>
            </w:r>
          </w:p>
        </w:tc>
      </w:tr>
      <w:tr w:rsidR="00176CE9" w14:paraId="1EB4EAF0" w14:textId="77777777" w:rsidTr="00A67901">
        <w:trPr>
          <w:gridAfter w:val="1"/>
          <w:cnfStyle w:val="000000100000" w:firstRow="0" w:lastRow="0" w:firstColumn="0" w:lastColumn="0" w:oddVBand="0" w:evenVBand="0" w:oddHBand="1" w:evenHBand="0" w:firstRowFirstColumn="0" w:firstRowLastColumn="0" w:lastRowFirstColumn="0" w:lastRowLastColumn="0"/>
          <w:wAfter w:w="13" w:type="dxa"/>
          <w:trHeight w:val="507"/>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26F1E9EF" w14:textId="1DA5B97A" w:rsidR="00176CE9" w:rsidRPr="00CB7BCE" w:rsidRDefault="00176CE9" w:rsidP="0046708C">
            <w:pPr>
              <w:jc w:val="center"/>
              <w:rPr>
                <w:sz w:val="18"/>
                <w:szCs w:val="18"/>
              </w:rPr>
            </w:pPr>
            <w:r>
              <w:rPr>
                <w:sz w:val="18"/>
                <w:szCs w:val="18"/>
              </w:rPr>
              <w:t>LoB Operating Profit (OP)</w:t>
            </w:r>
          </w:p>
        </w:tc>
        <w:tc>
          <w:tcPr>
            <w:tcW w:w="1456" w:type="dxa"/>
            <w:vAlign w:val="center"/>
          </w:tcPr>
          <w:p w14:paraId="29A844E0" w14:textId="723C4B6D" w:rsidR="00176CE9" w:rsidRPr="0006669D" w:rsidRDefault="00A67901" w:rsidP="00EE2BB9">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"a25" </w:instrText>
            </w:r>
            <w:r>
              <w:rPr>
                <w:sz w:val="18"/>
                <w:szCs w:val="18"/>
                <w:highlight w:val="yellow"/>
              </w:rPr>
              <w:fldChar w:fldCharType="separate"/>
            </w:r>
            <w:r w:rsidR="00D35E1C" w:rsidRPr="0076730B">
              <w:rPr>
                <w:noProof/>
                <w:sz w:val="18"/>
                <w:szCs w:val="18"/>
                <w:highlight w:val="yellow"/>
              </w:rPr>
              <w:t>LoB Operating Profit (OP)</w:t>
            </w:r>
            <w:r>
              <w:rPr>
                <w:sz w:val="18"/>
                <w:szCs w:val="18"/>
                <w:highlight w:val="yellow"/>
              </w:rPr>
              <w:fldChar w:fldCharType="end"/>
            </w:r>
            <w:r w:rsidR="00176CE9" w:rsidRPr="0006669D">
              <w:rPr>
                <w:sz w:val="18"/>
                <w:szCs w:val="18"/>
                <w:highlight w:val="yellow"/>
              </w:rPr>
              <w:t>%</w:t>
            </w:r>
          </w:p>
        </w:tc>
        <w:tc>
          <w:tcPr>
            <w:tcW w:w="1251" w:type="dxa"/>
            <w:vAlign w:val="center"/>
          </w:tcPr>
          <w:p w14:paraId="3767110E" w14:textId="58F935F0" w:rsidR="00176CE9" w:rsidRPr="0006669D" w:rsidRDefault="006F7BA8"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"a31" </w:instrText>
            </w:r>
            <w:r>
              <w:rPr>
                <w:sz w:val="18"/>
                <w:szCs w:val="18"/>
                <w:highlight w:val="yellow"/>
              </w:rPr>
              <w:fldChar w:fldCharType="separate"/>
            </w:r>
            <w:r w:rsidR="00D35E1C" w:rsidRPr="0076730B">
              <w:rPr>
                <w:noProof/>
                <w:sz w:val="18"/>
                <w:szCs w:val="18"/>
                <w:highlight w:val="yellow"/>
              </w:rPr>
              <w:t>LOB OP CURRENCY</w:t>
            </w:r>
            <w:r>
              <w:rPr>
                <w:sz w:val="18"/>
                <w:szCs w:val="18"/>
                <w:highlight w:val="yellow"/>
              </w:rPr>
              <w:fldChar w:fldCharType="end"/>
            </w:r>
          </w:p>
        </w:tc>
        <w:tc>
          <w:tcPr>
            <w:tcW w:w="1223" w:type="dxa"/>
            <w:vAlign w:val="center"/>
          </w:tcPr>
          <w:p w14:paraId="08060B19" w14:textId="5497FAE5" w:rsidR="00176CE9" w:rsidRPr="0006669D" w:rsidRDefault="006F7BA8"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"a33" </w:instrText>
            </w:r>
            <w:r>
              <w:rPr>
                <w:sz w:val="18"/>
                <w:szCs w:val="18"/>
                <w:highlight w:val="yellow"/>
              </w:rPr>
              <w:fldChar w:fldCharType="separate"/>
            </w:r>
            <w:r w:rsidR="00D35E1C" w:rsidRPr="0076730B">
              <w:rPr>
                <w:noProof/>
                <w:sz w:val="18"/>
                <w:szCs w:val="18"/>
                <w:highlight w:val="yellow"/>
              </w:rPr>
              <w:t>LOB OP TARGET (LOCAL)</w:t>
            </w:r>
            <w:r>
              <w:rPr>
                <w:sz w:val="18"/>
                <w:szCs w:val="18"/>
                <w:highlight w:val="yellow"/>
              </w:rPr>
              <w:fldChar w:fldCharType="end"/>
            </w:r>
          </w:p>
        </w:tc>
        <w:tc>
          <w:tcPr>
            <w:tcW w:w="1303" w:type="dxa"/>
            <w:vAlign w:val="center"/>
          </w:tcPr>
          <w:p w14:paraId="6AE47CB8" w14:textId="208C5502" w:rsidR="00176CE9" w:rsidRPr="0006669D" w:rsidRDefault="006F7BA8" w:rsidP="00B1522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"a34" </w:instrText>
            </w:r>
            <w:r>
              <w:rPr>
                <w:sz w:val="18"/>
                <w:szCs w:val="18"/>
                <w:highlight w:val="yellow"/>
              </w:rPr>
              <w:fldChar w:fldCharType="separate"/>
            </w:r>
            <w:r w:rsidR="00D35E1C" w:rsidRPr="0076730B">
              <w:rPr>
                <w:noProof/>
                <w:sz w:val="18"/>
                <w:szCs w:val="18"/>
                <w:highlight w:val="yellow"/>
              </w:rPr>
              <w:t>LOB OP MAX (LOCAL)</w:t>
            </w:r>
            <w:r>
              <w:rPr>
                <w:sz w:val="18"/>
                <w:szCs w:val="18"/>
                <w:highlight w:val="yellow"/>
              </w:rPr>
              <w:fldChar w:fldCharType="end"/>
            </w:r>
          </w:p>
        </w:tc>
        <w:tc>
          <w:tcPr>
            <w:tcW w:w="1303" w:type="dxa"/>
          </w:tcPr>
          <w:p w14:paraId="5A91995A" w14:textId="4C9AB8D5" w:rsidR="00176CE9" w:rsidRPr="0006669D" w:rsidRDefault="006F7BA8" w:rsidP="00B15220">
            <w:pPr>
              <w:jc w:val="center"/>
              <w:cnfStyle w:val="000000100000" w:firstRow="0" w:lastRow="0" w:firstColumn="0" w:lastColumn="0" w:oddVBand="0" w:evenVBand="0" w:oddHBand="1"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"a31" </w:instrText>
            </w:r>
            <w:r>
              <w:rPr>
                <w:noProof/>
                <w:sz w:val="18"/>
                <w:szCs w:val="18"/>
                <w:highlight w:val="yellow"/>
              </w:rPr>
              <w:fldChar w:fldCharType="separate"/>
            </w:r>
            <w:r w:rsidR="00D35E1C" w:rsidRPr="0076730B">
              <w:rPr>
                <w:noProof/>
                <w:sz w:val="18"/>
                <w:szCs w:val="18"/>
                <w:highlight w:val="yellow"/>
              </w:rPr>
              <w:t>LOB OP CURRENCY</w:t>
            </w:r>
            <w:r>
              <w:rPr>
                <w:noProof/>
                <w:sz w:val="18"/>
                <w:szCs w:val="18"/>
                <w:highlight w:val="yellow"/>
              </w:rPr>
              <w:fldChar w:fldCharType="end"/>
            </w:r>
          </w:p>
        </w:tc>
      </w:tr>
      <w:tr w:rsidR="00402C58" w14:paraId="1644C403" w14:textId="7F41A45E" w:rsidTr="00B119C4">
        <w:trPr>
          <w:gridAfter w:val="1"/>
          <w:wAfter w:w="13" w:type="dxa"/>
          <w:trHeight w:val="453"/>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3A27BC39" w14:textId="4D15F338" w:rsidR="00402C58" w:rsidRDefault="00B119C4" w:rsidP="00EE2BB9">
            <w:pPr>
              <w:jc w:val="center"/>
              <w:rPr>
                <w:sz w:val="18"/>
                <w:szCs w:val="18"/>
              </w:rPr>
            </w:pPr>
            <w:r>
              <w:rPr>
                <w:sz w:val="18"/>
                <w:szCs w:val="18"/>
              </w:rPr>
              <w:t>Free Cash Flow (FCF)</w:t>
            </w:r>
          </w:p>
        </w:tc>
        <w:tc>
          <w:tcPr>
            <w:tcW w:w="1456" w:type="dxa"/>
            <w:vAlign w:val="center"/>
          </w:tcPr>
          <w:p w14:paraId="216C9DAB" w14:textId="0705C648" w:rsidR="00402C58" w:rsidRPr="0006669D" w:rsidRDefault="00A67901" w:rsidP="00527D14">
            <w:pPr>
              <w:jc w:val="center"/>
              <w:cnfStyle w:val="000000000000" w:firstRow="0" w:lastRow="0" w:firstColumn="0" w:lastColumn="0" w:oddVBand="0" w:evenVBand="0" w:oddHBand="0"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"a23" </w:instrText>
            </w:r>
            <w:r>
              <w:rPr>
                <w:sz w:val="18"/>
                <w:szCs w:val="18"/>
                <w:highlight w:val="yellow"/>
              </w:rPr>
              <w:fldChar w:fldCharType="separate"/>
            </w:r>
            <w:r w:rsidR="00D35E1C" w:rsidRPr="0076730B">
              <w:rPr>
                <w:noProof/>
                <w:sz w:val="18"/>
                <w:szCs w:val="18"/>
                <w:highlight w:val="yellow"/>
              </w:rPr>
              <w:t>Free Cash Flow (FCF)</w:t>
            </w:r>
            <w:r>
              <w:rPr>
                <w:sz w:val="18"/>
                <w:szCs w:val="18"/>
                <w:highlight w:val="yellow"/>
              </w:rPr>
              <w:fldChar w:fldCharType="end"/>
            </w:r>
            <w:r w:rsidR="00402C58" w:rsidRPr="0006669D">
              <w:rPr>
                <w:sz w:val="18"/>
                <w:szCs w:val="18"/>
                <w:highlight w:val="yellow"/>
              </w:rPr>
              <w:t>%</w:t>
            </w:r>
          </w:p>
        </w:tc>
        <w:tc>
          <w:tcPr>
            <w:tcW w:w="1251" w:type="dxa"/>
            <w:vAlign w:val="center"/>
          </w:tcPr>
          <w:p w14:paraId="5EE95D1F" w14:textId="37435B81" w:rsidR="00402C58" w:rsidRPr="0006669D" w:rsidRDefault="006F7BA8"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"a28" </w:instrText>
            </w:r>
            <w:r>
              <w:rPr>
                <w:noProof/>
                <w:sz w:val="18"/>
                <w:szCs w:val="18"/>
                <w:highlight w:val="yellow"/>
              </w:rPr>
              <w:fldChar w:fldCharType="separate"/>
            </w:r>
            <w:r w:rsidR="00D35E1C" w:rsidRPr="0076730B">
              <w:rPr>
                <w:noProof/>
                <w:sz w:val="18"/>
                <w:szCs w:val="18"/>
                <w:highlight w:val="yellow"/>
              </w:rPr>
              <w:t>FCF THRESHOLD (LOCAL)</w:t>
            </w:r>
            <w:r>
              <w:rPr>
                <w:noProof/>
                <w:sz w:val="18"/>
                <w:szCs w:val="18"/>
                <w:highlight w:val="yellow"/>
              </w:rPr>
              <w:fldChar w:fldCharType="end"/>
            </w:r>
          </w:p>
        </w:tc>
        <w:tc>
          <w:tcPr>
            <w:tcW w:w="1223" w:type="dxa"/>
            <w:vAlign w:val="center"/>
          </w:tcPr>
          <w:p w14:paraId="39A64A59" w14:textId="46A619B1" w:rsidR="00402C58" w:rsidRPr="0006669D" w:rsidRDefault="006F7BA8"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"a29" </w:instrText>
            </w:r>
            <w:r>
              <w:rPr>
                <w:noProof/>
                <w:sz w:val="18"/>
                <w:szCs w:val="18"/>
                <w:highlight w:val="yellow"/>
              </w:rPr>
              <w:fldChar w:fldCharType="separate"/>
            </w:r>
            <w:r w:rsidR="00D35E1C" w:rsidRPr="0076730B">
              <w:rPr>
                <w:noProof/>
                <w:sz w:val="18"/>
                <w:szCs w:val="18"/>
                <w:highlight w:val="yellow"/>
              </w:rPr>
              <w:t>FCF TARGET (LOCAL)</w:t>
            </w:r>
            <w:r>
              <w:rPr>
                <w:noProof/>
                <w:sz w:val="18"/>
                <w:szCs w:val="18"/>
                <w:highlight w:val="yellow"/>
              </w:rPr>
              <w:fldChar w:fldCharType="end"/>
            </w:r>
          </w:p>
        </w:tc>
        <w:tc>
          <w:tcPr>
            <w:tcW w:w="1303" w:type="dxa"/>
            <w:vAlign w:val="center"/>
          </w:tcPr>
          <w:p w14:paraId="3B7F1B3D" w14:textId="60044808" w:rsidR="00402C58" w:rsidRPr="0006669D" w:rsidRDefault="006F7BA8" w:rsidP="00527D1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"a30" </w:instrText>
            </w:r>
            <w:r>
              <w:rPr>
                <w:noProof/>
                <w:sz w:val="18"/>
                <w:szCs w:val="18"/>
                <w:highlight w:val="yellow"/>
              </w:rPr>
              <w:fldChar w:fldCharType="separate"/>
            </w:r>
            <w:r w:rsidR="00D35E1C" w:rsidRPr="0076730B">
              <w:rPr>
                <w:noProof/>
                <w:sz w:val="18"/>
                <w:szCs w:val="18"/>
                <w:highlight w:val="yellow"/>
              </w:rPr>
              <w:t>FCF MAX (LOCAL)</w:t>
            </w:r>
            <w:r>
              <w:rPr>
                <w:noProof/>
                <w:sz w:val="18"/>
                <w:szCs w:val="18"/>
                <w:highlight w:val="yellow"/>
              </w:rPr>
              <w:fldChar w:fldCharType="end"/>
            </w:r>
          </w:p>
        </w:tc>
        <w:tc>
          <w:tcPr>
            <w:tcW w:w="1303" w:type="dxa"/>
            <w:vAlign w:val="center"/>
          </w:tcPr>
          <w:p w14:paraId="144BA1A9" w14:textId="7E79D3B2" w:rsidR="00402C58" w:rsidRPr="0006669D" w:rsidRDefault="006F7BA8" w:rsidP="00B119C4">
            <w:pPr>
              <w:jc w:val="center"/>
              <w:cnfStyle w:val="000000000000" w:firstRow="0" w:lastRow="0" w:firstColumn="0" w:lastColumn="0" w:oddVBand="0" w:evenVBand="0" w:oddHBand="0" w:evenHBand="0" w:firstRowFirstColumn="0" w:firstRowLastColumn="0" w:lastRowFirstColumn="0" w:lastRowLastColumn="0"/>
              <w:rPr>
                <w:noProof/>
                <w:sz w:val="18"/>
                <w:szCs w:val="18"/>
                <w:highlight w:val="yellow"/>
              </w:rPr>
            </w:pPr>
            <w:r>
              <w:rPr>
                <w:noProof/>
                <w:sz w:val="18"/>
                <w:szCs w:val="18"/>
                <w:highlight w:val="yellow"/>
              </w:rPr>
              <w:fldChar w:fldCharType="begin"/>
            </w:r>
            <w:r>
              <w:rPr>
                <w:noProof/>
                <w:sz w:val="18"/>
                <w:szCs w:val="18"/>
                <w:highlight w:val="yellow"/>
              </w:rPr>
              <w:instrText xml:space="preserve"> MERGEFIELD "a27" </w:instrText>
            </w:r>
            <w:r>
              <w:rPr>
                <w:noProof/>
                <w:sz w:val="18"/>
                <w:szCs w:val="18"/>
                <w:highlight w:val="yellow"/>
              </w:rPr>
              <w:fldChar w:fldCharType="separate"/>
            </w:r>
            <w:r w:rsidR="00D35E1C" w:rsidRPr="0076730B">
              <w:rPr>
                <w:noProof/>
                <w:sz w:val="18"/>
                <w:szCs w:val="18"/>
                <w:highlight w:val="yellow"/>
              </w:rPr>
              <w:t>FCF CURRENCY</w:t>
            </w:r>
            <w:r>
              <w:rPr>
                <w:noProof/>
                <w:sz w:val="18"/>
                <w:szCs w:val="18"/>
                <w:highlight w:val="yellow"/>
              </w:rPr>
              <w:fldChar w:fldCharType="end"/>
            </w:r>
          </w:p>
        </w:tc>
      </w:tr>
      <w:tr w:rsidR="00402C58" w14:paraId="0195B76C" w14:textId="34859F72" w:rsidTr="00A67901">
        <w:trPr>
          <w:gridAfter w:val="1"/>
          <w:cnfStyle w:val="000000100000" w:firstRow="0" w:lastRow="0" w:firstColumn="0" w:lastColumn="0" w:oddVBand="0" w:evenVBand="0" w:oddHBand="1" w:evenHBand="0" w:firstRowFirstColumn="0" w:firstRowLastColumn="0" w:lastRowFirstColumn="0" w:lastRowLastColumn="0"/>
          <w:wAfter w:w="13" w:type="dxa"/>
          <w:trHeight w:val="543"/>
        </w:trPr>
        <w:tc>
          <w:tcPr>
            <w:cnfStyle w:val="001000000000" w:firstRow="0" w:lastRow="0" w:firstColumn="1" w:lastColumn="0" w:oddVBand="0" w:evenVBand="0" w:oddHBand="0" w:evenHBand="0" w:firstRowFirstColumn="0" w:firstRowLastColumn="0" w:lastRowFirstColumn="0" w:lastRowLastColumn="0"/>
            <w:tcW w:w="1982" w:type="dxa"/>
            <w:gridSpan w:val="2"/>
            <w:vAlign w:val="center"/>
          </w:tcPr>
          <w:p w14:paraId="67205A30" w14:textId="77777777" w:rsidR="00402C58" w:rsidRPr="00CB7BCE" w:rsidRDefault="00402C58" w:rsidP="0046708C">
            <w:pPr>
              <w:jc w:val="center"/>
              <w:rPr>
                <w:sz w:val="18"/>
                <w:szCs w:val="18"/>
              </w:rPr>
            </w:pPr>
            <w:r>
              <w:rPr>
                <w:sz w:val="18"/>
                <w:szCs w:val="18"/>
              </w:rPr>
              <w:t>Key Initiatives</w:t>
            </w:r>
          </w:p>
        </w:tc>
        <w:tc>
          <w:tcPr>
            <w:tcW w:w="1456" w:type="dxa"/>
            <w:vAlign w:val="center"/>
          </w:tcPr>
          <w:p w14:paraId="5F30DEFE" w14:textId="1025FB96" w:rsidR="00402C58" w:rsidRPr="0006669D" w:rsidRDefault="00A67901" w:rsidP="004054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Pr>
                <w:sz w:val="18"/>
                <w:szCs w:val="18"/>
                <w:highlight w:val="yellow"/>
              </w:rPr>
              <w:fldChar w:fldCharType="begin"/>
            </w:r>
            <w:r>
              <w:rPr>
                <w:sz w:val="18"/>
                <w:szCs w:val="18"/>
                <w:highlight w:val="yellow"/>
              </w:rPr>
              <w:instrText xml:space="preserve"> MERGEFIELD "a26" </w:instrText>
            </w:r>
            <w:r>
              <w:rPr>
                <w:sz w:val="18"/>
                <w:szCs w:val="18"/>
                <w:highlight w:val="yellow"/>
              </w:rPr>
              <w:fldChar w:fldCharType="separate"/>
            </w:r>
            <w:r w:rsidR="00D35E1C" w:rsidRPr="0076730B">
              <w:rPr>
                <w:noProof/>
                <w:sz w:val="18"/>
                <w:szCs w:val="18"/>
                <w:highlight w:val="yellow"/>
              </w:rPr>
              <w:t>Key Initiatives (KI)</w:t>
            </w:r>
            <w:r>
              <w:rPr>
                <w:sz w:val="18"/>
                <w:szCs w:val="18"/>
                <w:highlight w:val="yellow"/>
              </w:rPr>
              <w:fldChar w:fldCharType="end"/>
            </w:r>
            <w:r w:rsidR="00402C58" w:rsidRPr="0006669D">
              <w:rPr>
                <w:sz w:val="18"/>
                <w:szCs w:val="18"/>
                <w:highlight w:val="yellow"/>
              </w:rPr>
              <w:t>%</w:t>
            </w:r>
          </w:p>
        </w:tc>
        <w:tc>
          <w:tcPr>
            <w:tcW w:w="3777" w:type="dxa"/>
            <w:gridSpan w:val="3"/>
            <w:vAlign w:val="center"/>
          </w:tcPr>
          <w:p w14:paraId="70E7A444" w14:textId="604552BB" w:rsidR="00402C58" w:rsidRPr="0006669D" w:rsidRDefault="00402C58" w:rsidP="007F4380">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r w:rsidRPr="0006669D">
              <w:rPr>
                <w:sz w:val="18"/>
                <w:szCs w:val="18"/>
              </w:rPr>
              <w:t xml:space="preserve">To be </w:t>
            </w:r>
            <w:r w:rsidR="007F4380" w:rsidRPr="0006669D">
              <w:rPr>
                <w:sz w:val="18"/>
                <w:szCs w:val="18"/>
              </w:rPr>
              <w:t>agreed upon with your business leader and maintained in the Compass system.</w:t>
            </w:r>
            <w:r w:rsidRPr="0006669D">
              <w:rPr>
                <w:sz w:val="18"/>
                <w:szCs w:val="18"/>
              </w:rPr>
              <w:t xml:space="preserve"> </w:t>
            </w:r>
          </w:p>
        </w:tc>
        <w:tc>
          <w:tcPr>
            <w:tcW w:w="1303" w:type="dxa"/>
          </w:tcPr>
          <w:p w14:paraId="0542A418" w14:textId="77777777" w:rsidR="00402C58" w:rsidRPr="0006669D" w:rsidRDefault="00402C58" w:rsidP="004054BD">
            <w:pPr>
              <w:jc w:val="center"/>
              <w:cnfStyle w:val="000000100000" w:firstRow="0" w:lastRow="0" w:firstColumn="0" w:lastColumn="0" w:oddVBand="0" w:evenVBand="0" w:oddHBand="1" w:evenHBand="0" w:firstRowFirstColumn="0" w:firstRowLastColumn="0" w:lastRowFirstColumn="0" w:lastRowLastColumn="0"/>
              <w:rPr>
                <w:sz w:val="18"/>
                <w:szCs w:val="18"/>
                <w:highlight w:val="yellow"/>
              </w:rPr>
            </w:pPr>
          </w:p>
        </w:tc>
      </w:tr>
    </w:tbl>
    <w:p w14:paraId="609670A1" w14:textId="77777777" w:rsidR="00E36C64" w:rsidRDefault="00E36C64" w:rsidP="00E36C64">
      <w:pPr>
        <w:autoSpaceDE w:val="0"/>
        <w:autoSpaceDN w:val="0"/>
        <w:adjustRightInd w:val="0"/>
        <w:spacing w:line="240" w:lineRule="auto"/>
        <w:ind w:left="180"/>
        <w:rPr>
          <w:rFonts w:ascii="Calibri" w:eastAsia="Calibri" w:hAnsi="Calibri" w:cs="Times New Roman"/>
          <w:sz w:val="20"/>
        </w:rPr>
      </w:pPr>
      <w:r w:rsidRPr="00CB7BCE">
        <w:rPr>
          <w:rFonts w:cstheme="minorHAnsi"/>
          <w:sz w:val="14"/>
          <w:szCs w:val="18"/>
        </w:rPr>
        <w:t xml:space="preserve">Note: This plan is discretionary. The company reserves the right to adjust, amend or terminate this plan at </w:t>
      </w:r>
      <w:r>
        <w:rPr>
          <w:rFonts w:cstheme="minorHAnsi"/>
          <w:sz w:val="14"/>
          <w:szCs w:val="18"/>
        </w:rPr>
        <w:t>any time with or without notice.  If there is a discrepancy between this letter and the plan document, the plan document governs. Metrics may be reported in different currencies, please reference the Currency column to identify your specific measurements. The company determines the exchange rate.</w:t>
      </w:r>
    </w:p>
    <w:p w14:paraId="23488F3A" w14:textId="5B393189" w:rsidR="00B119C4" w:rsidRDefault="00A07B28" w:rsidP="0080610F">
      <w:pPr>
        <w:autoSpaceDE w:val="0"/>
        <w:autoSpaceDN w:val="0"/>
        <w:adjustRightInd w:val="0"/>
        <w:spacing w:line="240" w:lineRule="auto"/>
        <w:ind w:left="180"/>
        <w:rPr>
          <w:sz w:val="20"/>
        </w:rPr>
      </w:pPr>
      <w:r w:rsidRPr="00CB7BCE">
        <w:rPr>
          <w:sz w:val="20"/>
        </w:rPr>
        <w:t>Yo</w:t>
      </w:r>
      <w:r w:rsidR="002274FE">
        <w:rPr>
          <w:sz w:val="20"/>
        </w:rPr>
        <w:t>ur participation in this plan</w:t>
      </w:r>
      <w:r w:rsidRPr="00CB7BCE">
        <w:rPr>
          <w:sz w:val="20"/>
        </w:rPr>
        <w:t xml:space="preserve"> reflects both your contribution to Diebold </w:t>
      </w:r>
      <w:r w:rsidR="00A76930">
        <w:rPr>
          <w:sz w:val="20"/>
        </w:rPr>
        <w:t xml:space="preserve">Nixdorf </w:t>
      </w:r>
      <w:r w:rsidRPr="00CB7BCE">
        <w:rPr>
          <w:sz w:val="20"/>
        </w:rPr>
        <w:t xml:space="preserve">as well as </w:t>
      </w:r>
      <w:r w:rsidR="003F73BF">
        <w:rPr>
          <w:sz w:val="20"/>
        </w:rPr>
        <w:t xml:space="preserve">the </w:t>
      </w:r>
      <w:r w:rsidRPr="00CB7BCE">
        <w:rPr>
          <w:sz w:val="20"/>
        </w:rPr>
        <w:t xml:space="preserve">importance of your role in the current and future success of the business. </w:t>
      </w:r>
      <w:r w:rsidR="001126E8">
        <w:rPr>
          <w:sz w:val="20"/>
        </w:rPr>
        <w:t>I</w:t>
      </w:r>
      <w:r w:rsidR="002274FE">
        <w:rPr>
          <w:sz w:val="20"/>
        </w:rPr>
        <w:t>f you would like a copy of the annual incentive p</w:t>
      </w:r>
      <w:r w:rsidR="004B7DC5">
        <w:rPr>
          <w:sz w:val="20"/>
        </w:rPr>
        <w:t>lan please visit the HR Portal or request from your HRBP.</w:t>
      </w:r>
      <w:r w:rsidR="001126E8">
        <w:rPr>
          <w:sz w:val="20"/>
        </w:rPr>
        <w:t xml:space="preserve"> </w:t>
      </w:r>
    </w:p>
    <w:sectPr w:rsidR="00B119C4" w:rsidSect="001C65ED">
      <w:pgSz w:w="12240" w:h="15840"/>
      <w:pgMar w:top="108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B5A3F"/>
    <w:multiLevelType w:val="hybridMultilevel"/>
    <w:tmpl w:val="D998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510762956"/>
  </wne:recipientData>
  <wne:recipientData>
    <wne:active wne:val="1"/>
    <wne:hash wne:val="2127177680"/>
  </wne:recipientData>
  <wne:recipientData>
    <wne:active wne:val="1"/>
    <wne:hash wne:val="-1881499122"/>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C:\WORK\HR_Automation_projs\HR_Generic\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Blad1$` "/>
    <w:dataSource r:id="rId1"/>
    <w:viewMergedData/>
    <w:odso>
      <w:udl w:val="Provider=Microsoft.ACE.OLEDB.12.0;User ID=Admin;Data Source=C:\WORK\HR_Automation_projs\HR_Generic\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Blad1$"/>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4B"/>
    <w:rsid w:val="00004894"/>
    <w:rsid w:val="000219CA"/>
    <w:rsid w:val="00031F01"/>
    <w:rsid w:val="000366C0"/>
    <w:rsid w:val="00043FFA"/>
    <w:rsid w:val="00047013"/>
    <w:rsid w:val="00063253"/>
    <w:rsid w:val="000635EC"/>
    <w:rsid w:val="0006669D"/>
    <w:rsid w:val="00067B8F"/>
    <w:rsid w:val="00076F7B"/>
    <w:rsid w:val="00090C92"/>
    <w:rsid w:val="000A1219"/>
    <w:rsid w:val="000A4E4E"/>
    <w:rsid w:val="000C0292"/>
    <w:rsid w:val="001126E8"/>
    <w:rsid w:val="001167FE"/>
    <w:rsid w:val="00164A9C"/>
    <w:rsid w:val="00176CE9"/>
    <w:rsid w:val="001C65ED"/>
    <w:rsid w:val="001D0EB6"/>
    <w:rsid w:val="002274FE"/>
    <w:rsid w:val="00254023"/>
    <w:rsid w:val="002C030A"/>
    <w:rsid w:val="00315E0D"/>
    <w:rsid w:val="00325BA5"/>
    <w:rsid w:val="00327C95"/>
    <w:rsid w:val="0033361A"/>
    <w:rsid w:val="00333B68"/>
    <w:rsid w:val="00372E69"/>
    <w:rsid w:val="003B0A9B"/>
    <w:rsid w:val="003B0D9A"/>
    <w:rsid w:val="003E7592"/>
    <w:rsid w:val="003F73BF"/>
    <w:rsid w:val="00402C58"/>
    <w:rsid w:val="004054BD"/>
    <w:rsid w:val="00461B5A"/>
    <w:rsid w:val="0046708C"/>
    <w:rsid w:val="00481A7A"/>
    <w:rsid w:val="004A381D"/>
    <w:rsid w:val="004A430C"/>
    <w:rsid w:val="004B7DC5"/>
    <w:rsid w:val="004F7731"/>
    <w:rsid w:val="00510116"/>
    <w:rsid w:val="00527D14"/>
    <w:rsid w:val="00543E79"/>
    <w:rsid w:val="00546488"/>
    <w:rsid w:val="0055209C"/>
    <w:rsid w:val="00554EBE"/>
    <w:rsid w:val="00556A68"/>
    <w:rsid w:val="00567F48"/>
    <w:rsid w:val="0059498F"/>
    <w:rsid w:val="005B4877"/>
    <w:rsid w:val="00604EA5"/>
    <w:rsid w:val="006349BB"/>
    <w:rsid w:val="0064022A"/>
    <w:rsid w:val="00642A4E"/>
    <w:rsid w:val="006443B6"/>
    <w:rsid w:val="006457FC"/>
    <w:rsid w:val="00653D31"/>
    <w:rsid w:val="006B5AD7"/>
    <w:rsid w:val="006F7BA8"/>
    <w:rsid w:val="007023F8"/>
    <w:rsid w:val="00706ABB"/>
    <w:rsid w:val="00714365"/>
    <w:rsid w:val="00761DB1"/>
    <w:rsid w:val="00773CED"/>
    <w:rsid w:val="007807CA"/>
    <w:rsid w:val="00796603"/>
    <w:rsid w:val="007A35AA"/>
    <w:rsid w:val="007F4380"/>
    <w:rsid w:val="0080610F"/>
    <w:rsid w:val="00866561"/>
    <w:rsid w:val="008B4BAC"/>
    <w:rsid w:val="00904586"/>
    <w:rsid w:val="0092721F"/>
    <w:rsid w:val="009314A0"/>
    <w:rsid w:val="00931CAF"/>
    <w:rsid w:val="009366DB"/>
    <w:rsid w:val="00942E11"/>
    <w:rsid w:val="00955AC5"/>
    <w:rsid w:val="009607E7"/>
    <w:rsid w:val="00965609"/>
    <w:rsid w:val="00990D1D"/>
    <w:rsid w:val="009A2524"/>
    <w:rsid w:val="009A2A74"/>
    <w:rsid w:val="009C0C17"/>
    <w:rsid w:val="009D7267"/>
    <w:rsid w:val="00A0357E"/>
    <w:rsid w:val="00A0398F"/>
    <w:rsid w:val="00A07B28"/>
    <w:rsid w:val="00A26BCC"/>
    <w:rsid w:val="00A41861"/>
    <w:rsid w:val="00A57864"/>
    <w:rsid w:val="00A67901"/>
    <w:rsid w:val="00A76930"/>
    <w:rsid w:val="00A832F0"/>
    <w:rsid w:val="00A857C8"/>
    <w:rsid w:val="00AA061B"/>
    <w:rsid w:val="00AA1509"/>
    <w:rsid w:val="00AB35AB"/>
    <w:rsid w:val="00B1139F"/>
    <w:rsid w:val="00B119C4"/>
    <w:rsid w:val="00B15220"/>
    <w:rsid w:val="00B224CA"/>
    <w:rsid w:val="00B26654"/>
    <w:rsid w:val="00B27DC0"/>
    <w:rsid w:val="00BA28EC"/>
    <w:rsid w:val="00BF03EB"/>
    <w:rsid w:val="00BF7CA7"/>
    <w:rsid w:val="00C511EF"/>
    <w:rsid w:val="00C53971"/>
    <w:rsid w:val="00C77DED"/>
    <w:rsid w:val="00CA0099"/>
    <w:rsid w:val="00CC5766"/>
    <w:rsid w:val="00CF5F8E"/>
    <w:rsid w:val="00D124B6"/>
    <w:rsid w:val="00D35E1C"/>
    <w:rsid w:val="00D824CD"/>
    <w:rsid w:val="00D93E50"/>
    <w:rsid w:val="00DB666F"/>
    <w:rsid w:val="00DD5258"/>
    <w:rsid w:val="00DE384B"/>
    <w:rsid w:val="00DF0922"/>
    <w:rsid w:val="00DF7CD2"/>
    <w:rsid w:val="00E0389A"/>
    <w:rsid w:val="00E364F8"/>
    <w:rsid w:val="00E36C64"/>
    <w:rsid w:val="00E628D9"/>
    <w:rsid w:val="00E730E0"/>
    <w:rsid w:val="00E77648"/>
    <w:rsid w:val="00EA66FC"/>
    <w:rsid w:val="00ED4C37"/>
    <w:rsid w:val="00EE2BB9"/>
    <w:rsid w:val="00EE7223"/>
    <w:rsid w:val="00EF24A3"/>
    <w:rsid w:val="00F03214"/>
    <w:rsid w:val="00F04A43"/>
    <w:rsid w:val="00F11DD4"/>
    <w:rsid w:val="00F266B9"/>
    <w:rsid w:val="00F444B2"/>
    <w:rsid w:val="00F527C9"/>
    <w:rsid w:val="00F66492"/>
    <w:rsid w:val="00F72623"/>
    <w:rsid w:val="00F808F0"/>
    <w:rsid w:val="00F85C22"/>
    <w:rsid w:val="00F86709"/>
    <w:rsid w:val="00FA046B"/>
    <w:rsid w:val="00FB324B"/>
    <w:rsid w:val="00FF1D20"/>
    <w:rsid w:val="00FF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48214"/>
  <w15:docId w15:val="{CF006F99-54EA-4001-BFD1-41AC05D80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654"/>
    <w:rPr>
      <w:rFonts w:ascii="Tahoma" w:hAnsi="Tahoma" w:cs="Tahoma"/>
      <w:sz w:val="16"/>
      <w:szCs w:val="16"/>
    </w:rPr>
  </w:style>
  <w:style w:type="table" w:styleId="TableGrid">
    <w:name w:val="Table Grid"/>
    <w:basedOn w:val="TableNormal"/>
    <w:uiPriority w:val="59"/>
    <w:rsid w:val="00F52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CC576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CC576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F04A43"/>
    <w:rPr>
      <w:sz w:val="16"/>
      <w:szCs w:val="16"/>
    </w:rPr>
  </w:style>
  <w:style w:type="paragraph" w:styleId="CommentText">
    <w:name w:val="annotation text"/>
    <w:basedOn w:val="Normal"/>
    <w:link w:val="CommentTextChar"/>
    <w:uiPriority w:val="99"/>
    <w:semiHidden/>
    <w:unhideWhenUsed/>
    <w:rsid w:val="00F04A43"/>
    <w:pPr>
      <w:spacing w:line="240" w:lineRule="auto"/>
    </w:pPr>
    <w:rPr>
      <w:sz w:val="20"/>
      <w:szCs w:val="20"/>
    </w:rPr>
  </w:style>
  <w:style w:type="character" w:customStyle="1" w:styleId="CommentTextChar">
    <w:name w:val="Comment Text Char"/>
    <w:basedOn w:val="DefaultParagraphFont"/>
    <w:link w:val="CommentText"/>
    <w:uiPriority w:val="99"/>
    <w:semiHidden/>
    <w:rsid w:val="00F04A43"/>
    <w:rPr>
      <w:sz w:val="20"/>
      <w:szCs w:val="20"/>
    </w:rPr>
  </w:style>
  <w:style w:type="paragraph" w:styleId="CommentSubject">
    <w:name w:val="annotation subject"/>
    <w:basedOn w:val="CommentText"/>
    <w:next w:val="CommentText"/>
    <w:link w:val="CommentSubjectChar"/>
    <w:uiPriority w:val="99"/>
    <w:semiHidden/>
    <w:unhideWhenUsed/>
    <w:rsid w:val="00F04A43"/>
    <w:rPr>
      <w:b/>
      <w:bCs/>
    </w:rPr>
  </w:style>
  <w:style w:type="character" w:customStyle="1" w:styleId="CommentSubjectChar">
    <w:name w:val="Comment Subject Char"/>
    <w:basedOn w:val="CommentTextChar"/>
    <w:link w:val="CommentSubject"/>
    <w:uiPriority w:val="99"/>
    <w:semiHidden/>
    <w:rsid w:val="00F04A43"/>
    <w:rPr>
      <w:b/>
      <w:bCs/>
      <w:sz w:val="20"/>
      <w:szCs w:val="20"/>
    </w:rPr>
  </w:style>
  <w:style w:type="character" w:customStyle="1" w:styleId="apple-converted-space">
    <w:name w:val="apple-converted-space"/>
    <w:basedOn w:val="DefaultParagraphFont"/>
    <w:rsid w:val="008B4BAC"/>
  </w:style>
  <w:style w:type="paragraph" w:styleId="ListParagraph">
    <w:name w:val="List Paragraph"/>
    <w:basedOn w:val="Normal"/>
    <w:uiPriority w:val="34"/>
    <w:qFormat/>
    <w:rsid w:val="008B4BAC"/>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656749">
      <w:bodyDiv w:val="1"/>
      <w:marLeft w:val="0"/>
      <w:marRight w:val="0"/>
      <w:marTop w:val="0"/>
      <w:marBottom w:val="0"/>
      <w:divBdr>
        <w:top w:val="none" w:sz="0" w:space="0" w:color="auto"/>
        <w:left w:val="none" w:sz="0" w:space="0" w:color="auto"/>
        <w:bottom w:val="none" w:sz="0" w:space="0" w:color="auto"/>
        <w:right w:val="none" w:sz="0" w:space="0" w:color="auto"/>
      </w:divBdr>
    </w:div>
    <w:div w:id="214453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WORK\HR_Automation_projs\HR_Generic\Data.xlsx" TargetMode="External"/><Relationship Id="rId1" Type="http://schemas.openxmlformats.org/officeDocument/2006/relationships/mailMergeSource" Target="file:///C:\WORK\HR_Automation_projs\HR_Generic\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6F911-A935-4E82-A439-627F28FE4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758</Words>
  <Characters>4325</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Diebold, Incorporated</Company>
  <LinksUpToDate>false</LinksUpToDate>
  <CharactersWithSpaces>5073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Inglezakis</dc:creator>
  <cp:lastModifiedBy>Sankhe, Tej</cp:lastModifiedBy>
  <cp:revision>2</cp:revision>
  <cp:lastPrinted>2017-06-09T08:50:00Z</cp:lastPrinted>
  <dcterms:created xsi:type="dcterms:W3CDTF">2017-06-21T06:11:00Z</dcterms:created>
  <dcterms:modified xsi:type="dcterms:W3CDTF">2017-06-21T06:11:00Z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