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40"/>
          <w:szCs w:val="40"/>
        </w:rPr>
        <w:t xml:space="preserve">LEGAL-TECHNICAL IMPACT REPORT</w:t>
      </w:r>
    </w:p>
    <w:p>
      <w:pPr>
        <w:spacing w:before="200"/>
        <w:jc w:val="center"/>
      </w:pPr>
      <w:r>
        <w:rPr>
          <w:b/>
          <w:bCs/>
          <w:sz w:val="32"/>
          <w:szCs w:val="32"/>
        </w:rPr>
        <w:t xml:space="preserve">Operation Hydra</w:t>
      </w:r>
    </w:p>
    <w:p>
      <w:pPr>
        <w:spacing w:after="400" w:before="100"/>
        <w:jc w:val="center"/>
      </w:pPr>
      <w:r>
        <w:rPr>
          <w:i/>
          <w:iCs/>
          <w:color w:val="595959"/>
          <w:sz w:val="24"/>
          <w:szCs w:val="24"/>
        </w:rPr>
        <w:t xml:space="preserve">Unraveling a Multi-Vector Cyber Crime Involving Phishing, Spoofing &amp; Financial Fraud</w:t>
      </w:r>
    </w:p>
    <w:p>
      <w:pPr>
        <w:spacing w:after="80"/>
        <w:jc w:val="center"/>
      </w:pPr>
      <w:r>
        <w:rPr>
          <w:sz w:val="22"/>
          <w:szCs w:val="22"/>
        </w:rPr>
        <w:t xml:space="preserve">Assignment 2 — Unit 2: Types of Cyber Crimes</w:t>
      </w:r>
    </w:p>
    <w:p>
      <w:pPr>
        <w:spacing w:after="80"/>
        <w:jc w:val="center"/>
      </w:pPr>
      <w:r>
        <w:rPr>
          <w:sz w:val="22"/>
          <w:szCs w:val="22"/>
        </w:rPr>
        <w:t xml:space="preserve">Prepared by: _____________________  |  Student No.: _____________________</w:t>
      </w:r>
    </w:p>
    <w:p>
      <w:pPr>
        <w:spacing w:after="600"/>
        <w:jc w:val="center"/>
      </w:pPr>
      <w:r>
        <w:rPr>
          <w:sz w:val="22"/>
          <w:szCs w:val="22"/>
        </w:rPr>
        <w:t xml:space="preserve">Date: 01 September 2026</w:t>
      </w:r>
    </w:p>
    <w:p>
      <w:pPr>
        <w:jc w:val="center"/>
      </w:pPr>
      <w:r>
        <w:rPr>
          <w:i/>
          <w:iCs/>
          <w:color w:val="595959"/>
          <w:sz w:val="18"/>
          <w:szCs w:val="18"/>
        </w:rPr>
        <w:t xml:space="preserve">NOTE: This report analyses a fully simulated scenario prepared for academic purposes. All persons, organisations, malware behavior, and financial data are fictitious. No functional malicious code is included in this repository.</w:t>
      </w:r>
    </w:p>
    <w:p>
      <w:r>
        <w:br w:type="page"/>
      </w:r>
    </w:p>
    <w:p>
      <w:pPr>
        <w:pStyle w:val="Heading1"/>
        <w:spacing w:after="150" w:before="300"/>
      </w:pPr>
      <w:r>
        <w:t xml:space="preserve">1. Executive Summary</w:t>
      </w:r>
    </w:p>
    <w:p>
      <w:pPr>
        <w:spacing w:after="150" w:line="276"/>
      </w:pPr>
      <w:r>
        <w:t xml:space="preserve">This report documents the investigation of “Operation Hydra,” a simulated multi-vector cyber-crime campaign against a fictitious logistics company, Nimbus Logistics Pvt Ltd. The campaign chained email spoofing and phishing, a Trojan/RAT malware payload, and UPI/card-based financial fraud laundered through mule accounts and a cryptocurrency off-ramp.</w:t>
      </w:r>
    </w:p>
    <w:p>
      <w:pPr>
        <w:spacing w:after="150" w:line="276"/>
      </w:pPr>
      <w:r>
        <w:t xml:space="preserve">Four phishing samples were analysed for authentication failures and infrastructure fingerprints; a macro-dropped payload was profiled through simulated sandbox behavior and classified as a hybrid Trojan/RAT with an integrated keylogger; and the resulting financial fraud — totalling approximately INR 4,04,500 across UPI and card channels — was traced through mule accounts into a layered crypto exit. This report sets out the legal classification of each stage, its impact on stakeholders, the ethical dilemmas the investigation raises, and recommendations for public policy and organisational practice.</w:t>
      </w:r>
    </w:p>
    <w:p>
      <w:pPr>
        <w:pStyle w:val="Heading1"/>
        <w:spacing w:after="150" w:before="300"/>
      </w:pPr>
      <w:r>
        <w:t xml:space="preserve">2. Breakdown of Cybercrime Types with Legal Remedies</w:t>
      </w:r>
    </w:p>
    <w:p>
      <w:pPr>
        <w:spacing w:after="150" w:line="276"/>
      </w:pPr>
      <w:r>
        <w:t xml:space="preserve">Operation Hydra decomposes into five distinct offences chained into a single fraud lifecycle: email/domain spoofing, phishing, unauthorized computer access, malware distribution (Trojan/RAT), and financial fraud with money laundering. Full legal mapping and justification is in docs/taxonomy.md; the condensed remedies are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000"/>
      </w:tblGrid>
      <w:tr>
        <w:tc>
          <w:tcPr>
            <w:tcW w:type="dxa" w:w="2400"/>
            <w:shd w:fill="1F3864" w:val="clear"/>
            <w:tcMar>
              <w:top w:type="dxa" w:w="80"/>
              <w:left w:type="dxa" w:w="120"/>
              <w:bottom w:type="dxa" w:w="80"/>
              <w:right w:type="dxa" w:w="120"/>
            </w:tcMar>
          </w:tcPr>
          <w:p>
            <w:r>
              <w:rPr>
                <w:b/>
                <w:bCs/>
                <w:color w:val="FFFFFF"/>
                <w:sz w:val="20"/>
                <w:szCs w:val="20"/>
              </w:rPr>
              <w:t xml:space="preserve">Crime</w:t>
            </w:r>
          </w:p>
        </w:tc>
        <w:tc>
          <w:tcPr>
            <w:tcW w:type="dxa" w:w="2600"/>
            <w:shd w:fill="1F3864" w:val="clear"/>
            <w:tcMar>
              <w:top w:type="dxa" w:w="80"/>
              <w:left w:type="dxa" w:w="120"/>
              <w:bottom w:type="dxa" w:w="80"/>
              <w:right w:type="dxa" w:w="120"/>
            </w:tcMar>
          </w:tcPr>
          <w:p>
            <w:r>
              <w:rPr>
                <w:b/>
                <w:bCs/>
                <w:color w:val="FFFFFF"/>
                <w:sz w:val="20"/>
                <w:szCs w:val="20"/>
              </w:rPr>
              <w:t xml:space="preserve">Indian Remedy</w:t>
            </w:r>
          </w:p>
        </w:tc>
        <w:tc>
          <w:tcPr>
            <w:tcW w:type="dxa" w:w="2400"/>
            <w:shd w:fill="1F3864" w:val="clear"/>
            <w:tcMar>
              <w:top w:type="dxa" w:w="80"/>
              <w:left w:type="dxa" w:w="120"/>
              <w:bottom w:type="dxa" w:w="80"/>
              <w:right w:type="dxa" w:w="120"/>
            </w:tcMar>
          </w:tcPr>
          <w:p>
            <w:r>
              <w:rPr>
                <w:b/>
                <w:bCs/>
                <w:color w:val="FFFFFF"/>
                <w:sz w:val="20"/>
                <w:szCs w:val="20"/>
              </w:rPr>
              <w:t xml:space="preserve">Global Remedy</w:t>
            </w:r>
          </w:p>
        </w:tc>
        <w:tc>
          <w:tcPr>
            <w:tcW w:type="dxa" w:w="2000"/>
            <w:shd w:fill="1F3864" w:val="clear"/>
            <w:tcMar>
              <w:top w:type="dxa" w:w="80"/>
              <w:left w:type="dxa" w:w="120"/>
              <w:bottom w:type="dxa" w:w="80"/>
              <w:right w:type="dxa" w:w="120"/>
            </w:tcMar>
          </w:tcPr>
          <w:p>
            <w:r>
              <w:rPr>
                <w:b/>
                <w:bCs/>
                <w:color w:val="FFFFFF"/>
                <w:sz w:val="20"/>
                <w:szCs w:val="20"/>
              </w:rPr>
              <w:t xml:space="preserve">Available Legal Action</w:t>
            </w:r>
          </w:p>
        </w:tc>
      </w:tr>
      <w:tr>
        <w:tc>
          <w:tcPr>
            <w:tcW w:type="dxa" w:w="2400"/>
            <w:tcMar>
              <w:top w:type="dxa" w:w="80"/>
              <w:left w:type="dxa" w:w="120"/>
              <w:bottom w:type="dxa" w:w="80"/>
              <w:right w:type="dxa" w:w="120"/>
            </w:tcMar>
          </w:tcPr>
          <w:p>
            <w:r>
              <w:rPr>
                <w:b w:val="false"/>
                <w:bCs w:val="false"/>
                <w:color w:val="000000"/>
                <w:sz w:val="20"/>
                <w:szCs w:val="20"/>
              </w:rPr>
              <w:t xml:space="preserve">Email/Domain Spoofing</w:t>
            </w:r>
          </w:p>
        </w:tc>
        <w:tc>
          <w:tcPr>
            <w:tcW w:type="dxa" w:w="2600"/>
            <w:tcMar>
              <w:top w:type="dxa" w:w="80"/>
              <w:left w:type="dxa" w:w="120"/>
              <w:bottom w:type="dxa" w:w="80"/>
              <w:right w:type="dxa" w:w="120"/>
            </w:tcMar>
          </w:tcPr>
          <w:p>
            <w:r>
              <w:rPr>
                <w:b w:val="false"/>
                <w:bCs w:val="false"/>
                <w:color w:val="000000"/>
                <w:sz w:val="20"/>
                <w:szCs w:val="20"/>
              </w:rPr>
              <w:t xml:space="preserve">IT Act §66C/D; IPC §419, §465</w:t>
            </w:r>
          </w:p>
        </w:tc>
        <w:tc>
          <w:tcPr>
            <w:tcW w:type="dxa" w:w="2400"/>
            <w:tcMar>
              <w:top w:type="dxa" w:w="80"/>
              <w:left w:type="dxa" w:w="120"/>
              <w:bottom w:type="dxa" w:w="80"/>
              <w:right w:type="dxa" w:w="120"/>
            </w:tcMar>
          </w:tcPr>
          <w:p>
            <w:r>
              <w:rPr>
                <w:b w:val="false"/>
                <w:bCs w:val="false"/>
                <w:color w:val="000000"/>
                <w:sz w:val="20"/>
                <w:szCs w:val="20"/>
              </w:rPr>
              <w:t xml:space="preserve">CFAA §1030(a)(4); Budapest Art. 7</w:t>
            </w:r>
          </w:p>
        </w:tc>
        <w:tc>
          <w:tcPr>
            <w:tcW w:type="dxa" w:w="2000"/>
            <w:tcMar>
              <w:top w:type="dxa" w:w="80"/>
              <w:left w:type="dxa" w:w="120"/>
              <w:bottom w:type="dxa" w:w="80"/>
              <w:right w:type="dxa" w:w="120"/>
            </w:tcMar>
          </w:tcPr>
          <w:p>
            <w:r>
              <w:rPr>
                <w:b w:val="false"/>
                <w:bCs w:val="false"/>
                <w:color w:val="000000"/>
                <w:sz w:val="20"/>
                <w:szCs w:val="20"/>
              </w:rPr>
              <w:t xml:space="preserve">Criminal complaint + takedown request to domain registrar</w:t>
            </w:r>
          </w:p>
        </w:tc>
      </w:tr>
      <w:tr>
        <w:tc>
          <w:tcPr>
            <w:tcW w:type="dxa" w:w="2400"/>
            <w:tcMar>
              <w:top w:type="dxa" w:w="80"/>
              <w:left w:type="dxa" w:w="120"/>
              <w:bottom w:type="dxa" w:w="80"/>
              <w:right w:type="dxa" w:w="120"/>
            </w:tcMar>
          </w:tcPr>
          <w:p>
            <w:r>
              <w:rPr>
                <w:b w:val="false"/>
                <w:bCs w:val="false"/>
                <w:color w:val="000000"/>
                <w:sz w:val="20"/>
                <w:szCs w:val="20"/>
              </w:rPr>
              <w:t xml:space="preserve">Phishing</w:t>
            </w:r>
          </w:p>
        </w:tc>
        <w:tc>
          <w:tcPr>
            <w:tcW w:type="dxa" w:w="2600"/>
            <w:tcMar>
              <w:top w:type="dxa" w:w="80"/>
              <w:left w:type="dxa" w:w="120"/>
              <w:bottom w:type="dxa" w:w="80"/>
              <w:right w:type="dxa" w:w="120"/>
            </w:tcMar>
          </w:tcPr>
          <w:p>
            <w:r>
              <w:rPr>
                <w:b w:val="false"/>
                <w:bCs w:val="false"/>
                <w:color w:val="000000"/>
                <w:sz w:val="20"/>
                <w:szCs w:val="20"/>
              </w:rPr>
              <w:t xml:space="preserve">IT Act §66D, §43; IPC §420, §468</w:t>
            </w:r>
          </w:p>
        </w:tc>
        <w:tc>
          <w:tcPr>
            <w:tcW w:type="dxa" w:w="2400"/>
            <w:tcMar>
              <w:top w:type="dxa" w:w="80"/>
              <w:left w:type="dxa" w:w="120"/>
              <w:bottom w:type="dxa" w:w="80"/>
              <w:right w:type="dxa" w:w="120"/>
            </w:tcMar>
          </w:tcPr>
          <w:p>
            <w:r>
              <w:rPr>
                <w:b w:val="false"/>
                <w:bCs w:val="false"/>
                <w:color w:val="000000"/>
                <w:sz w:val="20"/>
                <w:szCs w:val="20"/>
              </w:rPr>
              <w:t xml:space="preserve">CFAA §1030(a)(2); Budapest Art. 8</w:t>
            </w:r>
          </w:p>
        </w:tc>
        <w:tc>
          <w:tcPr>
            <w:tcW w:type="dxa" w:w="2000"/>
            <w:tcMar>
              <w:top w:type="dxa" w:w="80"/>
              <w:left w:type="dxa" w:w="120"/>
              <w:bottom w:type="dxa" w:w="80"/>
              <w:right w:type="dxa" w:w="120"/>
            </w:tcMar>
          </w:tcPr>
          <w:p>
            <w:r>
              <w:rPr>
                <w:b w:val="false"/>
                <w:bCs w:val="false"/>
                <w:color w:val="000000"/>
                <w:sz w:val="20"/>
                <w:szCs w:val="20"/>
              </w:rPr>
              <w:t xml:space="preserve">FIR under cyber cell; civil recovery claim</w:t>
            </w:r>
          </w:p>
        </w:tc>
      </w:tr>
      <w:tr>
        <w:tc>
          <w:tcPr>
            <w:tcW w:type="dxa" w:w="2400"/>
            <w:tcMar>
              <w:top w:type="dxa" w:w="80"/>
              <w:left w:type="dxa" w:w="120"/>
              <w:bottom w:type="dxa" w:w="80"/>
              <w:right w:type="dxa" w:w="120"/>
            </w:tcMar>
          </w:tcPr>
          <w:p>
            <w:r>
              <w:rPr>
                <w:b w:val="false"/>
                <w:bCs w:val="false"/>
                <w:color w:val="000000"/>
                <w:sz w:val="20"/>
                <w:szCs w:val="20"/>
              </w:rPr>
              <w:t xml:space="preserve">Unauthorized Access</w:t>
            </w:r>
          </w:p>
        </w:tc>
        <w:tc>
          <w:tcPr>
            <w:tcW w:type="dxa" w:w="2600"/>
            <w:tcMar>
              <w:top w:type="dxa" w:w="80"/>
              <w:left w:type="dxa" w:w="120"/>
              <w:bottom w:type="dxa" w:w="80"/>
              <w:right w:type="dxa" w:w="120"/>
            </w:tcMar>
          </w:tcPr>
          <w:p>
            <w:r>
              <w:rPr>
                <w:b w:val="false"/>
                <w:bCs w:val="false"/>
                <w:color w:val="000000"/>
                <w:sz w:val="20"/>
                <w:szCs w:val="20"/>
              </w:rPr>
              <w:t xml:space="preserve">IT Act §43, §66; IPC §379</w:t>
            </w:r>
          </w:p>
        </w:tc>
        <w:tc>
          <w:tcPr>
            <w:tcW w:type="dxa" w:w="2400"/>
            <w:tcMar>
              <w:top w:type="dxa" w:w="80"/>
              <w:left w:type="dxa" w:w="120"/>
              <w:bottom w:type="dxa" w:w="80"/>
              <w:right w:type="dxa" w:w="120"/>
            </w:tcMar>
          </w:tcPr>
          <w:p>
            <w:r>
              <w:rPr>
                <w:b w:val="false"/>
                <w:bCs w:val="false"/>
                <w:color w:val="000000"/>
                <w:sz w:val="20"/>
                <w:szCs w:val="20"/>
              </w:rPr>
              <w:t xml:space="preserve">CFAA §1030(a)(2)/(5); Budapest Art. 2</w:t>
            </w:r>
          </w:p>
        </w:tc>
        <w:tc>
          <w:tcPr>
            <w:tcW w:type="dxa" w:w="2000"/>
            <w:tcMar>
              <w:top w:type="dxa" w:w="80"/>
              <w:left w:type="dxa" w:w="120"/>
              <w:bottom w:type="dxa" w:w="80"/>
              <w:right w:type="dxa" w:w="120"/>
            </w:tcMar>
          </w:tcPr>
          <w:p>
            <w:r>
              <w:rPr>
                <w:b w:val="false"/>
                <w:bCs w:val="false"/>
                <w:color w:val="000000"/>
                <w:sz w:val="20"/>
                <w:szCs w:val="20"/>
              </w:rPr>
              <w:t xml:space="preserve">Criminal prosecution; injunctive relief</w:t>
            </w:r>
          </w:p>
        </w:tc>
      </w:tr>
      <w:tr>
        <w:tc>
          <w:tcPr>
            <w:tcW w:type="dxa" w:w="2400"/>
            <w:tcMar>
              <w:top w:type="dxa" w:w="80"/>
              <w:left w:type="dxa" w:w="120"/>
              <w:bottom w:type="dxa" w:w="80"/>
              <w:right w:type="dxa" w:w="120"/>
            </w:tcMar>
          </w:tcPr>
          <w:p>
            <w:r>
              <w:rPr>
                <w:b w:val="false"/>
                <w:bCs w:val="false"/>
                <w:color w:val="000000"/>
                <w:sz w:val="20"/>
                <w:szCs w:val="20"/>
              </w:rPr>
              <w:t xml:space="preserve">Malware Distribution</w:t>
            </w:r>
          </w:p>
        </w:tc>
        <w:tc>
          <w:tcPr>
            <w:tcW w:type="dxa" w:w="2600"/>
            <w:tcMar>
              <w:top w:type="dxa" w:w="80"/>
              <w:left w:type="dxa" w:w="120"/>
              <w:bottom w:type="dxa" w:w="80"/>
              <w:right w:type="dxa" w:w="120"/>
            </w:tcMar>
          </w:tcPr>
          <w:p>
            <w:r>
              <w:rPr>
                <w:b w:val="false"/>
                <w:bCs w:val="false"/>
                <w:color w:val="000000"/>
                <w:sz w:val="20"/>
                <w:szCs w:val="20"/>
              </w:rPr>
              <w:t xml:space="preserve">IT Act §43(c), §66; IPC §120B</w:t>
            </w:r>
          </w:p>
        </w:tc>
        <w:tc>
          <w:tcPr>
            <w:tcW w:type="dxa" w:w="2400"/>
            <w:tcMar>
              <w:top w:type="dxa" w:w="80"/>
              <w:left w:type="dxa" w:w="120"/>
              <w:bottom w:type="dxa" w:w="80"/>
              <w:right w:type="dxa" w:w="120"/>
            </w:tcMar>
          </w:tcPr>
          <w:p>
            <w:r>
              <w:rPr>
                <w:b w:val="false"/>
                <w:bCs w:val="false"/>
                <w:color w:val="000000"/>
                <w:sz w:val="20"/>
                <w:szCs w:val="20"/>
              </w:rPr>
              <w:t xml:space="preserve">CFAA §1030(a)(5); Budapest Art. 6</w:t>
            </w:r>
          </w:p>
        </w:tc>
        <w:tc>
          <w:tcPr>
            <w:tcW w:type="dxa" w:w="2000"/>
            <w:tcMar>
              <w:top w:type="dxa" w:w="80"/>
              <w:left w:type="dxa" w:w="120"/>
              <w:bottom w:type="dxa" w:w="80"/>
              <w:right w:type="dxa" w:w="120"/>
            </w:tcMar>
          </w:tcPr>
          <w:p>
            <w:r>
              <w:rPr>
                <w:b w:val="false"/>
                <w:bCs w:val="false"/>
                <w:color w:val="000000"/>
                <w:sz w:val="20"/>
                <w:szCs w:val="20"/>
              </w:rPr>
              <w:t xml:space="preserve">Criminal prosecution; ISP/host takedown</w:t>
            </w:r>
          </w:p>
        </w:tc>
      </w:tr>
      <w:tr>
        <w:tc>
          <w:tcPr>
            <w:tcW w:type="dxa" w:w="2400"/>
            <w:tcMar>
              <w:top w:type="dxa" w:w="80"/>
              <w:left w:type="dxa" w:w="120"/>
              <w:bottom w:type="dxa" w:w="80"/>
              <w:right w:type="dxa" w:w="120"/>
            </w:tcMar>
          </w:tcPr>
          <w:p>
            <w:r>
              <w:rPr>
                <w:b w:val="false"/>
                <w:bCs w:val="false"/>
                <w:color w:val="000000"/>
                <w:sz w:val="20"/>
                <w:szCs w:val="20"/>
              </w:rPr>
              <w:t xml:space="preserve">Financial Fraud &amp; Laundering</w:t>
            </w:r>
          </w:p>
        </w:tc>
        <w:tc>
          <w:tcPr>
            <w:tcW w:type="dxa" w:w="2600"/>
            <w:tcMar>
              <w:top w:type="dxa" w:w="80"/>
              <w:left w:type="dxa" w:w="120"/>
              <w:bottom w:type="dxa" w:w="80"/>
              <w:right w:type="dxa" w:w="120"/>
            </w:tcMar>
          </w:tcPr>
          <w:p>
            <w:r>
              <w:rPr>
                <w:b w:val="false"/>
                <w:bCs w:val="false"/>
                <w:color w:val="000000"/>
                <w:sz w:val="20"/>
                <w:szCs w:val="20"/>
              </w:rPr>
              <w:t xml:space="preserve">IT Act §66C/D; IPC §420, §411; PMLA 2002</w:t>
            </w:r>
          </w:p>
        </w:tc>
        <w:tc>
          <w:tcPr>
            <w:tcW w:type="dxa" w:w="2400"/>
            <w:tcMar>
              <w:top w:type="dxa" w:w="80"/>
              <w:left w:type="dxa" w:w="120"/>
              <w:bottom w:type="dxa" w:w="80"/>
              <w:right w:type="dxa" w:w="120"/>
            </w:tcMar>
          </w:tcPr>
          <w:p>
            <w:r>
              <w:rPr>
                <w:b w:val="false"/>
                <w:bCs w:val="false"/>
                <w:color w:val="000000"/>
                <w:sz w:val="20"/>
                <w:szCs w:val="20"/>
              </w:rPr>
              <w:t xml:space="preserve">Wire fraud 18 U.S.C. §1343; Budapest Art. 25</w:t>
            </w:r>
          </w:p>
        </w:tc>
        <w:tc>
          <w:tcPr>
            <w:tcW w:type="dxa" w:w="2000"/>
            <w:tcMar>
              <w:top w:type="dxa" w:w="80"/>
              <w:left w:type="dxa" w:w="120"/>
              <w:bottom w:type="dxa" w:w="80"/>
              <w:right w:type="dxa" w:w="120"/>
            </w:tcMar>
          </w:tcPr>
          <w:p>
            <w:r>
              <w:rPr>
                <w:b w:val="false"/>
                <w:bCs w:val="false"/>
                <w:color w:val="000000"/>
                <w:sz w:val="20"/>
                <w:szCs w:val="20"/>
              </w:rPr>
              <w:t xml:space="preserve">Asset freeze/attachment under PMLA; MLAT request for cross-border wallet tracing</w:t>
            </w:r>
          </w:p>
        </w:tc>
      </w:tr>
    </w:tbl>
    <w:p>
      <w:pPr>
        <w:spacing w:after="150" w:line="276"/>
      </w:pPr>
      <w:r>
        <w:rPr>
          <w:i/>
          <w:iCs/>
          <w:color w:val="595959"/>
          <w:sz w:val="20"/>
          <w:szCs w:val="20"/>
        </w:rPr>
        <w:t xml:space="preserve">The layered nature of remedies matters practically: a victim organisation's fastest recourse is usually the civil/regulatory track (bank chargeback, PMLA asset-freeze request) rather than waiting on a full criminal conviction, which can take years even where liability is clear.</w:t>
      </w:r>
    </w:p>
    <w:p>
      <w:pPr>
        <w:pStyle w:val="Heading1"/>
        <w:spacing w:after="150" w:before="300"/>
      </w:pPr>
      <w:r>
        <w:t xml:space="preserve">3. Technical Findings Summary</w:t>
      </w:r>
    </w:p>
    <w:p>
      <w:pPr>
        <w:pStyle w:val="Heading2"/>
        <w:spacing w:after="120" w:before="250"/>
      </w:pPr>
      <w:r>
        <w:t xml:space="preserve">3.1 Phishing &amp; Spoofing</w:t>
      </w:r>
    </w:p>
    <w:p>
      <w:pPr>
        <w:spacing w:after="150" w:line="276"/>
      </w:pPr>
      <w:r>
        <w:t xml:space="preserve">All four analysed email samples failed SPF and/or DMARC authentication, and three of four contained clearly lookalike domains registered within days of the campaign (see phishing_spoofing/whois_lookup_results.md). Sample 03 is particularly significant: it spoofed Nimbus Logistics' own HR domain, exploiting internal trust rather than an external brand — revealing that the victim organisation's own outbound DMARC policy was set to monitor-only (p=none), which likely also weakened its ability to prevent this domain from being used against its own staff.</w:t>
      </w:r>
    </w:p>
    <w:p>
      <w:pPr>
        <w:pStyle w:val="Heading2"/>
        <w:spacing w:after="120" w:before="250"/>
      </w:pPr>
      <w:r>
        <w:t xml:space="preserve">3.2 Malware Behavior</w:t>
      </w:r>
    </w:p>
    <w:p>
      <w:pPr>
        <w:spacing w:after="150" w:line="276"/>
      </w:pPr>
      <w:r>
        <w:t xml:space="preserve">The macro-enabled invoice attachment in Sample 01 was profiled as a dropper for a hybrid Trojan/RAT with an integrated keylogger. Its behavior chain — obfuscated PowerShell stager, registry-based persistence, and targeted credential capture triggered by banking-related window titles — directly explains how attacker access moved from a single opened email to sustained financial theft. Full IOC list and MITRE ATT&amp;CK mapping are in malware_analysis/ioc_list.md.</w:t>
      </w:r>
    </w:p>
    <w:p>
      <w:pPr>
        <w:pStyle w:val="Heading2"/>
        <w:spacing w:after="120" w:before="250"/>
      </w:pPr>
      <w:r>
        <w:t xml:space="preserve">3.3 Financial Fraud Flow</w:t>
      </w:r>
    </w:p>
    <w:p>
      <w:pPr>
        <w:spacing w:after="150" w:line="276"/>
      </w:pPr>
      <w:r>
        <w:t xml:space="preserve">Reconstructed transaction logs show INR 175,000 drained from the victim's UPI account into three mule accounts, and a further INR 229,500 in approved card-not-present transactions from the same compromised credentials. Mule account balances were consolidated and forwarded to a simulated cryptocurrency exchange, then layered through a mixer-style wallet before exit — a structure that would, in a real case, require cross-border cooperation to trace beyond the final exchange.</w:t>
      </w:r>
    </w:p>
    <w:p>
      <w:pPr>
        <w:pStyle w:val="Heading1"/>
        <w:spacing w:after="150" w:before="300"/>
      </w:pPr>
      <w:r>
        <w:t xml:space="preserve">4. Impact on Stakeholders</w:t>
      </w:r>
    </w:p>
    <w:p>
      <w:pPr>
        <w:pStyle w:val="Heading2"/>
        <w:spacing w:after="120" w:before="250"/>
      </w:pPr>
      <w:r>
        <w:t xml:space="preserve">4.1 Financial Impact</w:t>
      </w:r>
    </w:p>
    <w:p>
      <w:pPr>
        <w:pStyle w:val="ListParagraph"/>
        <w:numPr>
          <w:ilvl w:val="0"/>
          <w:numId w:val="1"/>
        </w:numPr>
        <w:spacing w:after="80"/>
      </w:pPr>
      <w:r>
        <w:t xml:space="preserve">Direct loss to the individual victim employee: approximately INR 4,04,500 across UPI and card channels.</w:t>
      </w:r>
    </w:p>
    <w:p>
      <w:pPr>
        <w:pStyle w:val="ListParagraph"/>
        <w:numPr>
          <w:ilvl w:val="0"/>
          <w:numId w:val="1"/>
        </w:numPr>
        <w:spacing w:after="80"/>
      </w:pPr>
      <w:r>
        <w:t xml:space="preserve">Indirect cost to Nimbus Logistics: incident response, forensic investigation, potential regulatory reporting, and reputational remediation typically exceed the direct fraud amount by several multiples in comparable real-world cases.</w:t>
      </w:r>
    </w:p>
    <w:p>
      <w:pPr>
        <w:pStyle w:val="ListParagraph"/>
        <w:numPr>
          <w:ilvl w:val="0"/>
          <w:numId w:val="1"/>
        </w:numPr>
        <w:spacing w:after="80"/>
      </w:pPr>
      <w:r>
        <w:t xml:space="preserve">Banking partners bear chargeback/reimbursement exposure and potential regulatory scrutiny over fraud-detection adequacy.</w:t>
      </w:r>
    </w:p>
    <w:p>
      <w:pPr>
        <w:pStyle w:val="ListParagraph"/>
        <w:numPr>
          <w:ilvl w:val="0"/>
          <w:numId w:val="1"/>
        </w:numPr>
        <w:spacing w:after="80"/>
      </w:pPr>
      <w:r>
        <w:t xml:space="preserve">Downstream merchants who unknowingly accepted fraudulent card payments (the electronics retailer and gift-card platform in the transaction logs) face their own chargeback losses and card-network penalty risk, despite having no direct role in the intrusion.</w:t>
      </w:r>
    </w:p>
    <w:p>
      <w:pPr>
        <w:pStyle w:val="Heading2"/>
        <w:spacing w:after="120" w:before="250"/>
      </w:pPr>
      <w:r>
        <w:t xml:space="preserve">4.2 Emotional Impact</w:t>
      </w:r>
    </w:p>
    <w:p>
      <w:pPr>
        <w:pStyle w:val="ListParagraph"/>
        <w:numPr>
          <w:ilvl w:val="0"/>
          <w:numId w:val="1"/>
        </w:numPr>
        <w:spacing w:after="80"/>
      </w:pPr>
      <w:r>
        <w:t xml:space="preserve">The targeted employee (recipient of the spoofed bank alert and HR emails) experiences direct violation-of-trust harm — having acted in good faith on what appeared to be legitimate employer and bank communication.</w:t>
      </w:r>
    </w:p>
    <w:p>
      <w:pPr>
        <w:pStyle w:val="ListParagraph"/>
        <w:numPr>
          <w:ilvl w:val="0"/>
          <w:numId w:val="1"/>
        </w:numPr>
        <w:spacing w:after="80"/>
      </w:pPr>
      <w:r>
        <w:t xml:space="preserve">Colleagues who received the same phishing batch may experience heightened anxiety and reduced trust in routine internal communications, particularly given the HR-domain spoofing.</w:t>
      </w:r>
    </w:p>
    <w:p>
      <w:pPr>
        <w:pStyle w:val="ListParagraph"/>
        <w:numPr>
          <w:ilvl w:val="0"/>
          <w:numId w:val="1"/>
        </w:numPr>
        <w:spacing w:after="80"/>
      </w:pPr>
      <w:r>
        <w:t xml:space="preserve">Victims of this style of fraud frequently report self-blame and reluctance to report the incident promptly, which in turn delays the fraud-flagging window banks rely on to reverse transactions — compounding the financial harm described in §4.1.</w:t>
      </w:r>
    </w:p>
    <w:p>
      <w:pPr>
        <w:pStyle w:val="Heading2"/>
        <w:spacing w:after="120" w:before="250"/>
      </w:pPr>
      <w:r>
        <w:t xml:space="preserve">4.3 Reputational Impact</w:t>
      </w:r>
    </w:p>
    <w:p>
      <w:pPr>
        <w:pStyle w:val="ListParagraph"/>
        <w:numPr>
          <w:ilvl w:val="0"/>
          <w:numId w:val="1"/>
        </w:numPr>
        <w:spacing w:after="80"/>
      </w:pPr>
      <w:r>
        <w:t xml:space="preserve">Nimbus Logistics faces reputational exposure with clients and partners if the breach becomes public, particularly given the case involved impersonation of its own HR function.</w:t>
      </w:r>
    </w:p>
    <w:p>
      <w:pPr>
        <w:pStyle w:val="ListParagraph"/>
        <w:numPr>
          <w:ilvl w:val="0"/>
          <w:numId w:val="1"/>
        </w:numPr>
        <w:spacing w:after="80"/>
      </w:pPr>
      <w:r>
        <w:t xml:space="preserve">The impersonated brands (the bank, the courier company) suffer diffuse reputational harm each time their name is used in a phishing campaign, even though they were not technically compromised.</w:t>
      </w:r>
    </w:p>
    <w:p>
      <w:pPr>
        <w:pStyle w:val="ListParagraph"/>
        <w:numPr>
          <w:ilvl w:val="0"/>
          <w:numId w:val="1"/>
        </w:numPr>
        <w:spacing w:after="80"/>
      </w:pPr>
      <w:r>
        <w:t xml:space="preserve">Repeated brand impersonation can erode customer trust in legitimate communications from the impersonated brand itself, creating a longer-term “cry wolf” effect where genuine account-security emails are increasingly ignored.</w:t>
      </w:r>
    </w:p>
    <w:p>
      <w:pPr>
        <w:pStyle w:val="Heading2"/>
        <w:spacing w:after="120" w:before="250"/>
      </w:pPr>
      <w:r>
        <w:t xml:space="preserve">4.4 Broader Societal Impact</w:t>
      </w:r>
    </w:p>
    <w:p>
      <w:pPr>
        <w:spacing w:after="150" w:line="276"/>
      </w:pPr>
      <w:r>
        <w:t xml:space="preserve">Cases like this contribute to a cumulative erosion of trust in digital banking and email-based business communication, and disproportionately affect employees in operational/finance roles who are routinely asked to act quickly on financial instructions — exactly the psychological pattern this attack exploited. At a systemic level, each successful mule-account and crypto-layering chain also strengthens the underlying money-laundering infrastructure available to unrelated future fraud campaigns, since mule networks and exchange relationships are frequently reused across cases.</w:t>
      </w:r>
    </w:p>
    <w:p>
      <w:pPr>
        <w:pStyle w:val="Heading1"/>
        <w:spacing w:after="150" w:before="300"/>
      </w:pPr>
      <w:r>
        <w:t xml:space="preserve">5. Ethical Dilemmas in the Investigation</w:t>
      </w:r>
    </w:p>
    <w:p>
      <w:pPr>
        <w:pStyle w:val="Heading2"/>
        <w:spacing w:after="120" w:before="250"/>
      </w:pPr>
      <w:r>
        <w:t xml:space="preserve">5.1 Tracing Cryptocurrency Across Jurisdictions</w:t>
      </w:r>
    </w:p>
    <w:p>
      <w:pPr>
        <w:spacing w:after="150" w:line="276"/>
      </w:pPr>
      <w:r>
        <w:t xml:space="preserve">Tracing the mule wallets to the pooling and mixer-exit wallets raises a genuine ethical and legal tension: blockchain analysis can identify wallet clusters with reasonable confidence, but attributing a wallet to a specific real-world individual often requires exchange KYC data held in a foreign jurisdiction. Compelling that disclosure via MLAT can take months, during which funds are typically moved again — creating pressure toward investigative shortcuts (e.g., informal data-sharing arrangements with exchanges) that may not meet the evidentiary standards required for prosecution.</w:t>
      </w:r>
    </w:p>
    <w:p>
      <w:pPr>
        <w:spacing w:after="150" w:line="276"/>
      </w:pPr>
      <w:r>
        <w:t xml:space="preserve">A related dilemma is the use of commercial blockchain-analytics platforms that build attribution databases partly from data of uncertain provenance. Relying on a vendor's proprietary “wallet reputation score” as evidence risks importing unverifiable assumptions into a criminal case, and defence counsel can reasonably challenge such attributions if the methodology is not independently auditable.</w:t>
      </w:r>
    </w:p>
    <w:p>
      <w:pPr>
        <w:pStyle w:val="Heading2"/>
        <w:spacing w:after="120" w:before="250"/>
      </w:pPr>
      <w:r>
        <w:t xml:space="preserve">5.2 Deceptive Honeypots and Active Defence</w:t>
      </w:r>
    </w:p>
    <w:p>
      <w:pPr>
        <w:spacing w:after="150" w:line="276"/>
      </w:pPr>
      <w:r>
        <w:t xml:space="preserve">A tempting response to an identified phishing infrastructure is to deploy honeypot credentials or documents to actively monitor attacker behavior. This raises dilemmas around consent and scope: a honeypot deployed on infrastructure the investigator does not own (e.g., interacting with the attacker's C2 server) can itself constitute unauthorized access under the same IT Act §43 that criminalises the original intrusion. The ethical and legal line is whether the defensive action stays within the victim's own systems (permissible) versus reaching into attacker-controlled infrastructure (legally risky, even when well-intentioned).</w:t>
      </w:r>
    </w:p>
    <w:p>
      <w:pPr>
        <w:spacing w:after="150" w:line="276"/>
      </w:pPr>
      <w:r>
        <w:t xml:space="preserve">There is also a deception dimension distinct from the legal one: a honeypot planted specifically to bait the same social-engineering instincts the attacker exploited (urgency, authority, curiosity) uses the same psychological manipulation techniques against the attacker that this report criticises when used against victims. Investigators should weigh whether that symmetry is ethically justified by the defensive purpose, or whether it normalises manipulative tactics more broadly.</w:t>
      </w:r>
    </w:p>
    <w:p>
      <w:pPr>
        <w:pStyle w:val="Heading2"/>
        <w:spacing w:after="120" w:before="250"/>
      </w:pPr>
      <w:r>
        <w:t xml:space="preserve">5.3 Disclosure Timing vs Ongoing Investigation</w:t>
      </w:r>
    </w:p>
    <w:p>
      <w:pPr>
        <w:spacing w:after="150" w:line="276"/>
      </w:pPr>
      <w:r>
        <w:t xml:space="preserve">Notifying affected individuals and regulators promptly is both an ethical obligation and, for regulated financial institutions, often a legal one (e.g., breach notification duties). But early disclosure can tip off the threat actor and cause them to move funds or destroy infrastructure before law enforcement can act — creating a genuine conflict between transparency to victims and investigative effectiveness. This is sharpened further when, as here, the compromised HR domain means every employee is a potential victim, making a company-wide notification a matter of when, not if, rather than a discretionary judgment call.</w:t>
      </w:r>
    </w:p>
    <w:p>
      <w:pPr>
        <w:pStyle w:val="Heading2"/>
        <w:spacing w:after="120" w:before="250"/>
      </w:pPr>
      <w:r>
        <w:t xml:space="preserve">5.4 Proportionality in Employee Monitoring</w:t>
      </w:r>
    </w:p>
    <w:p>
      <w:pPr>
        <w:spacing w:after="150" w:line="276"/>
      </w:pPr>
      <w:r>
        <w:t xml:space="preserve">Post-incident, organisations often want to deploy more invasive endpoint monitoring (keystroke logging, full packet capture) to detect the next attack — the same category of surveillance capability the attacker used maliciously. This raises a proportionality question: monitoring introduced for legitimate defence still needs clear policy boundaries, employee notice, and data-minimisation limits to avoid replicating the harm it is meant to prevent.</w:t>
      </w:r>
    </w:p>
    <w:p>
      <w:pPr>
        <w:spacing w:after="150" w:line="276"/>
      </w:pPr>
      <w:r>
        <w:t xml:space="preserve">A further wrinkle is who bears the cost of that proportionality trade-off: overly broad monitoring shifts a security burden onto employees' personal privacy to compensate for organisational control gaps (like the DMARC misconfiguration identified in §3.1) that were not the employees' fault to begin with.</w:t>
      </w:r>
    </w:p>
    <w:p>
      <w:pPr>
        <w:pStyle w:val="Heading1"/>
        <w:spacing w:after="150" w:before="300"/>
      </w:pPr>
      <w:r>
        <w:t xml:space="preserve">6. Recommendations for Public Awareness and Policy</w:t>
      </w:r>
    </w:p>
    <w:p>
      <w:pPr>
        <w:pStyle w:val="Heading2"/>
        <w:spacing w:after="120" w:before="250"/>
      </w:pPr>
      <w:r>
        <w:t xml:space="preserve">6.1 Organisational Policy</w:t>
      </w:r>
    </w:p>
    <w:p>
      <w:pPr>
        <w:pStyle w:val="ListParagraph"/>
        <w:numPr>
          <w:ilvl w:val="0"/>
          <w:numId w:val="1"/>
        </w:numPr>
        <w:spacing w:after="80"/>
      </w:pPr>
      <w:r>
        <w:t xml:space="preserve">Move outbound DMARC policy to p=reject once SPF/DKIM coverage is verified complete, closing the gap that allowed the internal HR-domain spoof.</w:t>
      </w:r>
    </w:p>
    <w:p>
      <w:pPr>
        <w:pStyle w:val="ListParagraph"/>
        <w:numPr>
          <w:ilvl w:val="0"/>
          <w:numId w:val="1"/>
        </w:numPr>
        <w:spacing w:after="80"/>
      </w:pPr>
      <w:r>
        <w:t xml:space="preserve">Mandate macro-execution blocking by default for documents received from external senders, with narrow, logged exceptions.</w:t>
      </w:r>
    </w:p>
    <w:p>
      <w:pPr>
        <w:pStyle w:val="ListParagraph"/>
        <w:numPr>
          <w:ilvl w:val="0"/>
          <w:numId w:val="1"/>
        </w:numPr>
        <w:spacing w:after="80"/>
      </w:pPr>
      <w:r>
        <w:t xml:space="preserve">Implement mandatory transaction-verification callbacks (via a separate channel) for any UPI/wire transfer above a defined threshold, regardless of apparent urgency in the requesting message.</w:t>
      </w:r>
    </w:p>
    <w:p>
      <w:pPr>
        <w:pStyle w:val="Heading2"/>
        <w:spacing w:after="120" w:before="250"/>
      </w:pPr>
      <w:r>
        <w:t xml:space="preserve">6.2 Public Awareness</w:t>
      </w:r>
    </w:p>
    <w:p>
      <w:pPr>
        <w:pStyle w:val="ListParagraph"/>
        <w:numPr>
          <w:ilvl w:val="0"/>
          <w:numId w:val="1"/>
        </w:numPr>
        <w:spacing w:after="80"/>
      </w:pPr>
      <w:r>
        <w:t xml:space="preserve">Targeted awareness campaigns for finance/accounts staff specifically, since this role is disproportionately targeted by invoice- and payroll-themed phishing.</w:t>
      </w:r>
    </w:p>
    <w:p>
      <w:pPr>
        <w:pStyle w:val="ListParagraph"/>
        <w:numPr>
          <w:ilvl w:val="0"/>
          <w:numId w:val="1"/>
        </w:numPr>
        <w:spacing w:after="80"/>
      </w:pPr>
      <w:r>
        <w:t xml:space="preserve">Public banking-sector campaigns should explicitly warn about the specific urgency and account-suspension framing used in Samples 01 and 02, as these remain among the most effective social-engineering patterns.</w:t>
      </w:r>
    </w:p>
    <w:p>
      <w:pPr>
        <w:pStyle w:val="Heading2"/>
        <w:spacing w:after="120" w:before="250"/>
      </w:pPr>
      <w:r>
        <w:t xml:space="preserve">6.3 Policy / Regulatory</w:t>
      </w:r>
    </w:p>
    <w:p>
      <w:pPr>
        <w:pStyle w:val="ListParagraph"/>
        <w:numPr>
          <w:ilvl w:val="0"/>
          <w:numId w:val="1"/>
        </w:numPr>
        <w:spacing w:after="80"/>
      </w:pPr>
      <w:r>
        <w:t xml:space="preserve">Support formal India–UAE-style expedited MLAT tracks specifically for cryptocurrency-linked fraud, given the demonstrated speed advantage attackers have in layering funds versus the speed of formal cooperation requests.</w:t>
      </w:r>
    </w:p>
    <w:p>
      <w:pPr>
        <w:pStyle w:val="ListParagraph"/>
        <w:numPr>
          <w:ilvl w:val="0"/>
          <w:numId w:val="1"/>
        </w:numPr>
        <w:spacing w:after="80"/>
      </w:pPr>
      <w:r>
        <w:t xml:space="preserve">Encourage RBI/NPCI guidance requiring UPI apps to flag first-time transfers to newly created beneficiary IDs above a risk-scored amount, targeting the exact structuring pattern observed in this case.</w:t>
      </w:r>
    </w:p>
    <w:p>
      <w:pPr>
        <w:pStyle w:val="ListParagraph"/>
        <w:numPr>
          <w:ilvl w:val="0"/>
          <w:numId w:val="1"/>
        </w:numPr>
        <w:spacing w:after="80"/>
      </w:pPr>
      <w:r>
        <w:t xml:space="preserve">Formalise legal safe-harbour guidance for defensive honeypot use strictly confined to an organisation's own infrastructure, to reduce the ambiguity discussed in §5.2.</w:t>
      </w:r>
    </w:p>
    <w:p>
      <w:pPr>
        <w:pStyle w:val="Heading1"/>
        <w:spacing w:after="150" w:before="300"/>
      </w:pPr>
      <w:r>
        <w:t xml:space="preserve">7. Conclusion</w:t>
      </w:r>
    </w:p>
    <w:p>
      <w:pPr>
        <w:spacing w:after="150" w:line="276"/>
      </w:pPr>
      <w:r>
        <w:t xml:space="preserve">Operation Hydra illustrates how a single successful phishing email can cascade through malware installation into direct financial loss and cross-border laundering within days. The legal response necessarily spans multiple statutory regimes — IT Act, IPC, and PMLA domestically, with Budapest Convention-style mutual legal assistance as the practical mechanism for the cross-border wallet-tracing stage. The ethical dilemmas this case surfaces — particularly around crypto tracing timelines and the boundaries of active defence — are not incidental complications but structural features of modern cyber-fraud investigation that policy and organisational practice both need to catch up with.</w:t>
      </w:r>
    </w:p>
    <w:p>
      <w:pPr>
        <w:pStyle w:val="Heading1"/>
        <w:spacing w:after="150" w:before="300"/>
      </w:pPr>
      <w:r>
        <w:t xml:space="preserve">References</w:t>
      </w:r>
    </w:p>
    <w:p>
      <w:pPr>
        <w:spacing w:after="150" w:line="276"/>
      </w:pPr>
      <w:r>
        <w:t xml:space="preserve">Information Technology Act, 2000 (India), as amended by the Information Technology (Amendment) Act, 2008.</w:t>
      </w:r>
    </w:p>
    <w:p>
      <w:pPr>
        <w:spacing w:after="150" w:line="276"/>
      </w:pPr>
      <w:r>
        <w:t xml:space="preserve">Indian Penal Code, 1860 (India).</w:t>
      </w:r>
    </w:p>
    <w:p>
      <w:pPr>
        <w:spacing w:after="150" w:line="276"/>
      </w:pPr>
      <w:r>
        <w:t xml:space="preserve">Prevention of Money Laundering Act, 2002 (India).</w:t>
      </w:r>
    </w:p>
    <w:p>
      <w:pPr>
        <w:spacing w:after="150" w:line="276"/>
      </w:pPr>
      <w:r>
        <w:t xml:space="preserve">Computer Fraud and Abuse Act, 18 U.S.C. §1030 (United States).</w:t>
      </w:r>
    </w:p>
    <w:p>
      <w:pPr>
        <w:spacing w:after="150" w:line="276"/>
      </w:pPr>
      <w:r>
        <w:t xml:space="preserve">General Data Protection Regulation (EU) 2016/679.</w:t>
      </w:r>
    </w:p>
    <w:p>
      <w:pPr>
        <w:spacing w:after="150" w:line="276"/>
      </w:pPr>
      <w:r>
        <w:t xml:space="preserve">Council of Europe, Convention on Cybercrime (Budapest Convention), ETS No. 185, 2001.</w:t>
      </w:r>
    </w:p>
    <w:p>
      <w:pPr>
        <w:spacing w:after="150" w:line="276"/>
      </w:pPr>
      <w:r>
        <w:t xml:space="preserve">MITRE ATT&amp;CK Framework, https://attack.mitre.org (referenced for technique mapping in malware_analysis/ioc_list.md).</w:t>
      </w:r>
    </w:p>
    <w:p>
      <w:pPr>
        <w:spacing w:after="150" w:line="276"/>
      </w:pPr>
      <w:r>
        <w:t xml:space="preserve">Supporting technical artefacts: phishing_spoofing/, malware_analysis/, financial_fraud/, and docs/taxonomy.md in this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2026-09-01T04:04:22.838Z</dcterms:created>
  <dcterms:modified xsi:type="dcterms:W3CDTF">2026-09-01T04:04:22.838Z</dcterms:modified>
</cp:coreProperties>
</file>

<file path=docProps/custom.xml><?xml version="1.0" encoding="utf-8"?>
<Properties xmlns="http://schemas.openxmlformats.org/officeDocument/2006/custom-properties" xmlns:vt="http://schemas.openxmlformats.org/officeDocument/2006/docPropsVTypes"/>
</file>