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6256E" w:rsidRDefault="00000000">
      <w:pPr>
        <w:jc w:val="center"/>
        <w:rPr>
          <w:rFonts w:ascii="Cambria" w:eastAsia="Cambria" w:hAnsi="Cambria" w:cs="Cambria"/>
          <w:b/>
          <w:bCs/>
          <w:color w:val="8064A2"/>
          <w:sz w:val="40"/>
          <w:szCs w:val="40"/>
          <w:u w:val="single"/>
        </w:rPr>
      </w:pPr>
      <w:r>
        <w:rPr>
          <w:rFonts w:ascii="Cambria" w:eastAsia="Cambria" w:hAnsi="Cambria" w:cs="Cambria"/>
          <w:b/>
          <w:bCs/>
          <w:color w:val="8064A2"/>
          <w:sz w:val="40"/>
          <w:szCs w:val="40"/>
          <w:u w:val="single"/>
        </w:rPr>
        <w:t>House Affordability Report</w:t>
      </w:r>
    </w:p>
    <w:p w14:paraId="00000002" w14:textId="77777777" w:rsidR="00A6256E" w:rsidRDefault="00000000">
      <w:pPr>
        <w:jc w:val="center"/>
        <w:rPr>
          <w:rFonts w:ascii="Cambria" w:eastAsia="Cambria" w:hAnsi="Cambria" w:cs="Cambria"/>
          <w:b/>
          <w:bCs/>
          <w:color w:val="8064A2"/>
          <w:sz w:val="40"/>
          <w:szCs w:val="40"/>
          <w:u w:val="single"/>
        </w:rPr>
      </w:pPr>
      <w:r>
        <w:rPr>
          <w:rFonts w:ascii="Cambria" w:eastAsia="Cambria" w:hAnsi="Cambria" w:cs="Cambria"/>
          <w:b/>
          <w:bCs/>
          <w:color w:val="8064A2"/>
          <w:sz w:val="40"/>
          <w:szCs w:val="40"/>
          <w:u w:val="single"/>
        </w:rPr>
        <w:t>(Tableau Project)</w:t>
      </w:r>
    </w:p>
    <w:p w14:paraId="00000003" w14:textId="77777777" w:rsidR="00A6256E" w:rsidRDefault="00A6256E">
      <w:pPr>
        <w:jc w:val="center"/>
        <w:rPr>
          <w:rFonts w:ascii="Cambria" w:eastAsia="Cambria" w:hAnsi="Cambria" w:cs="Cambria"/>
          <w:b/>
          <w:bCs/>
          <w:color w:val="C00000"/>
          <w:sz w:val="40"/>
          <w:szCs w:val="40"/>
          <w:u w:val="single"/>
        </w:rPr>
      </w:pPr>
    </w:p>
    <w:p w14:paraId="00000004" w14:textId="77777777" w:rsidR="00A6256E" w:rsidRDefault="00000000">
      <w:pPr>
        <w:rPr>
          <w:rFonts w:ascii="Cambria" w:eastAsia="Cambria" w:hAnsi="Cambria" w:cs="Cambria"/>
          <w:b/>
          <w:bCs/>
          <w:color w:val="EE0000"/>
          <w:sz w:val="32"/>
          <w:szCs w:val="32"/>
          <w:u w:val="single"/>
        </w:rPr>
      </w:pPr>
      <w:r>
        <w:rPr>
          <w:rFonts w:ascii="Cambria" w:eastAsia="Cambria" w:hAnsi="Cambria" w:cs="Cambria"/>
          <w:b/>
          <w:bCs/>
          <w:color w:val="EE0000"/>
          <w:sz w:val="32"/>
          <w:szCs w:val="32"/>
          <w:u w:val="single"/>
        </w:rPr>
        <w:t xml:space="preserve">Dataset Overview: </w:t>
      </w:r>
    </w:p>
    <w:p w14:paraId="00000005"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 xml:space="preserve">This dataset represents </w:t>
      </w:r>
      <w:r>
        <w:rPr>
          <w:rFonts w:ascii="Cambria" w:eastAsia="Cambria" w:hAnsi="Cambria" w:cs="Cambria"/>
          <w:b/>
          <w:bCs/>
          <w:color w:val="000000"/>
          <w:sz w:val="24"/>
          <w:szCs w:val="24"/>
        </w:rPr>
        <w:t>Global Housing Prices and Affordability Analysis</w:t>
      </w:r>
      <w:r>
        <w:rPr>
          <w:rFonts w:ascii="Cambria" w:eastAsia="Cambria" w:hAnsi="Cambria" w:cs="Cambria"/>
          <w:color w:val="000000"/>
          <w:sz w:val="24"/>
          <w:szCs w:val="24"/>
        </w:rPr>
        <w:t xml:space="preserve"> across multiple countries and major cities. It combines real estate data with macroeconomic indicators to study how factors like purchasing power, inflation, and interest rates influence housing markets.</w:t>
      </w:r>
    </w:p>
    <w:p w14:paraId="00000006"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 xml:space="preserve">The primary objective of the dataset is to identify relationships between </w:t>
      </w:r>
      <w:r>
        <w:rPr>
          <w:rFonts w:ascii="Cambria" w:eastAsia="Cambria" w:hAnsi="Cambria" w:cs="Cambria"/>
          <w:b/>
          <w:bCs/>
          <w:color w:val="000000"/>
          <w:sz w:val="24"/>
          <w:szCs w:val="24"/>
        </w:rPr>
        <w:t>price growth, economic strength, and affordability</w:t>
      </w:r>
      <w:r>
        <w:rPr>
          <w:rFonts w:ascii="Cambria" w:eastAsia="Cambria" w:hAnsi="Cambria" w:cs="Cambria"/>
          <w:color w:val="000000"/>
          <w:sz w:val="24"/>
          <w:szCs w:val="24"/>
        </w:rPr>
        <w:t xml:space="preserve">. It helps in understanding what factors have resulted in the Increase </w:t>
      </w:r>
      <w:r>
        <w:rPr>
          <w:rFonts w:ascii="Cambria" w:eastAsia="Cambria" w:hAnsi="Cambria" w:cs="Cambria"/>
          <w:sz w:val="24"/>
          <w:szCs w:val="24"/>
        </w:rPr>
        <w:t>of Housing</w:t>
      </w:r>
      <w:r>
        <w:rPr>
          <w:rFonts w:ascii="Cambria" w:eastAsia="Cambria" w:hAnsi="Cambria" w:cs="Cambria"/>
          <w:color w:val="000000"/>
          <w:sz w:val="24"/>
          <w:szCs w:val="24"/>
        </w:rPr>
        <w:t xml:space="preserve"> Prices across the years of 2015 to 2025 around the Globe.</w:t>
      </w:r>
    </w:p>
    <w:p w14:paraId="00000007" w14:textId="77777777" w:rsidR="00A6256E" w:rsidRDefault="00000000">
      <w:pPr>
        <w:rPr>
          <w:rFonts w:ascii="Cambria" w:eastAsia="Cambria" w:hAnsi="Cambria" w:cs="Cambria"/>
          <w:b/>
          <w:bCs/>
          <w:color w:val="EE0000"/>
          <w:sz w:val="32"/>
          <w:szCs w:val="32"/>
          <w:u w:val="single"/>
        </w:rPr>
      </w:pPr>
      <w:r>
        <w:rPr>
          <w:rFonts w:ascii="Cambria" w:eastAsia="Cambria" w:hAnsi="Cambria" w:cs="Cambria"/>
          <w:b/>
          <w:bCs/>
          <w:color w:val="EE0000"/>
          <w:sz w:val="32"/>
          <w:szCs w:val="32"/>
          <w:u w:val="single"/>
        </w:rPr>
        <w:t xml:space="preserve">Visual Explanations: </w:t>
      </w:r>
    </w:p>
    <w:p w14:paraId="00000008" w14:textId="77777777" w:rsidR="00A6256E" w:rsidRDefault="00000000">
      <w:pPr>
        <w:numPr>
          <w:ilvl w:val="0"/>
          <w:numId w:val="1"/>
        </w:numPr>
        <w:pBdr>
          <w:top w:val="nil"/>
          <w:left w:val="nil"/>
          <w:bottom w:val="nil"/>
          <w:right w:val="nil"/>
          <w:between w:val="nil"/>
        </w:pBdr>
        <w:spacing w:before="280" w:after="0"/>
        <w:rPr>
          <w:rFonts w:ascii="Cambria" w:eastAsia="Cambria" w:hAnsi="Cambria" w:cs="Cambria"/>
          <w:b/>
          <w:bCs/>
          <w:color w:val="002060"/>
          <w:sz w:val="28"/>
          <w:szCs w:val="28"/>
          <w:u w:val="single"/>
        </w:rPr>
      </w:pPr>
      <w:r>
        <w:rPr>
          <w:rFonts w:ascii="Cambria" w:eastAsia="Cambria" w:hAnsi="Cambria" w:cs="Cambria"/>
          <w:b/>
          <w:bCs/>
          <w:color w:val="002060"/>
          <w:sz w:val="28"/>
          <w:szCs w:val="28"/>
          <w:u w:val="single"/>
        </w:rPr>
        <w:t>Sheet 1: Price Growth Over Time:</w:t>
      </w:r>
    </w:p>
    <w:p w14:paraId="00000009"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sheet visualizes how housing prices have changed from 2015 to 2025 across different countries with the help of Bar Graph. It highlights the overall upward trend and allows comparison between regions with fast and slow growth.</w:t>
      </w:r>
    </w:p>
    <w:p w14:paraId="0000000A"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chart helps identify markets experiencing rapid appreciation versus those with stable or moderate increases. It also reflects how economic conditions influence long-term property value trends.</w:t>
      </w:r>
    </w:p>
    <w:p w14:paraId="0000000B" w14:textId="77777777" w:rsidR="00A6256E" w:rsidRDefault="00A6256E">
      <w:pPr>
        <w:pBdr>
          <w:top w:val="nil"/>
          <w:left w:val="nil"/>
          <w:bottom w:val="nil"/>
          <w:right w:val="nil"/>
          <w:between w:val="nil"/>
        </w:pBdr>
        <w:spacing w:after="0"/>
        <w:ind w:left="720"/>
        <w:rPr>
          <w:rFonts w:ascii="Cambria" w:eastAsia="Cambria" w:hAnsi="Cambria" w:cs="Cambria"/>
          <w:b/>
          <w:bCs/>
          <w:color w:val="002060"/>
          <w:sz w:val="32"/>
          <w:szCs w:val="32"/>
          <w:u w:val="single"/>
        </w:rPr>
      </w:pPr>
    </w:p>
    <w:p w14:paraId="0000000C" w14:textId="77777777" w:rsidR="00A6256E" w:rsidRDefault="00000000">
      <w:pPr>
        <w:numPr>
          <w:ilvl w:val="0"/>
          <w:numId w:val="1"/>
        </w:numPr>
        <w:pBdr>
          <w:top w:val="nil"/>
          <w:left w:val="nil"/>
          <w:bottom w:val="nil"/>
          <w:right w:val="nil"/>
          <w:between w:val="nil"/>
        </w:pBdr>
        <w:spacing w:after="0"/>
        <w:rPr>
          <w:rFonts w:ascii="Cambria" w:eastAsia="Cambria" w:hAnsi="Cambria" w:cs="Cambria"/>
          <w:b/>
          <w:bCs/>
          <w:color w:val="002060"/>
          <w:sz w:val="28"/>
          <w:szCs w:val="28"/>
          <w:u w:val="single"/>
        </w:rPr>
      </w:pPr>
      <w:r>
        <w:rPr>
          <w:rFonts w:ascii="Cambria" w:eastAsia="Cambria" w:hAnsi="Cambria" w:cs="Cambria"/>
          <w:b/>
          <w:bCs/>
          <w:color w:val="002060"/>
          <w:sz w:val="28"/>
          <w:szCs w:val="28"/>
          <w:u w:val="single"/>
        </w:rPr>
        <w:t xml:space="preserve">Sheet 2: Growth Rate Comparison: </w:t>
      </w:r>
    </w:p>
    <w:p w14:paraId="0000000D"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sheet explores the relationship between Average Growth Rate and difference in House prices across the years 2015 &amp; 2025 using a Double Axis Line &amp; Bar Graph. </w:t>
      </w:r>
    </w:p>
    <w:p w14:paraId="0000000E"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visualization reveals that despite varying Growth Rates the Difference in Prices of Housing generally depends on the Increase in Inflation in that Particular Country.</w:t>
      </w:r>
    </w:p>
    <w:p w14:paraId="0000000F" w14:textId="77777777" w:rsidR="00A6256E" w:rsidRDefault="00A6256E">
      <w:pPr>
        <w:pBdr>
          <w:top w:val="nil"/>
          <w:left w:val="nil"/>
          <w:bottom w:val="nil"/>
          <w:right w:val="nil"/>
          <w:between w:val="nil"/>
        </w:pBdr>
        <w:spacing w:after="0"/>
        <w:ind w:left="720"/>
        <w:rPr>
          <w:rFonts w:ascii="Cambria" w:eastAsia="Cambria" w:hAnsi="Cambria" w:cs="Cambria"/>
          <w:b/>
          <w:bCs/>
          <w:color w:val="002060"/>
          <w:sz w:val="32"/>
          <w:szCs w:val="32"/>
          <w:u w:val="single"/>
        </w:rPr>
      </w:pPr>
    </w:p>
    <w:p w14:paraId="00000010" w14:textId="77777777" w:rsidR="00A6256E" w:rsidRDefault="00000000">
      <w:pPr>
        <w:numPr>
          <w:ilvl w:val="0"/>
          <w:numId w:val="1"/>
        </w:numPr>
        <w:pBdr>
          <w:top w:val="nil"/>
          <w:left w:val="nil"/>
          <w:bottom w:val="nil"/>
          <w:right w:val="nil"/>
          <w:between w:val="nil"/>
        </w:pBdr>
        <w:spacing w:after="0"/>
        <w:rPr>
          <w:rFonts w:ascii="Cambria" w:eastAsia="Cambria" w:hAnsi="Cambria" w:cs="Cambria"/>
          <w:b/>
          <w:bCs/>
          <w:color w:val="002060"/>
          <w:sz w:val="28"/>
          <w:szCs w:val="28"/>
          <w:u w:val="single"/>
        </w:rPr>
      </w:pPr>
      <w:r>
        <w:rPr>
          <w:rFonts w:ascii="Cambria" w:eastAsia="Cambria" w:hAnsi="Cambria" w:cs="Cambria"/>
          <w:b/>
          <w:bCs/>
          <w:color w:val="002060"/>
          <w:sz w:val="28"/>
          <w:szCs w:val="28"/>
          <w:u w:val="single"/>
        </w:rPr>
        <w:t xml:space="preserve">Sheet 3: House Type Preference: </w:t>
      </w:r>
    </w:p>
    <w:p w14:paraId="00000011"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sheet compares what people with different incomes prefer as their House Type with the help of Multiple Pie Charts.</w:t>
      </w:r>
    </w:p>
    <w:p w14:paraId="00000012"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visual shows that people with High incomes prefer Expensive to Medium Range Accommodations while Low-income ones Prefer Cheaper Housing as Expected.</w:t>
      </w:r>
    </w:p>
    <w:p w14:paraId="00000013"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But the anomaly comes with Middle class people where Majority of them either </w:t>
      </w:r>
      <w:r>
        <w:rPr>
          <w:rFonts w:ascii="Times New Roman" w:eastAsia="Times New Roman" w:hAnsi="Times New Roman" w:cs="Times New Roman"/>
          <w:sz w:val="24"/>
          <w:szCs w:val="24"/>
        </w:rPr>
        <w:t>have</w:t>
      </w:r>
      <w:r>
        <w:rPr>
          <w:rFonts w:ascii="Times New Roman" w:eastAsia="Times New Roman" w:hAnsi="Times New Roman" w:cs="Times New Roman"/>
          <w:color w:val="000000"/>
          <w:sz w:val="24"/>
          <w:szCs w:val="24"/>
        </w:rPr>
        <w:t xml:space="preserve"> the Most expensive or the Cheapest Accommodation.</w:t>
      </w:r>
    </w:p>
    <w:p w14:paraId="00000014" w14:textId="77777777" w:rsidR="00A6256E" w:rsidRDefault="00A6256E">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0000015" w14:textId="77777777" w:rsidR="00A6256E" w:rsidRDefault="00000000">
      <w:pPr>
        <w:numPr>
          <w:ilvl w:val="0"/>
          <w:numId w:val="1"/>
        </w:numPr>
        <w:pBdr>
          <w:top w:val="nil"/>
          <w:left w:val="nil"/>
          <w:bottom w:val="nil"/>
          <w:right w:val="nil"/>
          <w:between w:val="nil"/>
        </w:pBdr>
        <w:spacing w:after="0"/>
        <w:rPr>
          <w:rFonts w:ascii="Cambria" w:eastAsia="Cambria" w:hAnsi="Cambria" w:cs="Cambria"/>
          <w:b/>
          <w:bCs/>
          <w:color w:val="002060"/>
          <w:sz w:val="28"/>
          <w:szCs w:val="28"/>
          <w:u w:val="single"/>
        </w:rPr>
      </w:pPr>
      <w:r>
        <w:rPr>
          <w:rFonts w:ascii="Cambria" w:eastAsia="Cambria" w:hAnsi="Cambria" w:cs="Cambria"/>
          <w:b/>
          <w:bCs/>
          <w:color w:val="002060"/>
          <w:sz w:val="28"/>
          <w:szCs w:val="28"/>
          <w:u w:val="single"/>
        </w:rPr>
        <w:t xml:space="preserve">Sheet 4: Inaffordability Ratio to PPP Index: </w:t>
      </w:r>
    </w:p>
    <w:p w14:paraId="00000016"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sheet examines the relationship between Average PPP Index, Average Population Growth &amp; their effects on Inaffordability Ratio by Country with the help of Map Visual.</w:t>
      </w:r>
    </w:p>
    <w:p w14:paraId="00000017"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visualization suggests that Higher Population Growth overtime results in High PPP Index which in turn </w:t>
      </w:r>
      <w:r>
        <w:rPr>
          <w:rFonts w:ascii="Times New Roman" w:eastAsia="Times New Roman" w:hAnsi="Times New Roman" w:cs="Times New Roman"/>
          <w:sz w:val="24"/>
          <w:szCs w:val="24"/>
        </w:rPr>
        <w:t>results</w:t>
      </w:r>
      <w:r>
        <w:rPr>
          <w:rFonts w:ascii="Times New Roman" w:eastAsia="Times New Roman" w:hAnsi="Times New Roman" w:cs="Times New Roman"/>
          <w:color w:val="000000"/>
          <w:sz w:val="24"/>
          <w:szCs w:val="24"/>
        </w:rPr>
        <w:t xml:space="preserve"> in Higher Inaffordability in Housing Prices.</w:t>
      </w:r>
    </w:p>
    <w:p w14:paraId="00000018" w14:textId="77777777" w:rsidR="00A6256E" w:rsidRDefault="00A6256E">
      <w:pPr>
        <w:pBdr>
          <w:top w:val="nil"/>
          <w:left w:val="nil"/>
          <w:bottom w:val="nil"/>
          <w:right w:val="nil"/>
          <w:between w:val="nil"/>
        </w:pBdr>
        <w:spacing w:after="0"/>
        <w:ind w:left="720"/>
        <w:rPr>
          <w:rFonts w:ascii="Cambria" w:eastAsia="Cambria" w:hAnsi="Cambria" w:cs="Cambria"/>
          <w:b/>
          <w:bCs/>
          <w:color w:val="002060"/>
          <w:sz w:val="28"/>
          <w:szCs w:val="28"/>
          <w:u w:val="single"/>
        </w:rPr>
      </w:pPr>
    </w:p>
    <w:p w14:paraId="00000019" w14:textId="77777777" w:rsidR="00A6256E" w:rsidRDefault="00000000">
      <w:pPr>
        <w:numPr>
          <w:ilvl w:val="0"/>
          <w:numId w:val="1"/>
        </w:numPr>
        <w:pBdr>
          <w:top w:val="nil"/>
          <w:left w:val="nil"/>
          <w:bottom w:val="nil"/>
          <w:right w:val="nil"/>
          <w:between w:val="nil"/>
        </w:pBdr>
        <w:spacing w:after="0"/>
        <w:rPr>
          <w:rFonts w:ascii="Cambria" w:eastAsia="Cambria" w:hAnsi="Cambria" w:cs="Cambria"/>
          <w:b/>
          <w:bCs/>
          <w:color w:val="002060"/>
          <w:sz w:val="28"/>
          <w:szCs w:val="28"/>
          <w:u w:val="single"/>
        </w:rPr>
      </w:pPr>
      <w:r>
        <w:rPr>
          <w:rFonts w:ascii="Cambria" w:eastAsia="Cambria" w:hAnsi="Cambria" w:cs="Cambria"/>
          <w:b/>
          <w:bCs/>
          <w:color w:val="002060"/>
          <w:sz w:val="28"/>
          <w:szCs w:val="28"/>
          <w:u w:val="single"/>
        </w:rPr>
        <w:t xml:space="preserve">Sheet 5: Inflation &amp; Interest Rates: </w:t>
      </w:r>
    </w:p>
    <w:p w14:paraId="0000001A"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sheet organizes Average Inflation Rate &amp; Interest Rates of Countries in the form of a Tree Map on the basis </w:t>
      </w:r>
      <w:r>
        <w:rPr>
          <w:rFonts w:ascii="Times New Roman" w:eastAsia="Times New Roman" w:hAnsi="Times New Roman" w:cs="Times New Roman"/>
          <w:sz w:val="24"/>
          <w:szCs w:val="24"/>
        </w:rPr>
        <w:t>of Inflation</w:t>
      </w:r>
      <w:r>
        <w:rPr>
          <w:rFonts w:ascii="Times New Roman" w:eastAsia="Times New Roman" w:hAnsi="Times New Roman" w:cs="Times New Roman"/>
          <w:color w:val="000000"/>
          <w:sz w:val="24"/>
          <w:szCs w:val="24"/>
        </w:rPr>
        <w:t xml:space="preserve"> Rates. The bigger the </w:t>
      </w:r>
      <w:r>
        <w:rPr>
          <w:rFonts w:ascii="Times New Roman" w:eastAsia="Times New Roman" w:hAnsi="Times New Roman" w:cs="Times New Roman"/>
          <w:sz w:val="24"/>
          <w:szCs w:val="24"/>
        </w:rPr>
        <w:t>area, the bigger</w:t>
      </w:r>
      <w:r>
        <w:rPr>
          <w:rFonts w:ascii="Times New Roman" w:eastAsia="Times New Roman" w:hAnsi="Times New Roman" w:cs="Times New Roman"/>
          <w:color w:val="000000"/>
          <w:sz w:val="24"/>
          <w:szCs w:val="24"/>
        </w:rPr>
        <w:t xml:space="preserve"> the Inflation Rate of the Country.</w:t>
      </w:r>
    </w:p>
    <w:p w14:paraId="134320C8" w14:textId="77777777" w:rsidR="00A32643" w:rsidRDefault="00000000" w:rsidP="00A32643">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distribution helps to understand that while Inflation Rate plays little Role in Interest Rates the difference in both rates is more in countries with Low Inflation as compared to Countries with High inflation.</w:t>
      </w:r>
    </w:p>
    <w:p w14:paraId="0000001D" w14:textId="6F692093" w:rsidR="00A6256E" w:rsidRPr="00A32643" w:rsidRDefault="00000000" w:rsidP="00A32643">
      <w:pPr>
        <w:pStyle w:val="ListParagraph"/>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A32643">
        <w:rPr>
          <w:rFonts w:ascii="Cambria" w:eastAsia="Cambria" w:hAnsi="Cambria" w:cs="Cambria"/>
          <w:b/>
          <w:bCs/>
          <w:color w:val="002060"/>
          <w:sz w:val="28"/>
          <w:szCs w:val="28"/>
          <w:u w:val="single"/>
        </w:rPr>
        <w:t xml:space="preserve">Sheet 6: Price to PPP Index &amp; Market Status: </w:t>
      </w:r>
    </w:p>
    <w:p w14:paraId="0000001E" w14:textId="77777777" w:rsidR="00A6256E"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sheet combines factors like PPP Index &amp; Market status situations of Countries in Comparative Scatter Plot. The visualization helps quickly identify patterns and outliers in the data. It is useful for spotting regions with balanced growth versus those facing economic pressure.</w:t>
      </w:r>
    </w:p>
    <w:p w14:paraId="0000001F" w14:textId="77777777" w:rsidR="00A6256E" w:rsidRDefault="00000000">
      <w:pPr>
        <w:pBdr>
          <w:top w:val="nil"/>
          <w:left w:val="nil"/>
          <w:bottom w:val="nil"/>
          <w:right w:val="nil"/>
          <w:between w:val="nil"/>
        </w:pBdr>
        <w:spacing w:after="28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can arrive at a conclusion by this visual that a Declining Economy shows Average to Mid-Range Housing prices while if the Market of a Country is Booming the Housing Prices doesn't become Cheap in turn they </w:t>
      </w:r>
      <w:r>
        <w:rPr>
          <w:rFonts w:ascii="Times New Roman" w:eastAsia="Times New Roman" w:hAnsi="Times New Roman" w:cs="Times New Roman"/>
          <w:sz w:val="24"/>
          <w:szCs w:val="24"/>
        </w:rPr>
        <w:t>lie majorly</w:t>
      </w:r>
      <w:r>
        <w:rPr>
          <w:rFonts w:ascii="Times New Roman" w:eastAsia="Times New Roman" w:hAnsi="Times New Roman" w:cs="Times New Roman"/>
          <w:color w:val="000000"/>
          <w:sz w:val="24"/>
          <w:szCs w:val="24"/>
        </w:rPr>
        <w:t xml:space="preserve"> in Mid-Range to High Range.</w:t>
      </w:r>
    </w:p>
    <w:p w14:paraId="00000020" w14:textId="77777777" w:rsidR="00A6256E" w:rsidRDefault="00000000">
      <w:pPr>
        <w:rPr>
          <w:rFonts w:ascii="Cambria" w:eastAsia="Cambria" w:hAnsi="Cambria" w:cs="Cambria"/>
          <w:b/>
          <w:bCs/>
          <w:color w:val="EE0000"/>
          <w:sz w:val="32"/>
          <w:szCs w:val="32"/>
          <w:u w:val="single"/>
        </w:rPr>
      </w:pPr>
      <w:r>
        <w:rPr>
          <w:rFonts w:ascii="Cambria" w:eastAsia="Cambria" w:hAnsi="Cambria" w:cs="Cambria"/>
          <w:b/>
          <w:bCs/>
          <w:color w:val="EE0000"/>
          <w:sz w:val="32"/>
          <w:szCs w:val="32"/>
          <w:u w:val="single"/>
        </w:rPr>
        <w:t>Explanation of Dashboards:</w:t>
      </w:r>
    </w:p>
    <w:p w14:paraId="00000021" w14:textId="77777777" w:rsidR="00A6256E" w:rsidRDefault="00000000">
      <w:pPr>
        <w:rPr>
          <w:rFonts w:ascii="Cambria" w:eastAsia="Cambria" w:hAnsi="Cambria" w:cs="Cambria"/>
          <w:b/>
          <w:bCs/>
          <w:color w:val="002060"/>
          <w:sz w:val="28"/>
          <w:szCs w:val="28"/>
          <w:u w:val="single"/>
        </w:rPr>
      </w:pPr>
      <w:r>
        <w:rPr>
          <w:rFonts w:ascii="Cambria" w:eastAsia="Cambria" w:hAnsi="Cambria" w:cs="Cambria"/>
          <w:b/>
          <w:bCs/>
          <w:color w:val="002060"/>
          <w:sz w:val="28"/>
          <w:szCs w:val="28"/>
          <w:u w:val="single"/>
        </w:rPr>
        <w:t>Dashboard 1 - Global Housing Overview:</w:t>
      </w:r>
    </w:p>
    <w:p w14:paraId="00000022"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Dashboard of How growth Rate, Inaffordability Ratio &amp; PPP Index influence Housing Affordability.</w:t>
      </w:r>
    </w:p>
    <w:p w14:paraId="00000023"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It includes visuals showing comparison of Difference in price from 2015 to 2025 &amp; Growth Rate % of Countries.</w:t>
      </w:r>
    </w:p>
    <w:p w14:paraId="00000024"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This dashboard provides a high-level view of housing prices, growth rates, and affordability across countries. It helps users quickly compare overall market performance and identify global trends. It highlights which regions are experiencing rapid growth and where housing is becoming expensive.</w:t>
      </w:r>
    </w:p>
    <w:p w14:paraId="00000025" w14:textId="77777777" w:rsidR="00A6256E" w:rsidRDefault="00000000">
      <w:pPr>
        <w:rPr>
          <w:rFonts w:ascii="Cambria" w:eastAsia="Cambria" w:hAnsi="Cambria" w:cs="Cambria"/>
          <w:b/>
          <w:bCs/>
          <w:color w:val="000000"/>
          <w:sz w:val="24"/>
          <w:szCs w:val="24"/>
          <w:u w:val="single"/>
        </w:rPr>
      </w:pPr>
      <w:r>
        <w:rPr>
          <w:rFonts w:ascii="Cambria" w:eastAsia="Cambria" w:hAnsi="Cambria" w:cs="Cambria"/>
          <w:b/>
          <w:bCs/>
          <w:color w:val="000000"/>
          <w:sz w:val="24"/>
          <w:szCs w:val="24"/>
          <w:u w:val="single"/>
        </w:rPr>
        <w:t>KPIs Used:</w:t>
      </w:r>
    </w:p>
    <w:p w14:paraId="00000026" w14:textId="77777777" w:rsidR="00A6256E"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lastRenderedPageBreak/>
        <w:t>Average Growth Rate across Countries.</w:t>
      </w:r>
    </w:p>
    <w:p w14:paraId="00000027" w14:textId="77777777" w:rsidR="00A6256E"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Average Difference in Price from 2015 to 2025.</w:t>
      </w:r>
    </w:p>
    <w:p w14:paraId="00000028" w14:textId="77777777" w:rsidR="00A6256E"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Average Purchasing </w:t>
      </w:r>
      <w:r>
        <w:rPr>
          <w:rFonts w:ascii="Cambria" w:eastAsia="Cambria" w:hAnsi="Cambria" w:cs="Cambria"/>
          <w:sz w:val="24"/>
          <w:szCs w:val="24"/>
        </w:rPr>
        <w:t>Power</w:t>
      </w:r>
      <w:r>
        <w:rPr>
          <w:rFonts w:ascii="Cambria" w:eastAsia="Cambria" w:hAnsi="Cambria" w:cs="Cambria"/>
          <w:color w:val="000000"/>
          <w:sz w:val="24"/>
          <w:szCs w:val="24"/>
        </w:rPr>
        <w:t xml:space="preserve"> Parity Index.</w:t>
      </w:r>
    </w:p>
    <w:p w14:paraId="00000029" w14:textId="77777777" w:rsidR="00A6256E"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Average Population growth across Countries.</w:t>
      </w:r>
    </w:p>
    <w:p w14:paraId="0000002A" w14:textId="77777777" w:rsidR="00A6256E" w:rsidRDefault="00000000">
      <w:pPr>
        <w:numPr>
          <w:ilvl w:val="0"/>
          <w:numId w:val="2"/>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Average Inaffordability Ratio increase from 2015 &amp; 2025. </w:t>
      </w:r>
    </w:p>
    <w:p w14:paraId="0000002B" w14:textId="77777777" w:rsidR="00A6256E" w:rsidRDefault="00000000">
      <w:pPr>
        <w:rPr>
          <w:rFonts w:ascii="Cambria" w:eastAsia="Cambria" w:hAnsi="Cambria" w:cs="Cambria"/>
          <w:b/>
          <w:bCs/>
          <w:color w:val="002060"/>
          <w:sz w:val="28"/>
          <w:szCs w:val="28"/>
          <w:u w:val="single"/>
        </w:rPr>
      </w:pPr>
      <w:r>
        <w:rPr>
          <w:rFonts w:ascii="Cambria" w:eastAsia="Cambria" w:hAnsi="Cambria" w:cs="Cambria"/>
          <w:b/>
          <w:bCs/>
          <w:color w:val="002060"/>
          <w:sz w:val="28"/>
          <w:szCs w:val="28"/>
          <w:u w:val="single"/>
        </w:rPr>
        <w:t>Dashboard 2 - Affordability &amp; Economic Impact:</w:t>
      </w:r>
    </w:p>
    <w:p w14:paraId="0000002C"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Dashboard of How Inflation Rate, Interest Rate &amp; House Preference influence Housing Affordability across the Years of 2015 to 2025.</w:t>
      </w:r>
    </w:p>
    <w:p w14:paraId="0000002D"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This dashboard focuses on how economic factors like Housing price increase across years, income level, inflation, and interest rates affect housing affordability. It connects financial conditions with real estate outcomes.</w:t>
      </w:r>
    </w:p>
    <w:p w14:paraId="0000002E"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It helps identify regions where people struggle to afford homes despite economic strength. This makes it useful for understanding affordability gaps.</w:t>
      </w:r>
    </w:p>
    <w:p w14:paraId="0000002F" w14:textId="77777777" w:rsidR="00A6256E" w:rsidRDefault="00000000">
      <w:pPr>
        <w:rPr>
          <w:rFonts w:ascii="Cambria" w:eastAsia="Cambria" w:hAnsi="Cambria" w:cs="Cambria"/>
          <w:b/>
          <w:bCs/>
          <w:color w:val="000000"/>
          <w:sz w:val="24"/>
          <w:szCs w:val="24"/>
          <w:u w:val="single"/>
        </w:rPr>
      </w:pPr>
      <w:r>
        <w:rPr>
          <w:rFonts w:ascii="Cambria" w:eastAsia="Cambria" w:hAnsi="Cambria" w:cs="Cambria"/>
          <w:b/>
          <w:bCs/>
          <w:color w:val="000000"/>
          <w:sz w:val="24"/>
          <w:szCs w:val="24"/>
          <w:u w:val="single"/>
        </w:rPr>
        <w:t>KPIs Used:</w:t>
      </w:r>
    </w:p>
    <w:p w14:paraId="00000030" w14:textId="77777777" w:rsidR="00A6256E" w:rsidRDefault="00000000">
      <w:pPr>
        <w:numPr>
          <w:ilvl w:val="0"/>
          <w:numId w:val="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Average Inflation Rate across Countries.</w:t>
      </w:r>
    </w:p>
    <w:p w14:paraId="00000031" w14:textId="77777777" w:rsidR="00A6256E" w:rsidRDefault="00000000">
      <w:pPr>
        <w:numPr>
          <w:ilvl w:val="0"/>
          <w:numId w:val="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Average Interest Rate across Countries.</w:t>
      </w:r>
    </w:p>
    <w:p w14:paraId="00000032" w14:textId="77777777" w:rsidR="00A6256E" w:rsidRDefault="00000000">
      <w:pPr>
        <w:rPr>
          <w:rFonts w:ascii="Cambria" w:eastAsia="Cambria" w:hAnsi="Cambria" w:cs="Cambria"/>
          <w:b/>
          <w:bCs/>
          <w:color w:val="EE0000"/>
          <w:sz w:val="32"/>
          <w:szCs w:val="32"/>
          <w:u w:val="single"/>
        </w:rPr>
      </w:pPr>
      <w:r>
        <w:rPr>
          <w:rFonts w:ascii="Cambria" w:eastAsia="Cambria" w:hAnsi="Cambria" w:cs="Cambria"/>
          <w:b/>
          <w:bCs/>
          <w:color w:val="EE0000"/>
          <w:sz w:val="32"/>
          <w:szCs w:val="32"/>
          <w:u w:val="single"/>
        </w:rPr>
        <w:t xml:space="preserve">Conclusions from this Analysis: </w:t>
      </w:r>
    </w:p>
    <w:p w14:paraId="00000033"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 Housing prices show a strong upward trend across most countries.</w:t>
      </w:r>
      <w:r>
        <w:rPr>
          <w:rFonts w:ascii="Cambria" w:eastAsia="Cambria" w:hAnsi="Cambria" w:cs="Cambria"/>
          <w:color w:val="000000"/>
          <w:sz w:val="24"/>
          <w:szCs w:val="24"/>
        </w:rPr>
        <w:br/>
        <w:t>• High price growth does not always translate to better affordability.</w:t>
      </w:r>
      <w:r>
        <w:rPr>
          <w:rFonts w:ascii="Cambria" w:eastAsia="Cambria" w:hAnsi="Cambria" w:cs="Cambria"/>
          <w:color w:val="000000"/>
          <w:sz w:val="24"/>
          <w:szCs w:val="24"/>
        </w:rPr>
        <w:br/>
        <w:t>• Regions with high PPP face housing affordability challenges.</w:t>
      </w:r>
      <w:r>
        <w:rPr>
          <w:rFonts w:ascii="Cambria" w:eastAsia="Cambria" w:hAnsi="Cambria" w:cs="Cambria"/>
          <w:color w:val="000000"/>
          <w:sz w:val="24"/>
          <w:szCs w:val="24"/>
        </w:rPr>
        <w:br/>
        <w:t>• Population growth is a key driver of increasing housing demand and prices.</w:t>
      </w:r>
      <w:r>
        <w:rPr>
          <w:rFonts w:ascii="Cambria" w:eastAsia="Cambria" w:hAnsi="Cambria" w:cs="Cambria"/>
          <w:color w:val="000000"/>
          <w:sz w:val="24"/>
          <w:szCs w:val="24"/>
        </w:rPr>
        <w:br/>
        <w:t>• High interest and inflation rates negatively impact affordability.</w:t>
      </w:r>
      <w:r>
        <w:rPr>
          <w:rFonts w:ascii="Cambria" w:eastAsia="Cambria" w:hAnsi="Cambria" w:cs="Cambria"/>
          <w:color w:val="000000"/>
          <w:sz w:val="24"/>
          <w:szCs w:val="24"/>
        </w:rPr>
        <w:br/>
        <w:t>• Some emerging markets show rapid growth but higher financial risk.</w:t>
      </w:r>
      <w:r>
        <w:rPr>
          <w:rFonts w:ascii="Cambria" w:eastAsia="Cambria" w:hAnsi="Cambria" w:cs="Cambria"/>
          <w:color w:val="000000"/>
          <w:sz w:val="24"/>
          <w:szCs w:val="24"/>
        </w:rPr>
        <w:br/>
        <w:t>• Stable markets offer balanced growth with moderate affordability levels.</w:t>
      </w:r>
      <w:r>
        <w:rPr>
          <w:rFonts w:ascii="Cambria" w:eastAsia="Cambria" w:hAnsi="Cambria" w:cs="Cambria"/>
          <w:color w:val="000000"/>
          <w:sz w:val="24"/>
          <w:szCs w:val="24"/>
        </w:rPr>
        <w:br/>
        <w:t>• Declining markets indicate lower growth and potential investment risks.</w:t>
      </w:r>
    </w:p>
    <w:p w14:paraId="00000034" w14:textId="77777777" w:rsidR="00A6256E" w:rsidRDefault="00000000">
      <w:pPr>
        <w:rPr>
          <w:rFonts w:ascii="Cambria" w:eastAsia="Cambria" w:hAnsi="Cambria" w:cs="Cambria"/>
          <w:color w:val="000000"/>
          <w:sz w:val="24"/>
          <w:szCs w:val="24"/>
        </w:rPr>
      </w:pPr>
      <w:r>
        <w:rPr>
          <w:rFonts w:ascii="Cambria" w:eastAsia="Cambria" w:hAnsi="Cambria" w:cs="Cambria"/>
          <w:color w:val="000000"/>
          <w:sz w:val="24"/>
          <w:szCs w:val="24"/>
        </w:rPr>
        <w:t>The Housing Affordability Report based on this dataset provides valuable insights into global real estate trends, economic influences, and affordability challenges. The analysis helps in understanding how factors like PPP, income, inflation, and interest rates shape housing markets. These insights support data-driven decision-making and help identify investment opportunities, risk areas, and regions facing affordability issues.</w:t>
      </w:r>
    </w:p>
    <w:p w14:paraId="00000035" w14:textId="77777777" w:rsidR="00A6256E" w:rsidRDefault="00000000">
      <w:pPr>
        <w:rPr>
          <w:rFonts w:ascii="Cambria" w:eastAsia="Cambria" w:hAnsi="Cambria" w:cs="Cambria"/>
          <w:b/>
          <w:bCs/>
          <w:color w:val="000000"/>
          <w:sz w:val="36"/>
          <w:szCs w:val="36"/>
          <w:u w:val="single"/>
        </w:rPr>
      </w:pPr>
      <w:r>
        <w:rPr>
          <w:rFonts w:ascii="Cambria" w:eastAsia="Cambria" w:hAnsi="Cambria" w:cs="Cambria"/>
          <w:b/>
          <w:bCs/>
          <w:color w:val="1F497D"/>
          <w:sz w:val="36"/>
          <w:szCs w:val="36"/>
          <w:u w:val="single"/>
        </w:rPr>
        <w:t>Prepared by:</w:t>
      </w:r>
      <w:r>
        <w:rPr>
          <w:rFonts w:ascii="Cambria" w:eastAsia="Cambria" w:hAnsi="Cambria" w:cs="Cambria"/>
          <w:b/>
          <w:bCs/>
          <w:color w:val="1F497D"/>
          <w:sz w:val="36"/>
          <w:szCs w:val="36"/>
        </w:rPr>
        <w:t xml:space="preserve"> </w:t>
      </w:r>
      <w:r>
        <w:rPr>
          <w:rFonts w:ascii="Cambria" w:eastAsia="Cambria" w:hAnsi="Cambria" w:cs="Cambria"/>
          <w:b/>
          <w:bCs/>
          <w:color w:val="000000"/>
          <w:sz w:val="36"/>
          <w:szCs w:val="36"/>
        </w:rPr>
        <w:t>Tejas Chopade.</w:t>
      </w:r>
    </w:p>
    <w:sectPr w:rsidR="00A625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D30AF8-5947-4F66-A82B-3AE9CD43C135}"/>
    <w:embedItalic r:id="rId2" w:fontKey="{34EAC0C4-AB70-42B7-B510-BDAD968B34F3}"/>
  </w:font>
  <w:font w:name="Cambria">
    <w:panose1 w:val="02040503050406030204"/>
    <w:charset w:val="00"/>
    <w:family w:val="roman"/>
    <w:pitch w:val="variable"/>
    <w:sig w:usb0="E00006FF" w:usb1="420024FF" w:usb2="02000000" w:usb3="00000000" w:csb0="0000019F" w:csb1="00000000"/>
    <w:embedRegular r:id="rId3" w:fontKey="{A0931574-77E2-4A2E-B71D-FB376BD27B5A}"/>
    <w:embedBold r:id="rId4" w:fontKey="{B9059755-90FD-4E07-BCA6-02416FE04F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6D30"/>
    <w:multiLevelType w:val="multilevel"/>
    <w:tmpl w:val="01FC8F5A"/>
    <w:lvl w:ilvl="0">
      <w:start w:val="1"/>
      <w:numFmt w:val="decimal"/>
      <w:lvlText w:val="%1."/>
      <w:lvlJc w:val="left"/>
      <w:pPr>
        <w:ind w:left="720" w:hanging="360"/>
      </w:pPr>
      <w:rPr>
        <w:b/>
        <w:bCs/>
        <w:color w:val="00206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286C88"/>
    <w:multiLevelType w:val="multilevel"/>
    <w:tmpl w:val="D56AF7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B87AB2"/>
    <w:multiLevelType w:val="multilevel"/>
    <w:tmpl w:val="9CE229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24655176">
    <w:abstractNumId w:val="0"/>
  </w:num>
  <w:num w:numId="2" w16cid:durableId="193809457">
    <w:abstractNumId w:val="2"/>
  </w:num>
  <w:num w:numId="3" w16cid:durableId="734281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56E"/>
    <w:rsid w:val="009504D4"/>
    <w:rsid w:val="00A32643"/>
    <w:rsid w:val="00A62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1538"/>
  <w15:docId w15:val="{8E2BC347-1499-46B9-AFB2-089024576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paragraph" w:styleId="ListParagraph">
    <w:name w:val="List Paragraph"/>
    <w:basedOn w:val="Normal"/>
    <w:uiPriority w:val="34"/>
    <w:qFormat/>
    <w:rsid w:val="00A32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8q5wDlV3RSshWWhNPqsJnB4NA==">CgMxLjA4AHIhMUZjbjdhMVlRNnJHaW96ZDdaMHV2MFZVSkYwdVUwWE1p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Tejas Chopade</cp:lastModifiedBy>
  <cp:revision>2</cp:revision>
  <dcterms:created xsi:type="dcterms:W3CDTF">2026-05-02T23:52:00Z</dcterms:created>
  <dcterms:modified xsi:type="dcterms:W3CDTF">2026-05-02T23:53:00Z</dcterms:modified>
</cp:coreProperties>
</file>