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fill="F57C00"/>
        <w:spacing w:after="40"/>
      </w:pPr>
      <w:r>
        <w:rPr>
          <w:b/>
          <w:color w:val="FFFFFF"/>
          <w:sz w:val="24"/>
        </w:rPr>
        <w:t>SMART ANALYSIS REPORTER</w:t>
      </w:r>
    </w:p>
    <w:p>
      <w:pPr>
        <w:shd w:val="clear" w:fill="F57C00"/>
      </w:pPr>
      <w:r>
        <w:rPr>
          <w:color w:val="FFFFFF"/>
          <w:sz w:val="20"/>
        </w:rPr>
        <w:t>Statistical Analysis Report</w:t>
      </w:r>
    </w:p>
    <w:p>
      <w:pPr>
        <w:shd w:val="clear" w:fill="F57C00"/>
      </w:pPr>
      <w:r>
        <w:rPr>
          <w:b/>
          <w:color w:val="FFFFFF"/>
          <w:sz w:val="56"/>
        </w:rPr>
        <w:t>Analysis Documentation</w:t>
      </w:r>
    </w:p>
    <w:p>
      <w:pPr>
        <w:shd w:val="clear" w:fill="F57C00"/>
        <w:spacing w:after="320"/>
      </w:pPr>
      <w:r>
        <w:rPr>
          <w:color w:val="FFFFFF"/>
          <w:sz w:val="28"/>
        </w:rPr>
        <w:t>Student Performance Prediction</w:t>
      </w:r>
    </w:p>
    <w:p>
      <w:r>
        <w:rPr>
          <w:sz w:val="22"/>
        </w:rPr>
        <w:t>Prepared by Kavin Ganapathy</w:t>
      </w:r>
    </w:p>
    <w:p>
      <w:r>
        <w:rPr>
          <w:sz w:val="22"/>
        </w:rPr>
        <w:t>Student ID: 100008820</w:t>
      </w:r>
    </w:p>
    <w:p>
      <w:r>
        <w:rPr>
          <w:sz w:val="22"/>
        </w:rPr>
        <w:t>Date: 2026-06-07</w:t>
      </w:r>
    </w:p>
    <w:p>
      <w:r>
        <w:br w:type="page"/>
      </w:r>
    </w:p>
    <w:p>
      <w:r>
        <w:rPr>
          <w:b/>
          <w:sz w:val="32"/>
        </w:rPr>
        <w:t>Table of Contents</w:t>
      </w:r>
    </w:p>
    <w:p>
      <w:r>
        <w:fldChar w:fldCharType="begin"/>
      </w:r>
      <w:r>
        <w:instrText xml:space="preserve">TOC \o "1-1" \h \z \u</w:instrText>
      </w:r>
      <w:r>
        <w:fldChar w:fldCharType="separate"/>
      </w:r>
      <w:r>
        <w:t>Right-click and ‘Update Field’ to build the table of contents.</w:t>
      </w:r>
      <w:r>
        <w:fldChar w:fldCharType="end"/>
      </w:r>
    </w:p>
    <w:p>
      <w:r>
        <w:br w:type="page"/>
      </w:r>
    </w:p>
    <w:p>
      <w:pPr>
        <w:pStyle w:val="Heading1"/>
      </w:pPr>
      <w:r>
        <w:rPr>
          <w:color w:val="E65100"/>
        </w:rPr>
        <w:t>1. Introduction</w:t>
      </w:r>
    </w:p>
    <w:p>
      <w:pPr>
        <w:pStyle w:val="Heading2"/>
      </w:pPr>
      <w:r>
        <w:rPr>
          <w:color w:val="1F2430"/>
        </w:rPr>
        <w:t>1.1  Purpose of this document</w:t>
      </w:r>
    </w:p>
    <w:p>
      <w:r>
        <w:rPr>
          <w:b w:val="0"/>
        </w:rPr>
        <w:t xml:space="preserve">This document presents a structured statistical analysis of the </w:t>
      </w:r>
      <w:r>
        <w:rPr>
          <w:b/>
        </w:rPr>
        <w:t>Student Performance Prediction</w:t>
      </w:r>
      <w:r>
        <w:rPr>
          <w:b w:val="0"/>
        </w:rPr>
        <w:t xml:space="preserve"> dataset. It is written to be read top-to-bottom: each section poses a concrete question, states the method used to answer it, presents the evidence (a chart or table), and closes with an interpretation. The goal is a defensible, reproducible understanding of what drives student outcomes.</w:t>
      </w:r>
    </w:p>
    <w:p>
      <w:pPr>
        <w:pStyle w:val="Heading2"/>
      </w:pPr>
      <w:r>
        <w:rPr>
          <w:color w:val="1F2430"/>
        </w:rPr>
        <w:t>1.2  Problem statement</w:t>
      </w:r>
    </w:p>
    <w:p>
      <w:pPr>
        <w:shd w:val="clear" w:fill="FFF6EE"/>
        <w:spacing w:after="0"/>
      </w:pPr>
      <w:r>
        <w:rPr>
          <w:b/>
          <w:color w:val="E65100"/>
          <w:sz w:val="17"/>
        </w:rPr>
        <w:t>PROBLEM STATEMENT</w:t>
      </w:r>
    </w:p>
    <w:p>
      <w:pPr>
        <w:shd w:val="clear" w:fill="FFF6EE"/>
      </w:pPr>
      <w:r>
        <w:rPr>
          <w:b w:val="0"/>
        </w:rPr>
        <w:t>Educational institutions need to understand which study-related factors are associated with student exam performance, whether outcomes differ across student groups, and whether performance can be predicted from measurable behaviours. This study interrogates the Student Performance Prediction dataset (10,000 students, 8 variables) to answer those questions.</w:t>
      </w:r>
    </w:p>
    <w:p>
      <w:pPr>
        <w:pStyle w:val="Heading2"/>
      </w:pPr>
      <w:r>
        <w:rPr>
          <w:color w:val="1F2430"/>
        </w:rPr>
        <w:t>1.3  Objectives</w:t>
      </w:r>
    </w:p>
    <w:p>
      <w:pPr>
        <w:pStyle w:val="ListBullet"/>
      </w:pPr>
      <w:r>
        <w:rPr>
          <w:b w:val="0"/>
        </w:rPr>
        <w:t>Describe the central tendency, spread and shape of the key variables.</w:t>
      </w:r>
    </w:p>
    <w:p>
      <w:pPr>
        <w:pStyle w:val="ListBullet"/>
      </w:pPr>
      <w:r>
        <w:rPr>
          <w:b w:val="0"/>
        </w:rPr>
        <w:t>Test whether exam performance differs significantly across categorical groups.</w:t>
      </w:r>
    </w:p>
    <w:p>
      <w:pPr>
        <w:pStyle w:val="ListBullet"/>
      </w:pPr>
      <w:r>
        <w:rPr>
          <w:b w:val="0"/>
        </w:rPr>
        <w:t>Measure which factors are most strongly correlated with performance.</w:t>
      </w:r>
    </w:p>
    <w:p>
      <w:pPr>
        <w:pStyle w:val="ListBullet"/>
      </w:pPr>
      <w:r>
        <w:rPr>
          <w:b w:val="0"/>
        </w:rPr>
        <w:t>Build and evaluate a predictive linear-regression model.</w:t>
      </w:r>
    </w:p>
    <w:p>
      <w:pPr>
        <w:pStyle w:val="ListBullet"/>
      </w:pPr>
      <w:r>
        <w:rPr>
          <w:b w:val="0"/>
        </w:rPr>
        <w:t>Synthesise the findings into an overall understanding of the dataset.</w:t>
      </w:r>
    </w:p>
    <w:p>
      <w:pPr>
        <w:pStyle w:val="Heading2"/>
      </w:pPr>
      <w:r>
        <w:rPr>
          <w:color w:val="1F2430"/>
        </w:rPr>
        <w:t>1.4  Methodology &amp; tools</w:t>
      </w:r>
    </w:p>
    <w:p>
      <w:r>
        <w:rPr>
          <w:b w:val="0"/>
        </w:rPr>
        <w:t>Analyses were produced with the Smart Analysis Reporter toolkit (Python, pandas, SciPy, statsmodels). Descriptive statistics, frequency analysis, correlation, independent-samples t-tests and ordinary-least-squares regression were applied, each with a significance level of α = 0.05.</w:t>
      </w:r>
    </w:p>
    <w:p>
      <w:r>
        <w:br w:type="page"/>
      </w:r>
    </w:p>
    <w:p>
      <w:pPr>
        <w:pStyle w:val="Heading1"/>
      </w:pPr>
      <w:r>
        <w:rPr>
          <w:color w:val="E65100"/>
        </w:rPr>
        <w:t>2. Descriptive Analysis</w:t>
      </w:r>
    </w:p>
    <w:p>
      <w:pPr>
        <w:shd w:val="clear" w:fill="FFF6EE"/>
        <w:spacing w:after="0"/>
      </w:pPr>
      <w:r>
        <w:rPr>
          <w:b/>
          <w:color w:val="E65100"/>
          <w:sz w:val="17"/>
        </w:rPr>
        <w:t>PROBLEM STATEMENT</w:t>
      </w:r>
    </w:p>
    <w:p>
      <w:pPr>
        <w:shd w:val="clear" w:fill="FFF6EE"/>
      </w:pPr>
      <w:r>
        <w:rPr>
          <w:b w:val="0"/>
        </w:rPr>
        <w:t>What are the typical values, variability and distribution shape of the study habits and performance measures in the dataset?</w:t>
      </w:r>
    </w:p>
    <w:p>
      <w:pPr>
        <w:pStyle w:val="Heading2"/>
      </w:pPr>
      <w:r>
        <w:rPr>
          <w:color w:val="1F2430"/>
        </w:rPr>
        <w:t>2.1  Method</w:t>
      </w:r>
    </w:p>
    <w:p>
      <w:r>
        <w:rPr>
          <w:b w:val="0"/>
        </w:rPr>
        <w:t>Summary statistics (mean, median, mode, variance, standard deviation, quartiles, skewness and kurtosis) were computed for every metric variable.</w:t>
      </w:r>
    </w:p>
    <w:p>
      <w:pPr>
        <w:pStyle w:val="Heading2"/>
      </w:pPr>
      <w:r>
        <w:rPr>
          <w:color w:val="1F2430"/>
        </w:rPr>
        <w:t>2.2  Results</w:t>
      </w:r>
    </w:p>
    <w:tbl>
      <w:tblPr>
        <w:tblStyle w:val="LightGrid-Accent6"/>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sz w:val="18"/>
              </w:rPr>
            </w:r>
          </w:p>
        </w:tc>
        <w:tc>
          <w:tcPr>
            <w:tcW w:type="dxa" w:w="1218"/>
          </w:tcPr>
          <w:p>
            <w:r>
              <w:rPr>
                <w:b/>
                <w:sz w:val="18"/>
              </w:rPr>
              <w:t>study_hours</w:t>
            </w:r>
          </w:p>
        </w:tc>
        <w:tc>
          <w:tcPr>
            <w:tcW w:type="dxa" w:w="1218"/>
          </w:tcPr>
          <w:p>
            <w:r>
              <w:rPr>
                <w:b/>
                <w:sz w:val="18"/>
              </w:rPr>
              <w:t>attendance</w:t>
            </w:r>
          </w:p>
        </w:tc>
        <w:tc>
          <w:tcPr>
            <w:tcW w:type="dxa" w:w="1218"/>
          </w:tcPr>
          <w:p>
            <w:r>
              <w:rPr>
                <w:b/>
                <w:sz w:val="18"/>
              </w:rPr>
              <w:t>sleep_hours</w:t>
            </w:r>
          </w:p>
        </w:tc>
        <w:tc>
          <w:tcPr>
            <w:tcW w:type="dxa" w:w="1218"/>
          </w:tcPr>
          <w:p>
            <w:r>
              <w:rPr>
                <w:b/>
                <w:sz w:val="18"/>
              </w:rPr>
              <w:t>internet_usage</w:t>
            </w:r>
          </w:p>
        </w:tc>
        <w:tc>
          <w:tcPr>
            <w:tcW w:type="dxa" w:w="1218"/>
          </w:tcPr>
          <w:p>
            <w:r>
              <w:rPr>
                <w:b/>
                <w:sz w:val="18"/>
              </w:rPr>
              <w:t>assignments_completed</w:t>
            </w:r>
          </w:p>
        </w:tc>
        <w:tc>
          <w:tcPr>
            <w:tcW w:type="dxa" w:w="1218"/>
          </w:tcPr>
          <w:p>
            <w:r>
              <w:rPr>
                <w:b/>
                <w:sz w:val="18"/>
              </w:rPr>
              <w:t>previous_score</w:t>
            </w:r>
          </w:p>
        </w:tc>
        <w:tc>
          <w:tcPr>
            <w:tcW w:type="dxa" w:w="1218"/>
          </w:tcPr>
          <w:p>
            <w:r>
              <w:rPr>
                <w:b/>
                <w:sz w:val="18"/>
              </w:rPr>
              <w:t>exam_score</w:t>
            </w:r>
          </w:p>
        </w:tc>
      </w:tr>
      <w:tr>
        <w:tc>
          <w:tcPr>
            <w:tcW w:type="dxa" w:w="1218"/>
          </w:tcPr>
          <w:p>
            <w:r>
              <w:rPr>
                <w:sz w:val="17"/>
              </w:rPr>
              <w:t>N</w:t>
            </w:r>
          </w:p>
        </w:tc>
        <w:tc>
          <w:tcPr>
            <w:tcW w:type="dxa" w:w="1218"/>
          </w:tcPr>
          <w:p>
            <w:r>
              <w:rPr>
                <w:sz w:val="17"/>
              </w:rPr>
              <w:t>10000</w:t>
            </w:r>
          </w:p>
        </w:tc>
        <w:tc>
          <w:tcPr>
            <w:tcW w:type="dxa" w:w="1218"/>
          </w:tcPr>
          <w:p>
            <w:r>
              <w:rPr>
                <w:sz w:val="17"/>
              </w:rPr>
              <w:t>10000</w:t>
            </w:r>
          </w:p>
        </w:tc>
        <w:tc>
          <w:tcPr>
            <w:tcW w:type="dxa" w:w="1218"/>
          </w:tcPr>
          <w:p>
            <w:r>
              <w:rPr>
                <w:sz w:val="17"/>
              </w:rPr>
              <w:t>10000</w:t>
            </w:r>
          </w:p>
        </w:tc>
        <w:tc>
          <w:tcPr>
            <w:tcW w:type="dxa" w:w="1218"/>
          </w:tcPr>
          <w:p>
            <w:r>
              <w:rPr>
                <w:sz w:val="17"/>
              </w:rPr>
              <w:t>10000</w:t>
            </w:r>
          </w:p>
        </w:tc>
        <w:tc>
          <w:tcPr>
            <w:tcW w:type="dxa" w:w="1218"/>
          </w:tcPr>
          <w:p>
            <w:r>
              <w:rPr>
                <w:sz w:val="17"/>
              </w:rPr>
              <w:t>10000</w:t>
            </w:r>
          </w:p>
        </w:tc>
        <w:tc>
          <w:tcPr>
            <w:tcW w:type="dxa" w:w="1218"/>
          </w:tcPr>
          <w:p>
            <w:r>
              <w:rPr>
                <w:sz w:val="17"/>
              </w:rPr>
              <w:t>10000</w:t>
            </w:r>
          </w:p>
        </w:tc>
        <w:tc>
          <w:tcPr>
            <w:tcW w:type="dxa" w:w="1218"/>
          </w:tcPr>
          <w:p>
            <w:r>
              <w:rPr>
                <w:sz w:val="17"/>
              </w:rPr>
              <w:t>10000</w:t>
            </w:r>
          </w:p>
        </w:tc>
      </w:tr>
      <w:tr>
        <w:tc>
          <w:tcPr>
            <w:tcW w:type="dxa" w:w="1218"/>
          </w:tcPr>
          <w:p>
            <w:r>
              <w:rPr>
                <w:sz w:val="17"/>
              </w:rPr>
              <w:t>Mean</w:t>
            </w:r>
          </w:p>
        </w:tc>
        <w:tc>
          <w:tcPr>
            <w:tcW w:type="dxa" w:w="1218"/>
          </w:tcPr>
          <w:p>
            <w:r>
              <w:rPr>
                <w:sz w:val="17"/>
              </w:rPr>
              <w:t>5.9896</w:t>
            </w:r>
          </w:p>
        </w:tc>
        <w:tc>
          <w:tcPr>
            <w:tcW w:type="dxa" w:w="1218"/>
          </w:tcPr>
          <w:p>
            <w:r>
              <w:rPr>
                <w:sz w:val="17"/>
              </w:rPr>
              <w:t>69.8846</w:t>
            </w:r>
          </w:p>
        </w:tc>
        <w:tc>
          <w:tcPr>
            <w:tcW w:type="dxa" w:w="1218"/>
          </w:tcPr>
          <w:p>
            <w:r>
              <w:rPr>
                <w:sz w:val="17"/>
              </w:rPr>
              <w:t>6.4985</w:t>
            </w:r>
          </w:p>
        </w:tc>
        <w:tc>
          <w:tcPr>
            <w:tcW w:type="dxa" w:w="1218"/>
          </w:tcPr>
          <w:p>
            <w:r>
              <w:rPr>
                <w:sz w:val="17"/>
              </w:rPr>
              <w:t>6.0626</w:t>
            </w:r>
          </w:p>
        </w:tc>
        <w:tc>
          <w:tcPr>
            <w:tcW w:type="dxa" w:w="1218"/>
          </w:tcPr>
          <w:p>
            <w:r>
              <w:rPr>
                <w:sz w:val="17"/>
              </w:rPr>
              <w:t>9.9884</w:t>
            </w:r>
          </w:p>
        </w:tc>
        <w:tc>
          <w:tcPr>
            <w:tcW w:type="dxa" w:w="1218"/>
          </w:tcPr>
          <w:p>
            <w:r>
              <w:rPr>
                <w:sz w:val="17"/>
              </w:rPr>
              <w:t>64.911</w:t>
            </w:r>
          </w:p>
        </w:tc>
        <w:tc>
          <w:tcPr>
            <w:tcW w:type="dxa" w:w="1218"/>
          </w:tcPr>
          <w:p>
            <w:r>
              <w:rPr>
                <w:sz w:val="17"/>
              </w:rPr>
              <w:t>86.7042</w:t>
            </w:r>
          </w:p>
        </w:tc>
      </w:tr>
      <w:tr>
        <w:tc>
          <w:tcPr>
            <w:tcW w:type="dxa" w:w="1218"/>
          </w:tcPr>
          <w:p>
            <w:r>
              <w:rPr>
                <w:sz w:val="17"/>
              </w:rPr>
              <w:t>Median</w:t>
            </w:r>
          </w:p>
        </w:tc>
        <w:tc>
          <w:tcPr>
            <w:tcW w:type="dxa" w:w="1218"/>
          </w:tcPr>
          <w:p>
            <w:r>
              <w:rPr>
                <w:sz w:val="17"/>
              </w:rPr>
              <w:t>6.0</w:t>
            </w:r>
          </w:p>
        </w:tc>
        <w:tc>
          <w:tcPr>
            <w:tcW w:type="dxa" w:w="1218"/>
          </w:tcPr>
          <w:p>
            <w:r>
              <w:rPr>
                <w:sz w:val="17"/>
              </w:rPr>
              <w:t>70.0</w:t>
            </w:r>
          </w:p>
        </w:tc>
        <w:tc>
          <w:tcPr>
            <w:tcW w:type="dxa" w:w="1218"/>
          </w:tcPr>
          <w:p>
            <w:r>
              <w:rPr>
                <w:sz w:val="17"/>
              </w:rPr>
              <w:t>6.5</w:t>
            </w:r>
          </w:p>
        </w:tc>
        <w:tc>
          <w:tcPr>
            <w:tcW w:type="dxa" w:w="1218"/>
          </w:tcPr>
          <w:p>
            <w:r>
              <w:rPr>
                <w:sz w:val="17"/>
              </w:rPr>
              <w:t>6.0</w:t>
            </w:r>
          </w:p>
        </w:tc>
        <w:tc>
          <w:tcPr>
            <w:tcW w:type="dxa" w:w="1218"/>
          </w:tcPr>
          <w:p>
            <w:r>
              <w:rPr>
                <w:sz w:val="17"/>
              </w:rPr>
              <w:t>10.0</w:t>
            </w:r>
          </w:p>
        </w:tc>
        <w:tc>
          <w:tcPr>
            <w:tcW w:type="dxa" w:w="1218"/>
          </w:tcPr>
          <w:p>
            <w:r>
              <w:rPr>
                <w:sz w:val="17"/>
              </w:rPr>
              <w:t>65.0</w:t>
            </w:r>
          </w:p>
        </w:tc>
        <w:tc>
          <w:tcPr>
            <w:tcW w:type="dxa" w:w="1218"/>
          </w:tcPr>
          <w:p>
            <w:r>
              <w:rPr>
                <w:sz w:val="17"/>
              </w:rPr>
              <w:t>92.12</w:t>
            </w:r>
          </w:p>
        </w:tc>
      </w:tr>
      <w:tr>
        <w:tc>
          <w:tcPr>
            <w:tcW w:type="dxa" w:w="1218"/>
          </w:tcPr>
          <w:p>
            <w:r>
              <w:rPr>
                <w:sz w:val="17"/>
              </w:rPr>
              <w:t>Mode</w:t>
            </w:r>
          </w:p>
        </w:tc>
        <w:tc>
          <w:tcPr>
            <w:tcW w:type="dxa" w:w="1218"/>
          </w:tcPr>
          <w:p>
            <w:r>
              <w:rPr>
                <w:sz w:val="17"/>
              </w:rPr>
              <w:t>10</w:t>
            </w:r>
          </w:p>
        </w:tc>
        <w:tc>
          <w:tcPr>
            <w:tcW w:type="dxa" w:w="1218"/>
          </w:tcPr>
          <w:p>
            <w:r>
              <w:rPr>
                <w:sz w:val="17"/>
              </w:rPr>
              <w:t>56</w:t>
            </w:r>
          </w:p>
        </w:tc>
        <w:tc>
          <w:tcPr>
            <w:tcW w:type="dxa" w:w="1218"/>
          </w:tcPr>
          <w:p>
            <w:r>
              <w:rPr>
                <w:sz w:val="17"/>
              </w:rPr>
              <w:t>5</w:t>
            </w:r>
          </w:p>
        </w:tc>
        <w:tc>
          <w:tcPr>
            <w:tcW w:type="dxa" w:w="1218"/>
          </w:tcPr>
          <w:p>
            <w:r>
              <w:rPr>
                <w:sz w:val="17"/>
              </w:rPr>
              <w:t>5</w:t>
            </w:r>
          </w:p>
        </w:tc>
        <w:tc>
          <w:tcPr>
            <w:tcW w:type="dxa" w:w="1218"/>
          </w:tcPr>
          <w:p>
            <w:r>
              <w:rPr>
                <w:sz w:val="17"/>
              </w:rPr>
              <w:t>5</w:t>
            </w:r>
          </w:p>
        </w:tc>
        <w:tc>
          <w:tcPr>
            <w:tcW w:type="dxa" w:w="1218"/>
          </w:tcPr>
          <w:p>
            <w:r>
              <w:rPr>
                <w:sz w:val="17"/>
              </w:rPr>
              <w:t>57</w:t>
            </w:r>
          </w:p>
        </w:tc>
        <w:tc>
          <w:tcPr>
            <w:tcW w:type="dxa" w:w="1218"/>
          </w:tcPr>
          <w:p>
            <w:r>
              <w:rPr>
                <w:sz w:val="17"/>
              </w:rPr>
              <w:t>100.0</w:t>
            </w:r>
          </w:p>
        </w:tc>
      </w:tr>
      <w:tr>
        <w:tc>
          <w:tcPr>
            <w:tcW w:type="dxa" w:w="1218"/>
          </w:tcPr>
          <w:p>
            <w:r>
              <w:rPr>
                <w:sz w:val="17"/>
              </w:rPr>
              <w:t>Variance</w:t>
            </w:r>
          </w:p>
        </w:tc>
        <w:tc>
          <w:tcPr>
            <w:tcW w:type="dxa" w:w="1218"/>
          </w:tcPr>
          <w:p>
            <w:r>
              <w:rPr>
                <w:sz w:val="17"/>
              </w:rPr>
              <w:t>10.0083</w:t>
            </w:r>
          </w:p>
        </w:tc>
        <w:tc>
          <w:tcPr>
            <w:tcW w:type="dxa" w:w="1218"/>
          </w:tcPr>
          <w:p>
            <w:r>
              <w:rPr>
                <w:sz w:val="17"/>
              </w:rPr>
              <w:t>310.3421</w:t>
            </w:r>
          </w:p>
        </w:tc>
        <w:tc>
          <w:tcPr>
            <w:tcW w:type="dxa" w:w="1218"/>
          </w:tcPr>
          <w:p>
            <w:r>
              <w:rPr>
                <w:sz w:val="17"/>
              </w:rPr>
              <w:t>2.9219</w:t>
            </w:r>
          </w:p>
        </w:tc>
        <w:tc>
          <w:tcPr>
            <w:tcW w:type="dxa" w:w="1218"/>
          </w:tcPr>
          <w:p>
            <w:r>
              <w:rPr>
                <w:sz w:val="17"/>
              </w:rPr>
              <w:t>9.8481</w:t>
            </w:r>
          </w:p>
        </w:tc>
        <w:tc>
          <w:tcPr>
            <w:tcW w:type="dxa" w:w="1218"/>
          </w:tcPr>
          <w:p>
            <w:r>
              <w:rPr>
                <w:sz w:val="17"/>
              </w:rPr>
              <w:t>36.4109</w:t>
            </w:r>
          </w:p>
        </w:tc>
        <w:tc>
          <w:tcPr>
            <w:tcW w:type="dxa" w:w="1218"/>
          </w:tcPr>
          <w:p>
            <w:r>
              <w:rPr>
                <w:sz w:val="17"/>
              </w:rPr>
              <w:t>306.3557</w:t>
            </w:r>
          </w:p>
        </w:tc>
        <w:tc>
          <w:tcPr>
            <w:tcW w:type="dxa" w:w="1218"/>
          </w:tcPr>
          <w:p>
            <w:r>
              <w:rPr>
                <w:sz w:val="17"/>
              </w:rPr>
              <w:t>226.7549</w:t>
            </w:r>
          </w:p>
        </w:tc>
      </w:tr>
      <w:tr>
        <w:tc>
          <w:tcPr>
            <w:tcW w:type="dxa" w:w="1218"/>
          </w:tcPr>
          <w:p>
            <w:r>
              <w:rPr>
                <w:sz w:val="17"/>
              </w:rPr>
              <w:t>Std</w:t>
            </w:r>
          </w:p>
        </w:tc>
        <w:tc>
          <w:tcPr>
            <w:tcW w:type="dxa" w:w="1218"/>
          </w:tcPr>
          <w:p>
            <w:r>
              <w:rPr>
                <w:sz w:val="17"/>
              </w:rPr>
              <w:t>3.1636</w:t>
            </w:r>
          </w:p>
        </w:tc>
        <w:tc>
          <w:tcPr>
            <w:tcW w:type="dxa" w:w="1218"/>
          </w:tcPr>
          <w:p>
            <w:r>
              <w:rPr>
                <w:sz w:val="17"/>
              </w:rPr>
              <w:t>17.6165</w:t>
            </w:r>
          </w:p>
        </w:tc>
        <w:tc>
          <w:tcPr>
            <w:tcW w:type="dxa" w:w="1218"/>
          </w:tcPr>
          <w:p>
            <w:r>
              <w:rPr>
                <w:sz w:val="17"/>
              </w:rPr>
              <w:t>1.7094</w:t>
            </w:r>
          </w:p>
        </w:tc>
        <w:tc>
          <w:tcPr>
            <w:tcW w:type="dxa" w:w="1218"/>
          </w:tcPr>
          <w:p>
            <w:r>
              <w:rPr>
                <w:sz w:val="17"/>
              </w:rPr>
              <w:t>3.1382</w:t>
            </w:r>
          </w:p>
        </w:tc>
        <w:tc>
          <w:tcPr>
            <w:tcW w:type="dxa" w:w="1218"/>
          </w:tcPr>
          <w:p>
            <w:r>
              <w:rPr>
                <w:sz w:val="17"/>
              </w:rPr>
              <w:t>6.0341</w:t>
            </w:r>
          </w:p>
        </w:tc>
        <w:tc>
          <w:tcPr>
            <w:tcW w:type="dxa" w:w="1218"/>
          </w:tcPr>
          <w:p>
            <w:r>
              <w:rPr>
                <w:sz w:val="17"/>
              </w:rPr>
              <w:t>17.503</w:t>
            </w:r>
          </w:p>
        </w:tc>
        <w:tc>
          <w:tcPr>
            <w:tcW w:type="dxa" w:w="1218"/>
          </w:tcPr>
          <w:p>
            <w:r>
              <w:rPr>
                <w:sz w:val="17"/>
              </w:rPr>
              <w:t>15.0584</w:t>
            </w:r>
          </w:p>
        </w:tc>
      </w:tr>
      <w:tr>
        <w:tc>
          <w:tcPr>
            <w:tcW w:type="dxa" w:w="1218"/>
          </w:tcPr>
          <w:p>
            <w:r>
              <w:rPr>
                <w:sz w:val="17"/>
              </w:rPr>
              <w:t>Min</w:t>
            </w:r>
          </w:p>
        </w:tc>
        <w:tc>
          <w:tcPr>
            <w:tcW w:type="dxa" w:w="1218"/>
          </w:tcPr>
          <w:p>
            <w:r>
              <w:rPr>
                <w:sz w:val="17"/>
              </w:rPr>
              <w:t>1</w:t>
            </w:r>
          </w:p>
        </w:tc>
        <w:tc>
          <w:tcPr>
            <w:tcW w:type="dxa" w:w="1218"/>
          </w:tcPr>
          <w:p>
            <w:r>
              <w:rPr>
                <w:sz w:val="17"/>
              </w:rPr>
              <w:t>40</w:t>
            </w:r>
          </w:p>
        </w:tc>
        <w:tc>
          <w:tcPr>
            <w:tcW w:type="dxa" w:w="1218"/>
          </w:tcPr>
          <w:p>
            <w:r>
              <w:rPr>
                <w:sz w:val="17"/>
              </w:rPr>
              <w:t>4</w:t>
            </w:r>
          </w:p>
        </w:tc>
        <w:tc>
          <w:tcPr>
            <w:tcW w:type="dxa" w:w="1218"/>
          </w:tcPr>
          <w:p>
            <w:r>
              <w:rPr>
                <w:sz w:val="17"/>
              </w:rPr>
              <w:t>1</w:t>
            </w:r>
          </w:p>
        </w:tc>
        <w:tc>
          <w:tcPr>
            <w:tcW w:type="dxa" w:w="1218"/>
          </w:tcPr>
          <w:p>
            <w:r>
              <w:rPr>
                <w:sz w:val="17"/>
              </w:rPr>
              <w:t>0</w:t>
            </w:r>
          </w:p>
        </w:tc>
        <w:tc>
          <w:tcPr>
            <w:tcW w:type="dxa" w:w="1218"/>
          </w:tcPr>
          <w:p>
            <w:r>
              <w:rPr>
                <w:sz w:val="17"/>
              </w:rPr>
              <w:t>35</w:t>
            </w:r>
          </w:p>
        </w:tc>
        <w:tc>
          <w:tcPr>
            <w:tcW w:type="dxa" w:w="1218"/>
          </w:tcPr>
          <w:p>
            <w:r>
              <w:rPr>
                <w:sz w:val="17"/>
              </w:rPr>
              <w:t>26.67</w:t>
            </w:r>
          </w:p>
        </w:tc>
      </w:tr>
      <w:tr>
        <w:tc>
          <w:tcPr>
            <w:tcW w:type="dxa" w:w="1218"/>
          </w:tcPr>
          <w:p>
            <w:r>
              <w:rPr>
                <w:sz w:val="17"/>
              </w:rPr>
              <w:t>Max</w:t>
            </w:r>
          </w:p>
        </w:tc>
        <w:tc>
          <w:tcPr>
            <w:tcW w:type="dxa" w:w="1218"/>
          </w:tcPr>
          <w:p>
            <w:r>
              <w:rPr>
                <w:sz w:val="17"/>
              </w:rPr>
              <w:t>11</w:t>
            </w:r>
          </w:p>
        </w:tc>
        <w:tc>
          <w:tcPr>
            <w:tcW w:type="dxa" w:w="1218"/>
          </w:tcPr>
          <w:p>
            <w:r>
              <w:rPr>
                <w:sz w:val="17"/>
              </w:rPr>
              <w:t>100</w:t>
            </w:r>
          </w:p>
        </w:tc>
        <w:tc>
          <w:tcPr>
            <w:tcW w:type="dxa" w:w="1218"/>
          </w:tcPr>
          <w:p>
            <w:r>
              <w:rPr>
                <w:sz w:val="17"/>
              </w:rPr>
              <w:t>9</w:t>
            </w:r>
          </w:p>
        </w:tc>
        <w:tc>
          <w:tcPr>
            <w:tcW w:type="dxa" w:w="1218"/>
          </w:tcPr>
          <w:p>
            <w:r>
              <w:rPr>
                <w:sz w:val="17"/>
              </w:rPr>
              <w:t>11</w:t>
            </w:r>
          </w:p>
        </w:tc>
        <w:tc>
          <w:tcPr>
            <w:tcW w:type="dxa" w:w="1218"/>
          </w:tcPr>
          <w:p>
            <w:r>
              <w:rPr>
                <w:sz w:val="17"/>
              </w:rPr>
              <w:t>20</w:t>
            </w:r>
          </w:p>
        </w:tc>
        <w:tc>
          <w:tcPr>
            <w:tcW w:type="dxa" w:w="1218"/>
          </w:tcPr>
          <w:p>
            <w:r>
              <w:rPr>
                <w:sz w:val="17"/>
              </w:rPr>
              <w:t>95</w:t>
            </w:r>
          </w:p>
        </w:tc>
        <w:tc>
          <w:tcPr>
            <w:tcW w:type="dxa" w:w="1218"/>
          </w:tcPr>
          <w:p>
            <w:r>
              <w:rPr>
                <w:sz w:val="17"/>
              </w:rPr>
              <w:t>100.0</w:t>
            </w:r>
          </w:p>
        </w:tc>
      </w:tr>
      <w:tr>
        <w:tc>
          <w:tcPr>
            <w:tcW w:type="dxa" w:w="1218"/>
          </w:tcPr>
          <w:p>
            <w:r>
              <w:rPr>
                <w:sz w:val="17"/>
              </w:rPr>
              <w:t>Range</w:t>
            </w:r>
          </w:p>
        </w:tc>
        <w:tc>
          <w:tcPr>
            <w:tcW w:type="dxa" w:w="1218"/>
          </w:tcPr>
          <w:p>
            <w:r>
              <w:rPr>
                <w:sz w:val="17"/>
              </w:rPr>
              <w:t>10</w:t>
            </w:r>
          </w:p>
        </w:tc>
        <w:tc>
          <w:tcPr>
            <w:tcW w:type="dxa" w:w="1218"/>
          </w:tcPr>
          <w:p>
            <w:r>
              <w:rPr>
                <w:sz w:val="17"/>
              </w:rPr>
              <w:t>60</w:t>
            </w:r>
          </w:p>
        </w:tc>
        <w:tc>
          <w:tcPr>
            <w:tcW w:type="dxa" w:w="1218"/>
          </w:tcPr>
          <w:p>
            <w:r>
              <w:rPr>
                <w:sz w:val="17"/>
              </w:rPr>
              <w:t>5</w:t>
            </w:r>
          </w:p>
        </w:tc>
        <w:tc>
          <w:tcPr>
            <w:tcW w:type="dxa" w:w="1218"/>
          </w:tcPr>
          <w:p>
            <w:r>
              <w:rPr>
                <w:sz w:val="17"/>
              </w:rPr>
              <w:t>10</w:t>
            </w:r>
          </w:p>
        </w:tc>
        <w:tc>
          <w:tcPr>
            <w:tcW w:type="dxa" w:w="1218"/>
          </w:tcPr>
          <w:p>
            <w:r>
              <w:rPr>
                <w:sz w:val="17"/>
              </w:rPr>
              <w:t>20</w:t>
            </w:r>
          </w:p>
        </w:tc>
        <w:tc>
          <w:tcPr>
            <w:tcW w:type="dxa" w:w="1218"/>
          </w:tcPr>
          <w:p>
            <w:r>
              <w:rPr>
                <w:sz w:val="17"/>
              </w:rPr>
              <w:t>60</w:t>
            </w:r>
          </w:p>
        </w:tc>
        <w:tc>
          <w:tcPr>
            <w:tcW w:type="dxa" w:w="1218"/>
          </w:tcPr>
          <w:p>
            <w:r>
              <w:rPr>
                <w:sz w:val="17"/>
              </w:rPr>
              <w:t>73.33</w:t>
            </w:r>
          </w:p>
        </w:tc>
      </w:tr>
      <w:tr>
        <w:tc>
          <w:tcPr>
            <w:tcW w:type="dxa" w:w="1218"/>
          </w:tcPr>
          <w:p>
            <w:r>
              <w:rPr>
                <w:sz w:val="17"/>
              </w:rPr>
              <w:t>Q1</w:t>
            </w:r>
          </w:p>
        </w:tc>
        <w:tc>
          <w:tcPr>
            <w:tcW w:type="dxa" w:w="1218"/>
          </w:tcPr>
          <w:p>
            <w:r>
              <w:rPr>
                <w:sz w:val="17"/>
              </w:rPr>
              <w:t>3.0</w:t>
            </w:r>
          </w:p>
        </w:tc>
        <w:tc>
          <w:tcPr>
            <w:tcW w:type="dxa" w:w="1218"/>
          </w:tcPr>
          <w:p>
            <w:r>
              <w:rPr>
                <w:sz w:val="17"/>
              </w:rPr>
              <w:t>55.0</w:t>
            </w:r>
          </w:p>
        </w:tc>
        <w:tc>
          <w:tcPr>
            <w:tcW w:type="dxa" w:w="1218"/>
          </w:tcPr>
          <w:p>
            <w:r>
              <w:rPr>
                <w:sz w:val="17"/>
              </w:rPr>
              <w:t>5.0</w:t>
            </w:r>
          </w:p>
        </w:tc>
        <w:tc>
          <w:tcPr>
            <w:tcW w:type="dxa" w:w="1218"/>
          </w:tcPr>
          <w:p>
            <w:r>
              <w:rPr>
                <w:sz w:val="17"/>
              </w:rPr>
              <w:t>3.0</w:t>
            </w:r>
          </w:p>
        </w:tc>
        <w:tc>
          <w:tcPr>
            <w:tcW w:type="dxa" w:w="1218"/>
          </w:tcPr>
          <w:p>
            <w:r>
              <w:rPr>
                <w:sz w:val="17"/>
              </w:rPr>
              <w:t>5.0</w:t>
            </w:r>
          </w:p>
        </w:tc>
        <w:tc>
          <w:tcPr>
            <w:tcW w:type="dxa" w:w="1218"/>
          </w:tcPr>
          <w:p>
            <w:r>
              <w:rPr>
                <w:sz w:val="17"/>
              </w:rPr>
              <w:t>50.0</w:t>
            </w:r>
          </w:p>
        </w:tc>
        <w:tc>
          <w:tcPr>
            <w:tcW w:type="dxa" w:w="1218"/>
          </w:tcPr>
          <w:p>
            <w:r>
              <w:rPr>
                <w:sz w:val="17"/>
              </w:rPr>
              <w:t>76.7275</w:t>
            </w:r>
          </w:p>
        </w:tc>
      </w:tr>
      <w:tr>
        <w:tc>
          <w:tcPr>
            <w:tcW w:type="dxa" w:w="1218"/>
          </w:tcPr>
          <w:p>
            <w:r>
              <w:rPr>
                <w:sz w:val="17"/>
              </w:rPr>
              <w:t>Q3</w:t>
            </w:r>
          </w:p>
        </w:tc>
        <w:tc>
          <w:tcPr>
            <w:tcW w:type="dxa" w:w="1218"/>
          </w:tcPr>
          <w:p>
            <w:r>
              <w:rPr>
                <w:sz w:val="17"/>
              </w:rPr>
              <w:t>9.0</w:t>
            </w:r>
          </w:p>
        </w:tc>
        <w:tc>
          <w:tcPr>
            <w:tcW w:type="dxa" w:w="1218"/>
          </w:tcPr>
          <w:p>
            <w:r>
              <w:rPr>
                <w:sz w:val="17"/>
              </w:rPr>
              <w:t>85.0</w:t>
            </w:r>
          </w:p>
        </w:tc>
        <w:tc>
          <w:tcPr>
            <w:tcW w:type="dxa" w:w="1218"/>
          </w:tcPr>
          <w:p>
            <w:r>
              <w:rPr>
                <w:sz w:val="17"/>
              </w:rPr>
              <w:t>8.0</w:t>
            </w:r>
          </w:p>
        </w:tc>
        <w:tc>
          <w:tcPr>
            <w:tcW w:type="dxa" w:w="1218"/>
          </w:tcPr>
          <w:p>
            <w:r>
              <w:rPr>
                <w:sz w:val="17"/>
              </w:rPr>
              <w:t>9.0</w:t>
            </w:r>
          </w:p>
        </w:tc>
        <w:tc>
          <w:tcPr>
            <w:tcW w:type="dxa" w:w="1218"/>
          </w:tcPr>
          <w:p>
            <w:r>
              <w:rPr>
                <w:sz w:val="17"/>
              </w:rPr>
              <w:t>15.0</w:t>
            </w:r>
          </w:p>
        </w:tc>
        <w:tc>
          <w:tcPr>
            <w:tcW w:type="dxa" w:w="1218"/>
          </w:tcPr>
          <w:p>
            <w:r>
              <w:rPr>
                <w:sz w:val="17"/>
              </w:rPr>
              <w:t>80.0</w:t>
            </w:r>
          </w:p>
        </w:tc>
        <w:tc>
          <w:tcPr>
            <w:tcW w:type="dxa" w:w="1218"/>
          </w:tcPr>
          <w:p>
            <w:r>
              <w:rPr>
                <w:sz w:val="17"/>
              </w:rPr>
              <w:t>100.0</w:t>
            </w:r>
          </w:p>
        </w:tc>
      </w:tr>
      <w:tr>
        <w:tc>
          <w:tcPr>
            <w:tcW w:type="dxa" w:w="1218"/>
          </w:tcPr>
          <w:p>
            <w:r>
              <w:rPr>
                <w:sz w:val="17"/>
              </w:rPr>
              <w:t>IQR</w:t>
            </w:r>
          </w:p>
        </w:tc>
        <w:tc>
          <w:tcPr>
            <w:tcW w:type="dxa" w:w="1218"/>
          </w:tcPr>
          <w:p>
            <w:r>
              <w:rPr>
                <w:sz w:val="17"/>
              </w:rPr>
              <w:t>6.0</w:t>
            </w:r>
          </w:p>
        </w:tc>
        <w:tc>
          <w:tcPr>
            <w:tcW w:type="dxa" w:w="1218"/>
          </w:tcPr>
          <w:p>
            <w:r>
              <w:rPr>
                <w:sz w:val="17"/>
              </w:rPr>
              <w:t>30.0</w:t>
            </w:r>
          </w:p>
        </w:tc>
        <w:tc>
          <w:tcPr>
            <w:tcW w:type="dxa" w:w="1218"/>
          </w:tcPr>
          <w:p>
            <w:r>
              <w:rPr>
                <w:sz w:val="17"/>
              </w:rPr>
              <w:t>3.0</w:t>
            </w:r>
          </w:p>
        </w:tc>
        <w:tc>
          <w:tcPr>
            <w:tcW w:type="dxa" w:w="1218"/>
          </w:tcPr>
          <w:p>
            <w:r>
              <w:rPr>
                <w:sz w:val="17"/>
              </w:rPr>
              <w:t>6.0</w:t>
            </w:r>
          </w:p>
        </w:tc>
        <w:tc>
          <w:tcPr>
            <w:tcW w:type="dxa" w:w="1218"/>
          </w:tcPr>
          <w:p>
            <w:r>
              <w:rPr>
                <w:sz w:val="17"/>
              </w:rPr>
              <w:t>10.0</w:t>
            </w:r>
          </w:p>
        </w:tc>
        <w:tc>
          <w:tcPr>
            <w:tcW w:type="dxa" w:w="1218"/>
          </w:tcPr>
          <w:p>
            <w:r>
              <w:rPr>
                <w:sz w:val="17"/>
              </w:rPr>
              <w:t>30.0</w:t>
            </w:r>
          </w:p>
        </w:tc>
        <w:tc>
          <w:tcPr>
            <w:tcW w:type="dxa" w:w="1218"/>
          </w:tcPr>
          <w:p>
            <w:r>
              <w:rPr>
                <w:sz w:val="17"/>
              </w:rPr>
              <w:t>23.2725</w:t>
            </w:r>
          </w:p>
        </w:tc>
      </w:tr>
      <w:tr>
        <w:tc>
          <w:tcPr>
            <w:tcW w:type="dxa" w:w="1218"/>
          </w:tcPr>
          <w:p>
            <w:r>
              <w:rPr>
                <w:sz w:val="17"/>
              </w:rPr>
              <w:t>Skewness</w:t>
            </w:r>
          </w:p>
        </w:tc>
        <w:tc>
          <w:tcPr>
            <w:tcW w:type="dxa" w:w="1218"/>
          </w:tcPr>
          <w:p>
            <w:r>
              <w:rPr>
                <w:sz w:val="17"/>
              </w:rPr>
              <w:t>-0.0072</w:t>
            </w:r>
          </w:p>
        </w:tc>
        <w:tc>
          <w:tcPr>
            <w:tcW w:type="dxa" w:w="1218"/>
          </w:tcPr>
          <w:p>
            <w:r>
              <w:rPr>
                <w:sz w:val="17"/>
              </w:rPr>
              <w:t>0.0178</w:t>
            </w:r>
          </w:p>
        </w:tc>
        <w:tc>
          <w:tcPr>
            <w:tcW w:type="dxa" w:w="1218"/>
          </w:tcPr>
          <w:p>
            <w:r>
              <w:rPr>
                <w:sz w:val="17"/>
              </w:rPr>
              <w:t>0.0051</w:t>
            </w:r>
          </w:p>
        </w:tc>
        <w:tc>
          <w:tcPr>
            <w:tcW w:type="dxa" w:w="1218"/>
          </w:tcPr>
          <w:p>
            <w:r>
              <w:rPr>
                <w:sz w:val="17"/>
              </w:rPr>
              <w:t>-0.0135</w:t>
            </w:r>
          </w:p>
        </w:tc>
        <w:tc>
          <w:tcPr>
            <w:tcW w:type="dxa" w:w="1218"/>
          </w:tcPr>
          <w:p>
            <w:r>
              <w:rPr>
                <w:sz w:val="17"/>
              </w:rPr>
              <w:t>0.0178</w:t>
            </w:r>
          </w:p>
        </w:tc>
        <w:tc>
          <w:tcPr>
            <w:tcW w:type="dxa" w:w="1218"/>
          </w:tcPr>
          <w:p>
            <w:r>
              <w:rPr>
                <w:sz w:val="17"/>
              </w:rPr>
              <w:t>0.0004</w:t>
            </w:r>
          </w:p>
        </w:tc>
        <w:tc>
          <w:tcPr>
            <w:tcW w:type="dxa" w:w="1218"/>
          </w:tcPr>
          <w:p>
            <w:r>
              <w:rPr>
                <w:sz w:val="17"/>
              </w:rPr>
              <w:t>-1.0086</w:t>
            </w:r>
          </w:p>
        </w:tc>
      </w:tr>
      <w:tr>
        <w:tc>
          <w:tcPr>
            <w:tcW w:type="dxa" w:w="1218"/>
          </w:tcPr>
          <w:p>
            <w:r>
              <w:rPr>
                <w:sz w:val="17"/>
              </w:rPr>
              <w:t>Kurtosis</w:t>
            </w:r>
          </w:p>
        </w:tc>
        <w:tc>
          <w:tcPr>
            <w:tcW w:type="dxa" w:w="1218"/>
          </w:tcPr>
          <w:p>
            <w:r>
              <w:rPr>
                <w:sz w:val="17"/>
              </w:rPr>
              <w:t>-1.2218</w:t>
            </w:r>
          </w:p>
        </w:tc>
        <w:tc>
          <w:tcPr>
            <w:tcW w:type="dxa" w:w="1218"/>
          </w:tcPr>
          <w:p>
            <w:r>
              <w:rPr>
                <w:sz w:val="17"/>
              </w:rPr>
              <w:t>-1.2075</w:t>
            </w:r>
          </w:p>
        </w:tc>
        <w:tc>
          <w:tcPr>
            <w:tcW w:type="dxa" w:w="1218"/>
          </w:tcPr>
          <w:p>
            <w:r>
              <w:rPr>
                <w:sz w:val="17"/>
              </w:rPr>
              <w:t>-1.2714</w:t>
            </w:r>
          </w:p>
        </w:tc>
        <w:tc>
          <w:tcPr>
            <w:tcW w:type="dxa" w:w="1218"/>
          </w:tcPr>
          <w:p>
            <w:r>
              <w:rPr>
                <w:sz w:val="17"/>
              </w:rPr>
              <w:t>-1.2008</w:t>
            </w:r>
          </w:p>
        </w:tc>
        <w:tc>
          <w:tcPr>
            <w:tcW w:type="dxa" w:w="1218"/>
          </w:tcPr>
          <w:p>
            <w:r>
              <w:rPr>
                <w:sz w:val="17"/>
              </w:rPr>
              <w:t>-1.1959</w:t>
            </w:r>
          </w:p>
        </w:tc>
        <w:tc>
          <w:tcPr>
            <w:tcW w:type="dxa" w:w="1218"/>
          </w:tcPr>
          <w:p>
            <w:r>
              <w:rPr>
                <w:sz w:val="17"/>
              </w:rPr>
              <w:t>-1.1856</w:t>
            </w:r>
          </w:p>
        </w:tc>
        <w:tc>
          <w:tcPr>
            <w:tcW w:type="dxa" w:w="1218"/>
          </w:tcPr>
          <w:p>
            <w:r>
              <w:rPr>
                <w:sz w:val="17"/>
              </w:rPr>
              <w:t>0.1475</w:t>
            </w:r>
          </w:p>
        </w:tc>
      </w:tr>
      <w:tr>
        <w:tc>
          <w:tcPr>
            <w:tcW w:type="dxa" w:w="1218"/>
          </w:tcPr>
          <w:p>
            <w:r>
              <w:rPr>
                <w:sz w:val="17"/>
              </w:rPr>
              <w:t>Missing</w:t>
            </w:r>
          </w:p>
        </w:tc>
        <w:tc>
          <w:tcPr>
            <w:tcW w:type="dxa" w:w="1218"/>
          </w:tcPr>
          <w:p>
            <w:r>
              <w:rPr>
                <w:sz w:val="17"/>
              </w:rPr>
              <w:t>0</w:t>
            </w:r>
          </w:p>
        </w:tc>
        <w:tc>
          <w:tcPr>
            <w:tcW w:type="dxa" w:w="1218"/>
          </w:tcPr>
          <w:p>
            <w:r>
              <w:rPr>
                <w:sz w:val="17"/>
              </w:rPr>
              <w:t>0</w:t>
            </w:r>
          </w:p>
        </w:tc>
        <w:tc>
          <w:tcPr>
            <w:tcW w:type="dxa" w:w="1218"/>
          </w:tcPr>
          <w:p>
            <w:r>
              <w:rPr>
                <w:sz w:val="17"/>
              </w:rPr>
              <w:t>0</w:t>
            </w:r>
          </w:p>
        </w:tc>
        <w:tc>
          <w:tcPr>
            <w:tcW w:type="dxa" w:w="1218"/>
          </w:tcPr>
          <w:p>
            <w:r>
              <w:rPr>
                <w:sz w:val="17"/>
              </w:rPr>
              <w:t>0</w:t>
            </w:r>
          </w:p>
        </w:tc>
        <w:tc>
          <w:tcPr>
            <w:tcW w:type="dxa" w:w="1218"/>
          </w:tcPr>
          <w:p>
            <w:r>
              <w:rPr>
                <w:sz w:val="17"/>
              </w:rPr>
              <w:t>0</w:t>
            </w:r>
          </w:p>
        </w:tc>
        <w:tc>
          <w:tcPr>
            <w:tcW w:type="dxa" w:w="1218"/>
          </w:tcPr>
          <w:p>
            <w:r>
              <w:rPr>
                <w:sz w:val="17"/>
              </w:rPr>
              <w:t>0</w:t>
            </w:r>
          </w:p>
        </w:tc>
        <w:tc>
          <w:tcPr>
            <w:tcW w:type="dxa" w:w="1218"/>
          </w:tcPr>
          <w:p>
            <w:r>
              <w:rPr>
                <w:sz w:val="17"/>
              </w:rPr>
              <w:t>0</w:t>
            </w:r>
          </w:p>
        </w:tc>
      </w:tr>
    </w:tbl>
    <w:p>
      <w:pPr>
        <w:jc w:val="center"/>
      </w:pPr>
      <w:r>
        <w:drawing>
          <wp:inline xmlns:a="http://schemas.openxmlformats.org/drawingml/2006/main" xmlns:pic="http://schemas.openxmlformats.org/drawingml/2006/picture">
            <wp:extent cx="4648809" cy="294448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48809" cy="2944487"/>
                    </a:xfrm>
                    <a:prstGeom prst="rect"/>
                  </pic:spPr>
                </pic:pic>
              </a:graphicData>
            </a:graphic>
          </wp:inline>
        </w:drawing>
      </w:r>
    </w:p>
    <w:p>
      <w:r>
        <w:rPr>
          <w:i/>
          <w:color w:val="7A8290"/>
          <w:sz w:val="17"/>
        </w:rPr>
        <w:t>Figure 2.1 — Distribution of the target variable, exam_score.</w:t>
      </w:r>
    </w:p>
    <w:p>
      <w:pPr>
        <w:pStyle w:val="Heading2"/>
      </w:pPr>
      <w:r>
        <w:rPr>
          <w:color w:val="1F2430"/>
        </w:rPr>
        <w:t>2.3  Interpretation</w:t>
      </w:r>
    </w:p>
    <w:p>
      <w:r>
        <w:rPr>
          <w:b w:val="0"/>
        </w:rPr>
        <w:t>exam_score averages 86.70 (median 92.12, SD 15.06), ranging from 26.67 to 100.00. The distribution is left-skewed (skewness -1.01).</w:t>
      </w:r>
    </w:p>
    <w:p>
      <w:r>
        <w:br w:type="page"/>
      </w:r>
    </w:p>
    <w:p>
      <w:pPr>
        <w:pStyle w:val="Heading1"/>
      </w:pPr>
      <w:r>
        <w:rPr>
          <w:color w:val="E65100"/>
        </w:rPr>
        <w:t>3. Categorical Testing</w:t>
      </w:r>
    </w:p>
    <w:p>
      <w:pPr>
        <w:shd w:val="clear" w:fill="FFF6EE"/>
        <w:spacing w:after="0"/>
      </w:pPr>
      <w:r>
        <w:rPr>
          <w:b/>
          <w:color w:val="E65100"/>
          <w:sz w:val="17"/>
        </w:rPr>
        <w:t>PROBLEM STATEMENT</w:t>
      </w:r>
    </w:p>
    <w:p>
      <w:pPr>
        <w:shd w:val="clear" w:fill="FFF6EE"/>
      </w:pPr>
      <w:r>
        <w:rPr>
          <w:b w:val="0"/>
        </w:rPr>
        <w:t>Do students differ in exam performance across categorical groups — for example, between placement outcomes?</w:t>
      </w:r>
    </w:p>
    <w:p>
      <w:pPr>
        <w:pStyle w:val="Heading2"/>
      </w:pPr>
      <w:r>
        <w:rPr>
          <w:color w:val="1F2430"/>
        </w:rPr>
        <w:t>3.1  Group composition</w:t>
      </w:r>
    </w:p>
    <w:p>
      <w:pPr>
        <w:jc w:val="center"/>
      </w:pPr>
      <w:r>
        <w:drawing>
          <wp:inline xmlns:a="http://schemas.openxmlformats.org/drawingml/2006/main" xmlns:pic="http://schemas.openxmlformats.org/drawingml/2006/picture">
            <wp:extent cx="4648809" cy="311129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48809" cy="3111294"/>
                    </a:xfrm>
                    <a:prstGeom prst="rect"/>
                  </pic:spPr>
                </pic:pic>
              </a:graphicData>
            </a:graphic>
          </wp:inline>
        </w:drawing>
      </w:r>
    </w:p>
    <w:p>
      <w:r>
        <w:rPr>
          <w:i/>
          <w:color w:val="7A8290"/>
          <w:sz w:val="17"/>
        </w:rPr>
        <w:t>Figure 3.1 — Distribution of placement_status.</w:t>
      </w:r>
    </w:p>
    <w:p>
      <w:r>
        <w:rPr>
          <w:b w:val="0"/>
        </w:rPr>
        <w:t>placement_status has 2 categories; the most common is "Placed" (83.56% of records).</w:t>
      </w:r>
    </w:p>
    <w:p>
      <w:pPr>
        <w:pStyle w:val="Heading2"/>
      </w:pPr>
      <w:r>
        <w:rPr>
          <w:color w:val="1F2430"/>
        </w:rPr>
        <w:t>3.2  Hypothesis test (independent-samples t-test)</w:t>
      </w:r>
    </w:p>
    <w:p>
      <w:r>
        <w:rPr>
          <w:b w:val="0"/>
        </w:rPr>
        <w:t>H₀: the mean exam_score is equal across placement_status groups. H₁: the means differ.</w:t>
      </w:r>
    </w:p>
    <w:tbl>
      <w:tblPr>
        <w:tblStyle w:val="LightGrid-Accent6"/>
        <w:tblW w:type="auto" w:w="0"/>
        <w:jc w:val="center"/>
        <w:tblLook w:firstColumn="1" w:firstRow="1" w:lastColumn="0" w:lastRow="0" w:noHBand="0" w:noVBand="1" w:val="04A0"/>
      </w:tblPr>
      <w:tblGrid>
        <w:gridCol w:w="2436"/>
        <w:gridCol w:w="2436"/>
        <w:gridCol w:w="2436"/>
        <w:gridCol w:w="2436"/>
      </w:tblGrid>
      <w:tr>
        <w:tc>
          <w:tcPr>
            <w:tcW w:type="dxa" w:w="2436"/>
          </w:tcPr>
          <w:p>
            <w:r>
              <w:rPr>
                <w:b/>
                <w:sz w:val="18"/>
              </w:rPr>
              <w:t>placement_status</w:t>
            </w:r>
          </w:p>
        </w:tc>
        <w:tc>
          <w:tcPr>
            <w:tcW w:type="dxa" w:w="2436"/>
          </w:tcPr>
          <w:p>
            <w:r>
              <w:rPr>
                <w:b/>
                <w:sz w:val="18"/>
              </w:rPr>
              <w:t>Mean</w:t>
            </w:r>
          </w:p>
        </w:tc>
        <w:tc>
          <w:tcPr>
            <w:tcW w:type="dxa" w:w="2436"/>
          </w:tcPr>
          <w:p>
            <w:r>
              <w:rPr>
                <w:b/>
                <w:sz w:val="18"/>
              </w:rPr>
              <w:t>SD</w:t>
            </w:r>
          </w:p>
        </w:tc>
        <w:tc>
          <w:tcPr>
            <w:tcW w:type="dxa" w:w="2436"/>
          </w:tcPr>
          <w:p>
            <w:r>
              <w:rPr>
                <w:b/>
                <w:sz w:val="18"/>
              </w:rPr>
              <w:t>N</w:t>
            </w:r>
          </w:p>
        </w:tc>
      </w:tr>
      <w:tr>
        <w:tc>
          <w:tcPr>
            <w:tcW w:type="dxa" w:w="2436"/>
          </w:tcPr>
          <w:p>
            <w:r>
              <w:rPr>
                <w:sz w:val="17"/>
              </w:rPr>
              <w:t>Placed</w:t>
            </w:r>
          </w:p>
        </w:tc>
        <w:tc>
          <w:tcPr>
            <w:tcW w:type="dxa" w:w="2436"/>
          </w:tcPr>
          <w:p>
            <w:r>
              <w:rPr>
                <w:sz w:val="17"/>
              </w:rPr>
              <w:t>91.997</w:t>
            </w:r>
          </w:p>
        </w:tc>
        <w:tc>
          <w:tcPr>
            <w:tcW w:type="dxa" w:w="2436"/>
          </w:tcPr>
          <w:p>
            <w:r>
              <w:rPr>
                <w:sz w:val="17"/>
              </w:rPr>
              <w:t>9.377</w:t>
            </w:r>
          </w:p>
        </w:tc>
        <w:tc>
          <w:tcPr>
            <w:tcW w:type="dxa" w:w="2436"/>
          </w:tcPr>
          <w:p>
            <w:r>
              <w:rPr>
                <w:sz w:val="17"/>
              </w:rPr>
              <w:t>8356.000</w:t>
            </w:r>
          </w:p>
        </w:tc>
      </w:tr>
      <w:tr>
        <w:tc>
          <w:tcPr>
            <w:tcW w:type="dxa" w:w="2436"/>
          </w:tcPr>
          <w:p>
            <w:r>
              <w:rPr>
                <w:sz w:val="17"/>
              </w:rPr>
              <w:t>Not Placed</w:t>
            </w:r>
          </w:p>
        </w:tc>
        <w:tc>
          <w:tcPr>
            <w:tcW w:type="dxa" w:w="2436"/>
          </w:tcPr>
          <w:p>
            <w:r>
              <w:rPr>
                <w:sz w:val="17"/>
              </w:rPr>
              <w:t>59.805</w:t>
            </w:r>
          </w:p>
        </w:tc>
        <w:tc>
          <w:tcPr>
            <w:tcW w:type="dxa" w:w="2436"/>
          </w:tcPr>
          <w:p>
            <w:r>
              <w:rPr>
                <w:sz w:val="17"/>
              </w:rPr>
              <w:t>8.147</w:t>
            </w:r>
          </w:p>
        </w:tc>
        <w:tc>
          <w:tcPr>
            <w:tcW w:type="dxa" w:w="2436"/>
          </w:tcPr>
          <w:p>
            <w:r>
              <w:rPr>
                <w:sz w:val="17"/>
              </w:rPr>
              <w:t>1644.000</w:t>
            </w:r>
          </w:p>
        </w:tc>
      </w:tr>
    </w:tbl>
    <w:p>
      <w:pPr>
        <w:pStyle w:val="Heading2"/>
      </w:pPr>
      <w:r>
        <w:rPr>
          <w:color w:val="1F2430"/>
        </w:rPr>
        <w:t>3.3  Interpretation</w:t>
      </w:r>
    </w:p>
    <w:p>
      <w:r>
        <w:rPr>
          <w:b w:val="0"/>
        </w:rPr>
        <w:t>Reject H₀ — exam_score differs significantly between "Placed" and "Not Placed" (t = 142.69, p &lt; 0.001, Cohen's d = 3.50, large effect).</w:t>
      </w:r>
    </w:p>
    <w:p>
      <w:r>
        <w:br w:type="page"/>
      </w:r>
    </w:p>
    <w:p>
      <w:pPr>
        <w:pStyle w:val="Heading1"/>
      </w:pPr>
      <w:r>
        <w:rPr>
          <w:color w:val="E65100"/>
        </w:rPr>
        <w:t>4. Correlation &amp; Relationships</w:t>
      </w:r>
    </w:p>
    <w:p>
      <w:pPr>
        <w:shd w:val="clear" w:fill="FFF6EE"/>
        <w:spacing w:after="0"/>
      </w:pPr>
      <w:r>
        <w:rPr>
          <w:b/>
          <w:color w:val="E65100"/>
          <w:sz w:val="17"/>
        </w:rPr>
        <w:t>PROBLEM STATEMENT</w:t>
      </w:r>
    </w:p>
    <w:p>
      <w:pPr>
        <w:shd w:val="clear" w:fill="FFF6EE"/>
      </w:pPr>
      <w:r>
        <w:rPr>
          <w:b w:val="0"/>
        </w:rPr>
        <w:t>Which variables are most strongly associated with exam performance, and could therefore serve as predictors?</w:t>
      </w:r>
    </w:p>
    <w:p>
      <w:pPr>
        <w:pStyle w:val="Heading2"/>
      </w:pPr>
      <w:r>
        <w:rPr>
          <w:color w:val="1F2430"/>
        </w:rPr>
        <w:t>4.1  Method</w:t>
      </w:r>
    </w:p>
    <w:p>
      <w:r>
        <w:rPr>
          <w:b w:val="0"/>
        </w:rPr>
        <w:t>Pearson correlation coefficients were computed for all metric variable pairs (range −1 to +1).</w:t>
      </w:r>
    </w:p>
    <w:p>
      <w:pPr>
        <w:pStyle w:val="Heading2"/>
      </w:pPr>
      <w:r>
        <w:rPr>
          <w:color w:val="1F2430"/>
        </w:rPr>
        <w:t>4.2  Results</w:t>
      </w:r>
    </w:p>
    <w:p>
      <w:pPr>
        <w:jc w:val="center"/>
      </w:pPr>
      <w:r>
        <w:drawing>
          <wp:inline xmlns:a="http://schemas.openxmlformats.org/drawingml/2006/main" xmlns:pic="http://schemas.openxmlformats.org/drawingml/2006/picture">
            <wp:extent cx="4648809" cy="351633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48809" cy="3516334"/>
                    </a:xfrm>
                    <a:prstGeom prst="rect"/>
                  </pic:spPr>
                </pic:pic>
              </a:graphicData>
            </a:graphic>
          </wp:inline>
        </w:drawing>
      </w:r>
    </w:p>
    <w:p>
      <w:r>
        <w:rPr>
          <w:i/>
          <w:color w:val="7A8290"/>
          <w:sz w:val="17"/>
        </w:rPr>
        <w:t>Figure 4.1 — Correlation matrix of the metric variables.</w:t>
      </w:r>
    </w:p>
    <w:p>
      <w:pPr>
        <w:pStyle w:val="Heading2"/>
      </w:pPr>
      <w:r>
        <w:rPr>
          <w:color w:val="1F2430"/>
        </w:rPr>
        <w:t>4.3  Interpretation</w:t>
      </w:r>
    </w:p>
    <w:p>
      <w:r>
        <w:rPr>
          <w:b w:val="0"/>
        </w:rPr>
        <w:t>The strongest linear relationship is between study_hours and exam_score (r = 0.56), a moderate positive association. Variables with high correlation may carry overlapping information.</w:t>
      </w:r>
    </w:p>
    <w:p>
      <w:r>
        <w:br w:type="page"/>
      </w:r>
    </w:p>
    <w:p>
      <w:pPr>
        <w:pStyle w:val="Heading1"/>
      </w:pPr>
      <w:r>
        <w:rPr>
          <w:color w:val="E65100"/>
        </w:rPr>
        <w:t>5. Predictive Trends — Linear Regression</w:t>
      </w:r>
    </w:p>
    <w:p>
      <w:pPr>
        <w:shd w:val="clear" w:fill="FFF6EE"/>
        <w:spacing w:after="0"/>
      </w:pPr>
      <w:r>
        <w:rPr>
          <w:b/>
          <w:color w:val="E65100"/>
          <w:sz w:val="17"/>
        </w:rPr>
        <w:t>PROBLEM STATEMENT</w:t>
      </w:r>
    </w:p>
    <w:p>
      <w:pPr>
        <w:shd w:val="clear" w:fill="FFF6EE"/>
      </w:pPr>
      <w:r>
        <w:rPr>
          <w:b w:val="0"/>
        </w:rPr>
        <w:t>Can exam performance be predicted from its strongest single factor, and how much of the variation does that factor explain?</w:t>
      </w:r>
    </w:p>
    <w:p>
      <w:pPr>
        <w:pStyle w:val="Heading2"/>
      </w:pPr>
      <w:r>
        <w:rPr>
          <w:color w:val="1F2430"/>
        </w:rPr>
        <w:t>5.1  Method</w:t>
      </w:r>
    </w:p>
    <w:p>
      <w:r>
        <w:rPr>
          <w:b w:val="0"/>
        </w:rPr>
        <w:t>A simple ordinary-least-squares linear regression was fitted, modelling exam_score as a function of study_hours.</w:t>
      </w:r>
    </w:p>
    <w:p>
      <w:pPr>
        <w:pStyle w:val="Heading2"/>
      </w:pPr>
      <w:r>
        <w:rPr>
          <w:color w:val="1F2430"/>
        </w:rPr>
        <w:t>5.2  Results</w:t>
      </w:r>
    </w:p>
    <w:p>
      <w:pPr>
        <w:jc w:val="center"/>
      </w:pPr>
      <w:r>
        <w:drawing>
          <wp:inline xmlns:a="http://schemas.openxmlformats.org/drawingml/2006/main" xmlns:pic="http://schemas.openxmlformats.org/drawingml/2006/picture">
            <wp:extent cx="4648809" cy="31556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48809" cy="3155600"/>
                    </a:xfrm>
                    <a:prstGeom prst="rect"/>
                  </pic:spPr>
                </pic:pic>
              </a:graphicData>
            </a:graphic>
          </wp:inline>
        </w:drawing>
      </w:r>
    </w:p>
    <w:p>
      <w:r>
        <w:rPr>
          <w:i/>
          <w:color w:val="7A8290"/>
          <w:sz w:val="17"/>
        </w:rPr>
        <w:t>Figure 5.1 — Regression of exam_score on study_hours.</w:t>
      </w:r>
    </w:p>
    <w:p>
      <w:pPr>
        <w:pStyle w:val="Heading2"/>
      </w:pPr>
      <w:r>
        <w:rPr>
          <w:color w:val="1F2430"/>
        </w:rPr>
        <w:t>5.3  Interpretation</w:t>
      </w:r>
    </w:p>
    <w:p>
      <w:r>
        <w:rPr>
          <w:b w:val="0"/>
        </w:rPr>
        <w:t>A simple linear model predicts exam_score from study_hours as Y = 70.667 + 2.678 x study_hours. It explains 31.6% of the variance (R² = 0.316). The slope is statistically significant (p &lt; 0.001), so each one-unit rise in study_hours is associated with a change of 2.678 in exam_score.</w:t>
      </w:r>
    </w:p>
    <w:p>
      <w:r>
        <w:rPr>
          <w:b w:val="0"/>
        </w:rPr>
        <w:t xml:space="preserve">As a worked example, a student one standard deviation above the mean study_hours (9.2) is predicted to score </w:t>
      </w:r>
      <w:r>
        <w:rPr>
          <w:b/>
        </w:rPr>
        <w:t>95.2</w:t>
      </w:r>
      <w:r>
        <w:rPr>
          <w:b w:val="0"/>
        </w:rPr>
        <w:t xml:space="preserve"> on exam_score.</w:t>
      </w:r>
    </w:p>
    <w:p>
      <w:r>
        <w:br w:type="page"/>
      </w:r>
    </w:p>
    <w:p>
      <w:pPr>
        <w:pStyle w:val="Heading1"/>
      </w:pPr>
      <w:r>
        <w:rPr>
          <w:color w:val="E65100"/>
        </w:rPr>
        <w:t>6. Synthesis &amp; Conclusions</w:t>
      </w:r>
    </w:p>
    <w:p>
      <w:pPr>
        <w:pStyle w:val="Heading2"/>
      </w:pPr>
      <w:r>
        <w:rPr>
          <w:color w:val="1F2430"/>
        </w:rPr>
        <w:t>6.1  Bringing the analysis together</w:t>
      </w:r>
    </w:p>
    <w:p>
      <w:r>
        <w:rPr>
          <w:b w:val="0"/>
        </w:rPr>
        <w:t>Each section answered one question, and together they form a coherent picture. The descriptive profile set expectations; categorical testing showed where groups genuinely differ; correlation identified the factors that move with performance; and the regression turned the strongest of those into a predictive rule.</w:t>
      </w:r>
    </w:p>
    <w:p>
      <w:pPr>
        <w:pStyle w:val="Heading2"/>
      </w:pPr>
      <w:r>
        <w:rPr>
          <w:color w:val="1F2430"/>
        </w:rPr>
        <w:t>6.2  Key findings</w:t>
      </w:r>
    </w:p>
    <w:p>
      <w:pPr>
        <w:pStyle w:val="ListBullet"/>
      </w:pPr>
      <w:r>
        <w:rPr>
          <w:b w:val="0"/>
        </w:rPr>
        <w:t xml:space="preserve">The strongest linear relationship is between </w:t>
      </w:r>
      <w:r>
        <w:rPr>
          <w:b/>
        </w:rPr>
        <w:t>study_hours</w:t>
      </w:r>
      <w:r>
        <w:rPr>
          <w:b w:val="0"/>
        </w:rPr>
        <w:t xml:space="preserve"> and </w:t>
      </w:r>
      <w:r>
        <w:rPr>
          <w:b/>
        </w:rPr>
        <w:t>exam_score</w:t>
      </w:r>
      <w:r>
        <w:rPr>
          <w:b w:val="0"/>
        </w:rPr>
        <w:t xml:space="preserve"> (r = 0.56).</w:t>
      </w:r>
    </w:p>
    <w:p>
      <w:pPr>
        <w:pStyle w:val="ListBullet"/>
      </w:pPr>
      <w:r>
        <w:rPr>
          <w:b w:val="0"/>
        </w:rPr>
        <w:t xml:space="preserve">A simple model of </w:t>
      </w:r>
      <w:r>
        <w:rPr>
          <w:b/>
        </w:rPr>
        <w:t>exam_score</w:t>
      </w:r>
      <w:r>
        <w:rPr>
          <w:b w:val="0"/>
        </w:rPr>
        <w:t xml:space="preserve"> on </w:t>
      </w:r>
      <w:r>
        <w:rPr>
          <w:b/>
        </w:rPr>
        <w:t>study_hours</w:t>
      </w:r>
      <w:r>
        <w:rPr>
          <w:b w:val="0"/>
        </w:rPr>
        <w:t xml:space="preserve"> explains 31.6% of its variance (R² = 0.32).</w:t>
      </w:r>
    </w:p>
    <w:p>
      <w:pPr>
        <w:pStyle w:val="ListBullet"/>
      </w:pPr>
      <w:r>
        <w:rPr>
          <w:b w:val="0"/>
        </w:rPr>
        <w:t xml:space="preserve">There is a statistically significant difference in </w:t>
      </w:r>
      <w:r>
        <w:rPr>
          <w:b/>
        </w:rPr>
        <w:t>exam_score</w:t>
      </w:r>
      <w:r>
        <w:rPr>
          <w:b w:val="0"/>
        </w:rPr>
        <w:t xml:space="preserve"> between </w:t>
      </w:r>
      <w:r>
        <w:rPr>
          <w:b/>
        </w:rPr>
        <w:t>placement_status</w:t>
      </w:r>
      <w:r>
        <w:rPr>
          <w:b w:val="0"/>
        </w:rPr>
        <w:t xml:space="preserve"> groups (p &lt; 0.001).</w:t>
      </w:r>
    </w:p>
    <w:p>
      <w:pPr>
        <w:pStyle w:val="ListBullet"/>
      </w:pPr>
      <w:r>
        <w:rPr>
          <w:b/>
        </w:rPr>
        <w:t>exam_score</w:t>
      </w:r>
      <w:r>
        <w:rPr>
          <w:b w:val="0"/>
        </w:rPr>
        <w:t xml:space="preserve"> is not normally distributed (Shapiro-Wilk W = 0.8376).</w:t>
      </w:r>
    </w:p>
    <w:p>
      <w:pPr>
        <w:pStyle w:val="Heading2"/>
      </w:pPr>
      <w:r>
        <w:rPr>
          <w:color w:val="1F2430"/>
        </w:rPr>
        <w:t>6.3  Limitations &amp; next steps</w:t>
      </w:r>
    </w:p>
    <w:p>
      <w:pPr>
        <w:pStyle w:val="ListBullet"/>
      </w:pPr>
      <w:r>
        <w:rPr>
          <w:b w:val="0"/>
        </w:rPr>
        <w:t>A single-predictor model is a baseline — a multiple-regression model using several factors together would likely explain more variance.</w:t>
      </w:r>
    </w:p>
    <w:p>
      <w:pPr>
        <w:pStyle w:val="ListBullet"/>
      </w:pPr>
      <w:r>
        <w:rPr>
          <w:b w:val="0"/>
        </w:rPr>
        <w:t>Correlation does not imply causation; a controlled study is needed to confirm drivers.</w:t>
      </w:r>
    </w:p>
    <w:p>
      <w:pPr>
        <w:pStyle w:val="ListBullet"/>
      </w:pPr>
      <w:r>
        <w:rPr>
          <w:b w:val="0"/>
        </w:rPr>
        <w:t>Findings describe this sample; external validation on new cohorts is recommended.</w:t>
      </w:r>
    </w:p>
    <w:sectPr w:rsidR="00FC693F" w:rsidRPr="0006063C" w:rsidSect="00034616">
      <w:footerReference w:type="default" r:id="rId9"/>
      <w:head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A8290"/>
        <w:sz w:val="16"/>
      </w:rPr>
      <w:t xml:space="preserve">Kavin Ganapathy · ID 100008820        </w:t>
    </w:r>
    <w:r>
      <w:rPr>
        <w:color w:val="7A829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A8290"/>
        <w:sz w:val="16"/>
      </w:rPr>
      <w:t>Analysis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