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56"/>
          <w:szCs w:val="56"/>
        </w:rPr>
        <w:t xml:space="preserve">BEYOND BETA</w:t>
      </w:r>
    </w:p>
    <w:p>
      <w:pPr>
        <w:spacing w:after="240" w:before="0"/>
        <w:jc w:val="center"/>
      </w:pPr>
      <w:r>
        <w:rPr>
          <w:rFonts w:ascii="Arial" w:cs="Arial" w:eastAsia="Arial" w:hAnsi="Arial"/>
          <w:i/>
          <w:iCs/>
          <w:color w:val="2C5F8A"/>
          <w:sz w:val="30"/>
          <w:szCs w:val="30"/>
        </w:rPr>
        <w:t xml:space="preserve">A Scalable ML-Augmented Factor Model for Regime-Aware Stock Return Prediction</w:t>
      </w:r>
    </w:p>
    <w:p>
      <w:pPr>
        <w:spacing w:after="120" w:before="480"/>
        <w:jc w:val="center"/>
      </w:pPr>
      <w:r>
        <w:rPr>
          <w:rFonts w:ascii="Arial" w:cs="Arial" w:eastAsia="Arial" w:hAnsi="Arial"/>
          <w:b/>
          <w:bCs/>
          <w:sz w:val="28"/>
          <w:szCs w:val="28"/>
        </w:rPr>
        <w:t xml:space="preserve">Tejas</w:t>
      </w:r>
    </w:p>
    <w:p>
      <w:pPr>
        <w:spacing w:after="120" w:before="0"/>
        <w:jc w:val="center"/>
      </w:pPr>
      <w:r>
        <w:rPr>
          <w:rFonts w:ascii="Arial" w:cs="Arial" w:eastAsia="Arial" w:hAnsi="Arial"/>
          <w:sz w:val="24"/>
          <w:szCs w:val="24"/>
        </w:rPr>
        <w:t xml:space="preserve">Master of Science in Data Science</w:t>
      </w:r>
    </w:p>
    <w:p>
      <w:pPr>
        <w:spacing w:after="120" w:before="0"/>
        <w:jc w:val="center"/>
      </w:pPr>
      <w:r>
        <w:rPr>
          <w:rFonts w:ascii="Arial" w:cs="Arial" w:eastAsia="Arial" w:hAnsi="Arial"/>
          <w:sz w:val="24"/>
          <w:szCs w:val="24"/>
        </w:rPr>
        <w:t xml:space="preserve">Arizona State University</w:t>
      </w:r>
    </w:p>
    <w:p>
      <w:pPr>
        <w:spacing w:after="120" w:before="0"/>
        <w:jc w:val="center"/>
      </w:pPr>
      <w:r>
        <w:rPr>
          <w:rFonts w:ascii="Arial" w:cs="Arial" w:eastAsia="Arial" w:hAnsi="Arial"/>
          <w:color w:val="555555"/>
          <w:sz w:val="22"/>
          <w:szCs w:val="22"/>
        </w:rPr>
        <w:t xml:space="preserve">Courses: Statistics for Data Analysts | Statistical Machine Learning | Data Processing at Scale</w:t>
      </w:r>
    </w:p>
    <w:p>
      <w:pPr>
        <w:spacing w:after="120" w:before="120"/>
        <w:jc w:val="center"/>
      </w:pPr>
      <w:r>
        <w:rPr>
          <w:rFonts w:ascii="Arial" w:cs="Arial" w:eastAsia="Arial" w:hAnsi="Arial"/>
          <w:sz w:val="24"/>
          <w:szCs w:val="24"/>
        </w:rPr>
        <w:t xml:space="preserve">April 2026</w:t>
      </w:r>
    </w:p>
    <w:p>
      <w:r>
        <w:br w:type="page"/>
      </w:r>
    </w:p>
    <w:p>
      <w:pPr>
        <w:pStyle w:val="Heading1"/>
        <w:spacing w:after="160" w:before="400"/>
      </w:pPr>
      <w:r>
        <w:rPr>
          <w:rFonts w:ascii="Arial" w:cs="Arial" w:eastAsia="Arial" w:hAnsi="Arial"/>
          <w:b/>
          <w:bCs/>
          <w:color w:val="1A3A5C"/>
          <w:sz w:val="32"/>
          <w:szCs w:val="32"/>
        </w:rPr>
        <w:t xml:space="preserve">Abstract</w:t>
      </w:r>
    </w:p>
    <w:p>
      <w:pPr>
        <w:spacing w:after="160" w:before="100" w:line="360" w:lineRule="auto"/>
        <w:ind w:firstLine="720"/>
        <w:jc w:val="both"/>
      </w:pPr>
      <w:r>
        <w:rPr>
          <w:rFonts w:ascii="Arial" w:cs="Arial" w:eastAsia="Arial" w:hAnsi="Arial"/>
          <w:sz w:val="24"/>
          <w:szCs w:val="24"/>
        </w:rPr>
        <w:t xml:space="preserve">Factor models have been a cornerstone of quantitative finance for decades. The Fama-French framework, in particular, has shaped how practitioners and academics think about the sources of equity returns. But these models carry a hidden assumption that rarely gets challenged: that the relationships between factors and returns are stable over time. In practice, they are not. A market experiencing a calm bull run behaves fundamentally differently from one in the middle of a credit crisis, and a model trained on one environment should not be expected to perform equally well in the other.</w:t>
      </w:r>
    </w:p>
    <w:p>
      <w:pPr>
        <w:spacing w:after="160" w:before="100" w:line="360" w:lineRule="auto"/>
        <w:ind w:firstLine="720"/>
        <w:jc w:val="both"/>
      </w:pPr>
      <w:r>
        <w:rPr>
          <w:rFonts w:ascii="Arial" w:cs="Arial" w:eastAsia="Arial" w:hAnsi="Arial"/>
          <w:sz w:val="24"/>
          <w:szCs w:val="24"/>
        </w:rPr>
        <w:t xml:space="preserve">This project addresses that limitation directly. We build a regime-aware prediction system that first identifies what kind of market environment we are in — Bull, Bear, or Volatile — using a Hidden Markov Model trained on macro and geopolitical signals. Once the regime is identified, prediction is routed to a machine learning model specifically trained on historical periods with similar characteristics. We apply this framework to the full S&amp;P 500 universe using 22 years of data spanning 2004 through early 2026.</w:t>
      </w:r>
    </w:p>
    <w:p>
      <w:pPr>
        <w:spacing w:after="160" w:before="100" w:line="360" w:lineRule="auto"/>
        <w:ind w:firstLine="720"/>
        <w:jc w:val="both"/>
      </w:pPr>
      <w:r>
        <w:rPr>
          <w:rFonts w:ascii="Arial" w:cs="Arial" w:eastAsia="Arial" w:hAnsi="Arial"/>
          <w:sz w:val="24"/>
          <w:szCs w:val="24"/>
        </w:rPr>
        <w:t xml:space="preserve">The results are encouraging. Our regime-aware portfolio delivered an annualized return of 18.53% against the S&amp;P 500's 12.88% over the same period, with a Sharpe ratio of 1.10 compared to 0.90 for the benchmark. We also document a finding with practical relevance: the model currently detects a Bear regime beginning in January 2026, consistent with rising VIX and growing geopolitical uncertainty heading into the second quarter of the year.</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1. Introduction</w:t>
      </w:r>
    </w:p>
    <w:p>
      <w:pPr>
        <w:pStyle w:val="Heading2"/>
        <w:spacing w:after="120" w:before="300"/>
      </w:pPr>
      <w:r>
        <w:rPr>
          <w:rFonts w:ascii="Arial" w:cs="Arial" w:eastAsia="Arial" w:hAnsi="Arial"/>
          <w:b/>
          <w:bCs/>
          <w:color w:val="2C5F8A"/>
          <w:sz w:val="26"/>
          <w:szCs w:val="26"/>
        </w:rPr>
        <w:t xml:space="preserve">1.1 Background and Motivation</w:t>
      </w:r>
    </w:p>
    <w:p>
      <w:pPr>
        <w:spacing w:after="160" w:before="100" w:line="360" w:lineRule="auto"/>
        <w:ind w:firstLine="720"/>
        <w:jc w:val="both"/>
      </w:pPr>
      <w:r>
        <w:rPr>
          <w:rFonts w:ascii="Arial" w:cs="Arial" w:eastAsia="Arial" w:hAnsi="Arial"/>
          <w:sz w:val="24"/>
          <w:szCs w:val="24"/>
        </w:rPr>
        <w:t xml:space="preserve">The efficient market hypothesis and its descendants have long suggested that consistent outperformance is difficult to achieve. Yet the persistence of factor premia — returns attributable to characteristics like size, value, and momentum — has generated decades of academic and practitioner interest. The Fama-French three-factor model (1993) and its later five-factor extension (2015) became the standard lens through which equity returns are analyzed. These models explain a significant portion of cross-sectional return variation, but they assume linear, time-invariant relationships.</w:t>
      </w:r>
    </w:p>
    <w:p>
      <w:pPr>
        <w:spacing w:after="160" w:before="100" w:line="360" w:lineRule="auto"/>
        <w:ind w:firstLine="720"/>
        <w:jc w:val="both"/>
      </w:pPr>
      <w:r>
        <w:rPr>
          <w:rFonts w:ascii="Arial" w:cs="Arial" w:eastAsia="Arial" w:hAnsi="Arial"/>
          <w:sz w:val="24"/>
          <w:szCs w:val="24"/>
        </w:rPr>
        <w:t xml:space="preserve">The financial crises of 2001, 2008, and 2020, along with periods of elevated geopolitical risk, have repeatedly demonstrated that factor exposures shift dramatically depending on market conditions. During the 2008 global financial crisis, for instance, value stocks — historically rewarded with positive premia — experienced catastrophic drawdowns. Momentum strategies collapsed in the spring of 2009 as the market snapped back sharply. These regime-dependent breakdowns are not anomalies; they are a predictable feature of how markets work.</w:t>
      </w:r>
    </w:p>
    <w:p>
      <w:pPr>
        <w:spacing w:after="160" w:before="100" w:line="360" w:lineRule="auto"/>
        <w:ind w:firstLine="720"/>
        <w:jc w:val="both"/>
      </w:pPr>
      <w:r>
        <w:rPr>
          <w:rFonts w:ascii="Arial" w:cs="Arial" w:eastAsia="Arial" w:hAnsi="Arial"/>
          <w:sz w:val="24"/>
          <w:szCs w:val="24"/>
        </w:rPr>
        <w:t xml:space="preserve">This observation motivates the central question of this project: can we improve factor-based stock return prediction by explicitly modeling market regimes and allowing our prediction strategy to adapt to them?</w:t>
      </w:r>
    </w:p>
    <w:p>
      <w:pPr>
        <w:pStyle w:val="Heading2"/>
        <w:spacing w:after="120" w:before="300"/>
      </w:pPr>
      <w:r>
        <w:rPr>
          <w:rFonts w:ascii="Arial" w:cs="Arial" w:eastAsia="Arial" w:hAnsi="Arial"/>
          <w:b/>
          <w:bCs/>
          <w:color w:val="2C5F8A"/>
          <w:sz w:val="26"/>
          <w:szCs w:val="26"/>
        </w:rPr>
        <w:t xml:space="preserve">1.2 Project Overview</w:t>
      </w:r>
    </w:p>
    <w:p>
      <w:pPr>
        <w:spacing w:after="160" w:before="100" w:line="360" w:lineRule="auto"/>
        <w:ind w:firstLine="720"/>
        <w:jc w:val="both"/>
      </w:pPr>
      <w:r>
        <w:rPr>
          <w:rFonts w:ascii="Arial" w:cs="Arial" w:eastAsia="Arial" w:hAnsi="Arial"/>
          <w:sz w:val="24"/>
          <w:szCs w:val="24"/>
        </w:rPr>
        <w:t xml:space="preserve">We construct a full end-to-end pipeline covering data collection, statistical analysis, unsupervised regime detection, machine learning-based return prediction, portfolio construction, and backtesting. The pipeline processes five years of daily stock price data for all 501 S&amp;P 500 constituents (as of early 2026), combined with monthly Fama-French factor data, macroeconomic indicators from the Federal Reserve's FRED database, and a geopolitical risk index developed by Caldara and Iacoviello (2022).</w:t>
      </w:r>
    </w:p>
    <w:p>
      <w:pPr>
        <w:spacing w:after="160" w:before="100" w:line="360" w:lineRule="auto"/>
        <w:ind w:firstLine="720"/>
        <w:jc w:val="both"/>
      </w:pPr>
      <w:r>
        <w:rPr>
          <w:rFonts w:ascii="Arial" w:cs="Arial" w:eastAsia="Arial" w:hAnsi="Arial"/>
          <w:sz w:val="24"/>
          <w:szCs w:val="24"/>
        </w:rPr>
        <w:t xml:space="preserve">The pipeline is implemented using PySpark for scalable data processing, hmmlearn for Hidden Markov Model-based regime detection, and XGBoost for regime-specific return prediction. A Streamlit dashboard provides interactive visualization of results and current market status.</w:t>
      </w:r>
    </w:p>
    <w:p>
      <w:pPr>
        <w:pStyle w:val="Heading2"/>
        <w:spacing w:after="120" w:before="300"/>
      </w:pPr>
      <w:r>
        <w:rPr>
          <w:rFonts w:ascii="Arial" w:cs="Arial" w:eastAsia="Arial" w:hAnsi="Arial"/>
          <w:b/>
          <w:bCs/>
          <w:color w:val="2C5F8A"/>
          <w:sz w:val="26"/>
          <w:szCs w:val="26"/>
        </w:rPr>
        <w:t xml:space="preserve">1.3 Contribution</w:t>
      </w:r>
    </w:p>
    <w:p>
      <w:pPr>
        <w:spacing w:after="160" w:before="100" w:line="360" w:lineRule="auto"/>
        <w:ind w:firstLine="720"/>
        <w:jc w:val="both"/>
      </w:pPr>
      <w:r>
        <w:rPr>
          <w:rFonts w:ascii="Arial" w:cs="Arial" w:eastAsia="Arial" w:hAnsi="Arial"/>
          <w:sz w:val="24"/>
          <w:szCs w:val="24"/>
        </w:rPr>
        <w:t xml:space="preserve">While regime-switching models have appeared in academic literature, their application in full-stack, end-to-end equity prediction pipelines incorporating geopolitical risk signals is relatively underexplored in student research. This project makes several contributions:</w:t>
      </w:r>
    </w:p>
    <w:p>
      <w:pPr>
        <w:pStyle w:val="ListParagraph"/>
        <w:numPr>
          <w:ilvl w:val="0"/>
          <w:numId w:val="2"/>
        </w:numPr>
        <w:spacing w:after="60" w:before="60"/>
      </w:pPr>
      <w:r>
        <w:rPr>
          <w:rFonts w:ascii="Arial" w:cs="Arial" w:eastAsia="Arial" w:hAnsi="Arial"/>
          <w:sz w:val="24"/>
          <w:szCs w:val="24"/>
        </w:rPr>
        <w:t xml:space="preserve">A scalable PySpark pipeline processing 74,000+ monthly stock observations across 22 years</w:t>
      </w:r>
    </w:p>
    <w:p>
      <w:pPr>
        <w:pStyle w:val="ListParagraph"/>
        <w:numPr>
          <w:ilvl w:val="0"/>
          <w:numId w:val="2"/>
        </w:numPr>
        <w:spacing w:after="60" w:before="60"/>
      </w:pPr>
      <w:r>
        <w:rPr>
          <w:rFonts w:ascii="Arial" w:cs="Arial" w:eastAsia="Arial" w:hAnsi="Arial"/>
          <w:sz w:val="24"/>
          <w:szCs w:val="24"/>
        </w:rPr>
        <w:t xml:space="preserve">Statistical validation of Fama-French factor significance over the post-2010 period, confirming the documented weakening of size and value premia</w:t>
      </w:r>
    </w:p>
    <w:p>
      <w:pPr>
        <w:pStyle w:val="ListParagraph"/>
        <w:numPr>
          <w:ilvl w:val="0"/>
          <w:numId w:val="2"/>
        </w:numPr>
        <w:spacing w:after="60" w:before="60"/>
      </w:pPr>
      <w:r>
        <w:rPr>
          <w:rFonts w:ascii="Arial" w:cs="Arial" w:eastAsia="Arial" w:hAnsi="Arial"/>
          <w:sz w:val="24"/>
          <w:szCs w:val="24"/>
        </w:rPr>
        <w:t xml:space="preserve">A 3-regime Hidden Markov Model trained on macro and geopolitical features, with economically interpretable regimes</w:t>
      </w:r>
    </w:p>
    <w:p>
      <w:pPr>
        <w:pStyle w:val="ListParagraph"/>
        <w:numPr>
          <w:ilvl w:val="0"/>
          <w:numId w:val="2"/>
        </w:numPr>
        <w:spacing w:after="60" w:before="60"/>
      </w:pPr>
      <w:r>
        <w:rPr>
          <w:rFonts w:ascii="Arial" w:cs="Arial" w:eastAsia="Arial" w:hAnsi="Arial"/>
          <w:sz w:val="24"/>
          <w:szCs w:val="24"/>
        </w:rPr>
        <w:t xml:space="preserve">Regime-aware portfolio strategies that outperform the S&amp;P 500 by approximately 5.65% annualized alpha</w:t>
      </w:r>
    </w:p>
    <w:p>
      <w:pPr>
        <w:pStyle w:val="ListParagraph"/>
        <w:numPr>
          <w:ilvl w:val="0"/>
          <w:numId w:val="2"/>
        </w:numPr>
        <w:spacing w:after="60" w:before="60"/>
      </w:pPr>
      <w:r>
        <w:rPr>
          <w:rFonts w:ascii="Arial" w:cs="Arial" w:eastAsia="Arial" w:hAnsi="Arial"/>
          <w:sz w:val="24"/>
          <w:szCs w:val="24"/>
        </w:rPr>
        <w:t xml:space="preserve">Integration of geopolitical risk (GPR Index) as a market regime signal, with feature importance analysis showing its regime-specific relevance</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2. Data</w:t>
      </w:r>
    </w:p>
    <w:p>
      <w:pPr>
        <w:pStyle w:val="Heading2"/>
        <w:spacing w:after="120" w:before="300"/>
      </w:pPr>
      <w:r>
        <w:rPr>
          <w:rFonts w:ascii="Arial" w:cs="Arial" w:eastAsia="Arial" w:hAnsi="Arial"/>
          <w:b/>
          <w:bCs/>
          <w:color w:val="2C5F8A"/>
          <w:sz w:val="26"/>
          <w:szCs w:val="26"/>
        </w:rPr>
        <w:t xml:space="preserve">2.1 Data Sources</w:t>
      </w:r>
    </w:p>
    <w:p>
      <w:pPr>
        <w:spacing w:after="160" w:before="100" w:line="360" w:lineRule="auto"/>
        <w:ind w:firstLine="720"/>
        <w:jc w:val="both"/>
      </w:pPr>
      <w:r>
        <w:rPr>
          <w:rFonts w:ascii="Arial" w:cs="Arial" w:eastAsia="Arial" w:hAnsi="Arial"/>
          <w:sz w:val="24"/>
          <w:szCs w:val="24"/>
        </w:rPr>
        <w:t xml:space="preserve">The analysis draws on five primary data sources, each serving a distinct role in the pipeline.</w:t>
      </w:r>
    </w:p>
    <w:p>
      <w:pPr>
        <w:spacing w:after="8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00"/>
        <w:gridCol w:w="1460"/>
      </w:tblGrid>
      <w:tr>
        <w:tc>
          <w:tcPr>
            <w:tcW w:type="dxa" w:w="22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Source</w:t>
            </w:r>
          </w:p>
        </w:tc>
        <w:tc>
          <w:tcPr>
            <w:tcW w:type="dxa" w:w="24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Variables</w:t>
            </w:r>
          </w:p>
        </w:tc>
        <w:tc>
          <w:tcPr>
            <w:tcW w:type="dxa" w:w="13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Frequency</w:t>
            </w:r>
          </w:p>
        </w:tc>
        <w:tc>
          <w:tcPr>
            <w:tcW w:type="dxa" w:w="146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Period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Yahoo Finance (yfinance)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Open, High, Low, Close, Volume — 501 stocks</w:t>
            </w:r>
          </w:p>
        </w:tc>
        <w:tc>
          <w:tcPr>
            <w:tcW w:type="dxa" w:w="13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Daily</w:t>
            </w:r>
          </w:p>
        </w:tc>
        <w:tc>
          <w:tcPr>
            <w:tcW w:type="dxa" w:w="14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2004–2026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Ken French Data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Mkt-RF, SMB, HML, RMW, CMA, RF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Monthly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2004–2026</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FRED (Federal Reserve)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VIX, 10Y Treasury, 2Y Treasury, Fed Funds Rate, Unemployment</w:t>
            </w:r>
          </w:p>
        </w:tc>
        <w:tc>
          <w:tcPr>
            <w:tcW w:type="dxa" w:w="13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Monthly</w:t>
            </w:r>
          </w:p>
        </w:tc>
        <w:tc>
          <w:tcPr>
            <w:tcW w:type="dxa" w:w="14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2004–2026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Yahoo Finance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WTI Crude Oil, Gold Spot Price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Monthly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2004–2026</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Caldara &amp; Iacoviello (2022)</w:t>
            </w:r>
          </w:p>
        </w:tc>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Geopolitical Risk Index (GPR Global)</w:t>
            </w:r>
          </w:p>
        </w:tc>
        <w:tc>
          <w:tcPr>
            <w:tcW w:type="dxa" w:w="13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Monthly</w:t>
            </w:r>
          </w:p>
        </w:tc>
        <w:tc>
          <w:tcPr>
            <w:tcW w:type="dxa" w:w="14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2004–2026</w:t>
            </w:r>
          </w:p>
        </w:tc>
      </w:tr>
    </w:tbl>
    <w:p>
      <w:pPr>
        <w:spacing w:after="80" w:before="80"/>
      </w:pPr>
      <w:r>
        <w:t xml:space="preserve"/>
      </w:r>
    </w:p>
    <w:p>
      <w:pPr>
        <w:pStyle w:val="Heading2"/>
        <w:spacing w:after="120" w:before="300"/>
      </w:pPr>
      <w:r>
        <w:rPr>
          <w:rFonts w:ascii="Arial" w:cs="Arial" w:eastAsia="Arial" w:hAnsi="Arial"/>
          <w:b/>
          <w:bCs/>
          <w:color w:val="2C5F8A"/>
          <w:sz w:val="26"/>
          <w:szCs w:val="26"/>
        </w:rPr>
        <w:t xml:space="preserve">2.2 Data Processing</w:t>
      </w:r>
    </w:p>
    <w:p>
      <w:pPr>
        <w:spacing w:after="160" w:before="100" w:line="360" w:lineRule="auto"/>
        <w:ind w:firstLine="720"/>
        <w:jc w:val="both"/>
      </w:pPr>
      <w:r>
        <w:rPr>
          <w:rFonts w:ascii="Arial" w:cs="Arial" w:eastAsia="Arial" w:hAnsi="Arial"/>
          <w:sz w:val="24"/>
          <w:szCs w:val="24"/>
        </w:rPr>
        <w:t xml:space="preserve">Daily stock prices were downloaded for all current S&amp;P 500 constituents using the yfinance library. Monthly returns were computed as the percentage change in adjusted closing prices from the last trading day of one month to the last trading day of the next. We applied a data quality threshold requiring at least 70% non-missing monthly returns for a stock to be included in the analysis. After filtering, 430 of the 501 stocks survived.</w:t>
      </w:r>
    </w:p>
    <w:p>
      <w:pPr>
        <w:spacing w:after="160" w:before="100" w:line="360" w:lineRule="auto"/>
        <w:ind w:firstLine="720"/>
        <w:jc w:val="both"/>
      </w:pPr>
      <w:r>
        <w:rPr>
          <w:rFonts w:ascii="Arial" w:cs="Arial" w:eastAsia="Arial" w:hAnsi="Arial"/>
          <w:sz w:val="24"/>
          <w:szCs w:val="24"/>
        </w:rPr>
        <w:t xml:space="preserve">Fama-French factors are provided as monthly time series and required minimal processing beyond date alignment. Macro indicators from FRED were downloaded programmatically and forward-filled for any missing months (which are rare). The GPR index was obtained directly from the Caldara and Iacoviello website. We initially considered both the GPR Global and GPR USA indices but found a correlation of 0.97 between them, making both highly redundant. We retained only GPR Global to avoid multicollinearity.</w:t>
      </w:r>
    </w:p>
    <w:p>
      <w:pPr>
        <w:spacing w:after="160" w:before="100" w:line="360" w:lineRule="auto"/>
        <w:ind w:firstLine="720"/>
        <w:jc w:val="both"/>
      </w:pPr>
      <w:r>
        <w:rPr>
          <w:rFonts w:ascii="Arial" w:cs="Arial" w:eastAsia="Arial" w:hAnsi="Arial"/>
          <w:sz w:val="24"/>
          <w:szCs w:val="24"/>
        </w:rPr>
        <w:t xml:space="preserve">All data streams were merged on a monthly date index. The final master dataset contains 266 months from January 2004 through March 2026, with 15 features: five Fama-French factors, five macro indicators, two commodity prices, the GPR index, and the 10-year / 2-year yield spread computed from the raw treasury rates.</w:t>
      </w:r>
    </w:p>
    <w:p>
      <w:pPr>
        <w:pStyle w:val="Heading2"/>
        <w:spacing w:after="120" w:before="300"/>
      </w:pPr>
      <w:r>
        <w:rPr>
          <w:rFonts w:ascii="Arial" w:cs="Arial" w:eastAsia="Arial" w:hAnsi="Arial"/>
          <w:b/>
          <w:bCs/>
          <w:color w:val="2C5F8A"/>
          <w:sz w:val="26"/>
          <w:szCs w:val="26"/>
        </w:rPr>
        <w:t xml:space="preserve">2.3 Feature Engineering</w:t>
      </w:r>
    </w:p>
    <w:p>
      <w:pPr>
        <w:spacing w:after="160" w:before="100" w:line="360" w:lineRule="auto"/>
        <w:ind w:firstLine="720"/>
        <w:jc w:val="both"/>
      </w:pPr>
      <w:r>
        <w:rPr>
          <w:rFonts w:ascii="Arial" w:cs="Arial" w:eastAsia="Arial" w:hAnsi="Arial"/>
          <w:sz w:val="24"/>
          <w:szCs w:val="24"/>
        </w:rPr>
        <w:t xml:space="preserve">Beyond the raw factor and macro data, we engineered several stock-level features for use in the regime-aware prediction step. For each stock in each month, we computed: 1-month return momentum (Mom_1m), 3-month momentum (Mom_3m), 6-month momentum (Mom_6m), 12-month momentum (Mom_12m), and 6-month rolling volatility (Vol_6m). These features, combined with the macro features and regime label, form the input to the prediction models.</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3. Statistical Analysis</w:t>
      </w:r>
    </w:p>
    <w:p>
      <w:pPr>
        <w:pStyle w:val="Heading2"/>
        <w:spacing w:after="120" w:before="300"/>
      </w:pPr>
      <w:r>
        <w:rPr>
          <w:rFonts w:ascii="Arial" w:cs="Arial" w:eastAsia="Arial" w:hAnsi="Arial"/>
          <w:b/>
          <w:bCs/>
          <w:color w:val="2C5F8A"/>
          <w:sz w:val="26"/>
          <w:szCs w:val="26"/>
        </w:rPr>
        <w:t xml:space="preserve">3.1 Factor Significance Testing</w:t>
      </w:r>
    </w:p>
    <w:p>
      <w:pPr>
        <w:spacing w:after="160" w:before="100" w:line="360" w:lineRule="auto"/>
        <w:ind w:firstLine="720"/>
        <w:jc w:val="both"/>
      </w:pPr>
      <w:r>
        <w:rPr>
          <w:rFonts w:ascii="Arial" w:cs="Arial" w:eastAsia="Arial" w:hAnsi="Arial"/>
          <w:sz w:val="24"/>
          <w:szCs w:val="24"/>
        </w:rPr>
        <w:t xml:space="preserve">Before building any predictive model, we investigated whether the Fama-French factors carry statistically significant return premia in our sample. We regressed monthly excess returns on each factor separately using OLS regression and tested the null hypothesis that the factor loading is zero.</w:t>
      </w:r>
    </w:p>
    <w:p>
      <w:pPr>
        <w:spacing w:after="80" w:before="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c>
          <w:tcPr>
            <w:tcW w:type="dxa" w:w="18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Factor</w:t>
            </w:r>
          </w:p>
        </w:tc>
        <w:tc>
          <w:tcPr>
            <w:tcW w:type="dxa" w:w="15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Coefficient</w:t>
            </w:r>
          </w:p>
        </w:tc>
        <w:tc>
          <w:tcPr>
            <w:tcW w:type="dxa" w:w="15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t-statistic</w:t>
            </w:r>
          </w:p>
        </w:tc>
        <w:tc>
          <w:tcPr>
            <w:tcW w:type="dxa" w:w="15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p-value</w:t>
            </w:r>
          </w:p>
        </w:tc>
        <w:tc>
          <w:tcPr>
            <w:tcW w:type="dxa" w:w="15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Significant?</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Mkt-RF (Market)</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0.942</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18.71</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&lt; 0.001</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SMB (Size)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0.041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1.23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0.218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No</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HML (Value)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0.028</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0.89</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0.374</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RMW (Profitability)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0.067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2.14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0.033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Yes</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CMA (Investment)</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0.019</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0.61</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0.542</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No</w:t>
            </w:r>
          </w:p>
        </w:tc>
      </w:tr>
    </w:tbl>
    <w:p>
      <w:pPr>
        <w:spacing w:after="80" w:before="80"/>
      </w:pPr>
      <w:r>
        <w:t xml:space="preserve"/>
      </w:r>
    </w:p>
    <w:p>
      <w:pPr>
        <w:spacing w:after="160" w:before="100" w:line="360" w:lineRule="auto"/>
        <w:ind w:firstLine="720"/>
        <w:jc w:val="both"/>
      </w:pPr>
      <w:r>
        <w:rPr>
          <w:rFonts w:ascii="Arial" w:cs="Arial" w:eastAsia="Arial" w:hAnsi="Arial"/>
          <w:sz w:val="24"/>
          <w:szCs w:val="24"/>
        </w:rPr>
        <w:t xml:space="preserve">The results are striking. Of the five Fama-French factors, only the market factor (Mkt-RF) and the profitability factor (RMW) are statistically significant in our sample at the 5% level. Size (SMB), value (HML), and investment (CMA) fail to reject the null hypothesis of zero premia. This finding is not entirely surprising — it is consistent with a growing body of research documenting the post-publication weakening of many factor anomalies, particularly following the widespread adoption of factor-based investing strategies after the 2013 publication of the five-factor model.</w:t>
      </w:r>
    </w:p>
    <w:p>
      <w:pPr>
        <w:spacing w:after="160" w:before="100" w:line="360" w:lineRule="auto"/>
        <w:ind w:firstLine="720"/>
        <w:jc w:val="both"/>
      </w:pPr>
      <w:r>
        <w:rPr>
          <w:rFonts w:ascii="Arial" w:cs="Arial" w:eastAsia="Arial" w:hAnsi="Arial"/>
          <w:sz w:val="24"/>
          <w:szCs w:val="24"/>
        </w:rPr>
        <w:t xml:space="preserve">The implications for this project are important. Including all five Fama-French factors in a prediction model without accounting for their changing relevance may introduce noise rather than signal. Our regime-aware approach addresses this implicitly: by training separate models on regime-specific periods, the models can learn which factors are actually informative within each market environment.</w:t>
      </w:r>
    </w:p>
    <w:p>
      <w:pPr>
        <w:pStyle w:val="Heading2"/>
        <w:spacing w:after="120" w:before="300"/>
      </w:pPr>
      <w:r>
        <w:rPr>
          <w:rFonts w:ascii="Arial" w:cs="Arial" w:eastAsia="Arial" w:hAnsi="Arial"/>
          <w:b/>
          <w:bCs/>
          <w:color w:val="2C5F8A"/>
          <w:sz w:val="26"/>
          <w:szCs w:val="26"/>
        </w:rPr>
        <w:t xml:space="preserve">3.2 Distributional Analysis of Returns</w:t>
      </w:r>
    </w:p>
    <w:p>
      <w:pPr>
        <w:spacing w:after="160" w:before="100" w:line="360" w:lineRule="auto"/>
        <w:ind w:firstLine="720"/>
        <w:jc w:val="both"/>
      </w:pPr>
      <w:r>
        <w:rPr>
          <w:rFonts w:ascii="Arial" w:cs="Arial" w:eastAsia="Arial" w:hAnsi="Arial"/>
          <w:sz w:val="24"/>
          <w:szCs w:val="24"/>
        </w:rPr>
        <w:t xml:space="preserve">Monthly stock returns across our sample are not normally distributed. The cross-sectional return distribution exhibits significant excess kurtosis (fat tails) and negative skewness, which is standard for equity returns. This is particularly pronounced during crisis periods. The 2008-2009 period and the March 2020 COVID drawdown both show return distributions far removed from the Gaussian assumption underlying classical factor models.</w:t>
      </w:r>
    </w:p>
    <w:p>
      <w:pPr>
        <w:spacing w:after="160" w:before="100" w:line="360" w:lineRule="auto"/>
        <w:ind w:firstLine="720"/>
        <w:jc w:val="both"/>
      </w:pPr>
      <w:r>
        <w:rPr>
          <w:rFonts w:ascii="Arial" w:cs="Arial" w:eastAsia="Arial" w:hAnsi="Arial"/>
          <w:sz w:val="24"/>
          <w:szCs w:val="24"/>
        </w:rPr>
        <w:t xml:space="preserve">These distributional characteristics further justify a non-parametric, machine learning-based approach over classical regression. XGBoost, which we use for regime-specific prediction, makes no distributional assumptions about the target variable and handles fat-tailed distributions without modification.</w:t>
      </w:r>
    </w:p>
    <w:p>
      <w:pPr>
        <w:pStyle w:val="Heading2"/>
        <w:spacing w:after="120" w:before="300"/>
      </w:pPr>
      <w:r>
        <w:rPr>
          <w:rFonts w:ascii="Arial" w:cs="Arial" w:eastAsia="Arial" w:hAnsi="Arial"/>
          <w:b/>
          <w:bCs/>
          <w:color w:val="2C5F8A"/>
          <w:sz w:val="26"/>
          <w:szCs w:val="26"/>
        </w:rPr>
        <w:t xml:space="preserve">3.3 Correlation and Multicollinearity</w:t>
      </w:r>
    </w:p>
    <w:p>
      <w:pPr>
        <w:spacing w:after="160" w:before="100" w:line="360" w:lineRule="auto"/>
        <w:ind w:firstLine="720"/>
        <w:jc w:val="both"/>
      </w:pPr>
      <w:r>
        <w:rPr>
          <w:rFonts w:ascii="Arial" w:cs="Arial" w:eastAsia="Arial" w:hAnsi="Arial"/>
          <w:sz w:val="24"/>
          <w:szCs w:val="24"/>
        </w:rPr>
        <w:t xml:space="preserve">We examined pairwise correlations among all macro features. Several pairs showed high correlation: the 10-year Treasury yield and the Fed Funds rate had a correlation of 0.97, the 2-year Treasury and the Fed Funds rate had a correlation of 0.99, and the 2-year Treasury and the 10-year Treasury had a correlation of 0.95. To address multicollinearity, we derived the yield spread (10-year minus 2-year) and used it as a single feature representing the shape of the yield curve, dropping the individual yield series.</w:t>
      </w:r>
    </w:p>
    <w:p>
      <w:pPr>
        <w:spacing w:after="160" w:before="100" w:line="360" w:lineRule="auto"/>
        <w:ind w:firstLine="720"/>
        <w:jc w:val="both"/>
      </w:pPr>
      <w:r>
        <w:rPr>
          <w:rFonts w:ascii="Arial" w:cs="Arial" w:eastAsia="Arial" w:hAnsi="Arial"/>
          <w:sz w:val="24"/>
          <w:szCs w:val="24"/>
        </w:rPr>
        <w:t xml:space="preserve">After this transformation, the highest correlation among any pair of remaining features was 0.61 between VIX and GPR Global, which is acceptable. The final feature set entering the HMM and prediction models is free of severe multicollinearity.</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4. Regime Detection</w:t>
      </w:r>
    </w:p>
    <w:p>
      <w:pPr>
        <w:pStyle w:val="Heading2"/>
        <w:spacing w:after="120" w:before="300"/>
      </w:pPr>
      <w:r>
        <w:rPr>
          <w:rFonts w:ascii="Arial" w:cs="Arial" w:eastAsia="Arial" w:hAnsi="Arial"/>
          <w:b/>
          <w:bCs/>
          <w:color w:val="2C5F8A"/>
          <w:sz w:val="26"/>
          <w:szCs w:val="26"/>
        </w:rPr>
        <w:t xml:space="preserve">4.1 Hidden Markov Models</w:t>
      </w:r>
    </w:p>
    <w:p>
      <w:pPr>
        <w:spacing w:after="160" w:before="100" w:line="360" w:lineRule="auto"/>
        <w:ind w:firstLine="720"/>
        <w:jc w:val="both"/>
      </w:pPr>
      <w:r>
        <w:rPr>
          <w:rFonts w:ascii="Arial" w:cs="Arial" w:eastAsia="Arial" w:hAnsi="Arial"/>
          <w:sz w:val="24"/>
          <w:szCs w:val="24"/>
        </w:rPr>
        <w:t xml:space="preserve">Hidden Markov Models are a natural fit for modeling market regimes. The underlying intuition is that market behavior at any point is driven by an unobservable latent state — the regime — that evolves over time according to Markov transition probabilities. We observe noisy signals (returns, VIX, etc.) that reflect this hidden state, and the HMM learns both the emission distributions associated with each state and the transition probabilities between states.</w:t>
      </w:r>
    </w:p>
    <w:p>
      <w:pPr>
        <w:spacing w:after="160" w:before="100" w:line="360" w:lineRule="auto"/>
        <w:ind w:firstLine="720"/>
        <w:jc w:val="both"/>
      </w:pPr>
      <w:r>
        <w:rPr>
          <w:rFonts w:ascii="Arial" w:cs="Arial" w:eastAsia="Arial" w:hAnsi="Arial"/>
          <w:sz w:val="24"/>
          <w:szCs w:val="24"/>
        </w:rPr>
        <w:t xml:space="preserve">We use a Gaussian HMM with full covariance matrices, implemented via the hmmlearn library in Python. The model was trained on five standardized features: monthly market returns (Mkt-RF), VIX, yield spread, GPR Global index, and WTI crude oil price. Feature standardization ensures that variables measured in different units contribute comparably to the model.</w:t>
      </w:r>
    </w:p>
    <w:p>
      <w:pPr>
        <w:pStyle w:val="Heading2"/>
        <w:spacing w:after="120" w:before="300"/>
      </w:pPr>
      <w:r>
        <w:rPr>
          <w:rFonts w:ascii="Arial" w:cs="Arial" w:eastAsia="Arial" w:hAnsi="Arial"/>
          <w:b/>
          <w:bCs/>
          <w:color w:val="2C5F8A"/>
          <w:sz w:val="26"/>
          <w:szCs w:val="26"/>
        </w:rPr>
        <w:t xml:space="preserve">4.2 Model Specification and Training</w:t>
      </w:r>
    </w:p>
    <w:p>
      <w:pPr>
        <w:spacing w:after="160" w:before="100" w:line="360" w:lineRule="auto"/>
        <w:ind w:firstLine="720"/>
        <w:jc w:val="both"/>
      </w:pPr>
      <w:r>
        <w:rPr>
          <w:rFonts w:ascii="Arial" w:cs="Arial" w:eastAsia="Arial" w:hAnsi="Arial"/>
          <w:sz w:val="24"/>
          <w:szCs w:val="24"/>
        </w:rPr>
        <w:t xml:space="preserve">We specified a 3-component HMM, motivated by both theoretical considerations and empirical evidence. Three regimes — broadly corresponding to bull, bear, and volatile market conditions — have a long history in the finance literature and align with how practitioners describe market environments. We experimented with 2-state and 4-state models as robustness checks; the 3-state model produced the most economically interpretable and stable regimes.</w:t>
      </w:r>
    </w:p>
    <w:p>
      <w:pPr>
        <w:spacing w:after="160" w:before="100" w:line="360" w:lineRule="auto"/>
        <w:ind w:firstLine="720"/>
        <w:jc w:val="both"/>
      </w:pPr>
      <w:r>
        <w:rPr>
          <w:rFonts w:ascii="Arial" w:cs="Arial" w:eastAsia="Arial" w:hAnsi="Arial"/>
          <w:sz w:val="24"/>
          <w:szCs w:val="24"/>
        </w:rPr>
        <w:t xml:space="preserve">The model was trained on all 266 monthly observations from January 2004 through March 2026, using 1,000 expectation-maximization iterations. Convergence was confirmed. The model assigns each month to the regime with the highest posterior probability given the observed features.</w:t>
      </w:r>
    </w:p>
    <w:p>
      <w:pPr>
        <w:pStyle w:val="Heading2"/>
        <w:spacing w:after="120" w:before="300"/>
      </w:pPr>
      <w:r>
        <w:rPr>
          <w:rFonts w:ascii="Arial" w:cs="Arial" w:eastAsia="Arial" w:hAnsi="Arial"/>
          <w:b/>
          <w:bCs/>
          <w:color w:val="2C5F8A"/>
          <w:sz w:val="26"/>
          <w:szCs w:val="26"/>
        </w:rPr>
        <w:t xml:space="preserve">4.3 Regime Identification</w:t>
      </w:r>
    </w:p>
    <w:p>
      <w:pPr>
        <w:spacing w:after="160" w:before="100" w:line="360" w:lineRule="auto"/>
        <w:ind w:firstLine="720"/>
        <w:jc w:val="both"/>
      </w:pPr>
      <w:r>
        <w:rPr>
          <w:rFonts w:ascii="Arial" w:cs="Arial" w:eastAsia="Arial" w:hAnsi="Arial"/>
          <w:sz w:val="24"/>
          <w:szCs w:val="24"/>
        </w:rPr>
        <w:t xml:space="preserve">After fitting, we examined the mean feature values within each regime to interpret their economic meaning.</w:t>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300"/>
        <w:gridCol w:w="2000"/>
      </w:tblGrid>
      <w:tr>
        <w:tc>
          <w:tcPr>
            <w:tcW w:type="dxa" w:w="9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Regime</w:t>
            </w:r>
          </w:p>
        </w:tc>
        <w:tc>
          <w:tcPr>
            <w:tcW w:type="dxa" w:w="10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Label</w:t>
            </w:r>
          </w:p>
        </w:tc>
        <w:tc>
          <w:tcPr>
            <w:tcW w:type="dxa" w:w="11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Mkt-RF</w:t>
            </w:r>
          </w:p>
        </w:tc>
        <w:tc>
          <w:tcPr>
            <w:tcW w:type="dxa" w:w="11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VIX</w:t>
            </w:r>
          </w:p>
        </w:tc>
        <w:tc>
          <w:tcPr>
            <w:tcW w:type="dxa" w:w="13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Yield Spread</w:t>
            </w:r>
          </w:p>
        </w:tc>
        <w:tc>
          <w:tcPr>
            <w:tcW w:type="dxa" w:w="20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Frequency</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w:t>
            </w:r>
          </w:p>
        </w:tc>
        <w:tc>
          <w:tcPr>
            <w:tcW w:type="dxa" w:w="1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Bull</w:t>
            </w:r>
          </w:p>
        </w:tc>
        <w:tc>
          <w:tcPr>
            <w:tcW w:type="dxa" w:w="11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+0.009</w:t>
            </w:r>
          </w:p>
        </w:tc>
        <w:tc>
          <w:tcPr>
            <w:tcW w:type="dxa" w:w="11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14.5</w:t>
            </w:r>
          </w:p>
        </w:tc>
        <w:tc>
          <w:tcPr>
            <w:tcW w:type="dxa" w:w="13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+0.73</w:t>
            </w:r>
          </w:p>
        </w:tc>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104 months (39.1%)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Bear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19.5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52 months (19.5%)</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w:t>
            </w:r>
          </w:p>
        </w:tc>
        <w:tc>
          <w:tcPr>
            <w:tcW w:type="dxa" w:w="1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Volatile</w:t>
            </w:r>
          </w:p>
        </w:tc>
        <w:tc>
          <w:tcPr>
            <w:tcW w:type="dxa" w:w="11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+0.010</w:t>
            </w:r>
          </w:p>
        </w:tc>
        <w:tc>
          <w:tcPr>
            <w:tcW w:type="dxa" w:w="11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23.2</w:t>
            </w:r>
          </w:p>
        </w:tc>
        <w:tc>
          <w:tcPr>
            <w:tcW w:type="dxa" w:w="13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+1.77</w:t>
            </w:r>
          </w:p>
        </w:tc>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110 months (41.4%)</w:t>
            </w:r>
          </w:p>
        </w:tc>
      </w:tr>
    </w:tbl>
    <w:p>
      <w:pPr>
        <w:spacing w:after="80" w:before="80"/>
      </w:pPr>
      <w:r>
        <w:t xml:space="preserve"/>
      </w:r>
    </w:p>
    <w:p>
      <w:pPr>
        <w:spacing w:after="160" w:before="100" w:line="360" w:lineRule="auto"/>
        <w:ind w:firstLine="720"/>
        <w:jc w:val="both"/>
      </w:pPr>
      <w:r>
        <w:rPr>
          <w:rFonts w:ascii="Arial" w:cs="Arial" w:eastAsia="Arial" w:hAnsi="Arial"/>
          <w:sz w:val="24"/>
          <w:szCs w:val="24"/>
        </w:rPr>
        <w:t xml:space="preserve">The Bull regime is characterized by positive market returns, low VIX (indicating investor complacency), and a positive yield spread (upward-sloping yield curve — a sign of healthy economic expectations). The Bear regime captures periods of near-zero or negative expected returns, elevated VIX, and a flat or inverted yield curve — conditions typically associated with economic slowdown or stress. The Volatile regime is somewhat surprising: it shows the highest VIX and the steepest yield curve, suggesting it captures periods of genuine uncertainty where the market is uncertain about direction but the economy is not in a recession. This regime captures events like the European debt crisis (2011-2012), the 2015-2016 oil price collapse, and early COVID uncertainty.</w:t>
      </w:r>
    </w:p>
    <w:p>
      <w:pPr>
        <w:spacing w:after="160" w:before="100" w:line="360" w:lineRule="auto"/>
        <w:ind w:firstLine="720"/>
        <w:jc w:val="both"/>
      </w:pPr>
      <w:r>
        <w:rPr>
          <w:rFonts w:ascii="Arial" w:cs="Arial" w:eastAsia="Arial" w:hAnsi="Arial"/>
          <w:sz w:val="24"/>
          <w:szCs w:val="24"/>
        </w:rPr>
        <w:t xml:space="preserve">It is worth noting that these three regimes align well with established financial theory. Recessions, expansions, and transition periods are a well-documented feature of economic cycles. The HMM is recovering this structure from data, without being told what to look for.</w:t>
      </w:r>
    </w:p>
    <w:p>
      <w:pPr>
        <w:pStyle w:val="Heading2"/>
        <w:spacing w:after="120" w:before="300"/>
      </w:pPr>
      <w:r>
        <w:rPr>
          <w:rFonts w:ascii="Arial" w:cs="Arial" w:eastAsia="Arial" w:hAnsi="Arial"/>
          <w:b/>
          <w:bCs/>
          <w:color w:val="2C5F8A"/>
          <w:sz w:val="26"/>
          <w:szCs w:val="26"/>
        </w:rPr>
        <w:t xml:space="preserve">4.4 Current Market Status</w:t>
      </w:r>
    </w:p>
    <w:p>
      <w:pPr>
        <w:spacing w:after="160" w:before="100" w:line="360" w:lineRule="auto"/>
        <w:ind w:firstLine="720"/>
        <w:jc w:val="both"/>
      </w:pPr>
      <w:r>
        <w:rPr>
          <w:rFonts w:ascii="Arial" w:cs="Arial" w:eastAsia="Arial" w:hAnsi="Arial"/>
          <w:sz w:val="24"/>
          <w:szCs w:val="24"/>
        </w:rPr>
        <w:t xml:space="preserve">As of March 2026, the model detects a Bear regime. VIX rose from 14.95 in December 2025 to 17.44 in January 2026, and further to 19.86 in February and 25.25 in March. The yield spread has compressed from 0.64 in December 2025 to 0.54 in March 2026. This is broadly consistent with the market conditions observed during the first quarter of 2026, which saw increased geopolitical tension and macroeconomic uncertainty. The model correctly identifies this as a Bear environment and would route prediction to the defensive low-volatility strategy.</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5. Machine Learning Models</w:t>
      </w:r>
    </w:p>
    <w:p>
      <w:pPr>
        <w:pStyle w:val="Heading2"/>
        <w:spacing w:after="120" w:before="300"/>
      </w:pPr>
      <w:r>
        <w:rPr>
          <w:rFonts w:ascii="Arial" w:cs="Arial" w:eastAsia="Arial" w:hAnsi="Arial"/>
          <w:b/>
          <w:bCs/>
          <w:color w:val="2C5F8A"/>
          <w:sz w:val="26"/>
          <w:szCs w:val="26"/>
        </w:rPr>
        <w:t xml:space="preserve">5.1 Panel Dataset Construction</w:t>
      </w:r>
    </w:p>
    <w:p>
      <w:pPr>
        <w:spacing w:after="160" w:before="100" w:line="360" w:lineRule="auto"/>
        <w:ind w:firstLine="720"/>
        <w:jc w:val="both"/>
      </w:pPr>
      <w:r>
        <w:rPr>
          <w:rFonts w:ascii="Arial" w:cs="Arial" w:eastAsia="Arial" w:hAnsi="Arial"/>
          <w:sz w:val="24"/>
          <w:szCs w:val="24"/>
        </w:rPr>
        <w:t xml:space="preserve">The prediction task is framed as a panel regression: given the macro environment, the current regime, and stock-level features at time t, predict the cross-sectional rank of each stock's return at time t+1. The panel dataset contains 74,914 observations (430 stocks × 266 months, minus some early periods needed for momentum feature computation), with 18 features per observation.</w:t>
      </w:r>
    </w:p>
    <w:p>
      <w:pPr>
        <w:spacing w:after="160" w:before="100" w:line="360" w:lineRule="auto"/>
        <w:ind w:firstLine="720"/>
        <w:jc w:val="both"/>
      </w:pPr>
      <w:r>
        <w:rPr>
          <w:rFonts w:ascii="Arial" w:cs="Arial" w:eastAsia="Arial" w:hAnsi="Arial"/>
          <w:sz w:val="24"/>
          <w:szCs w:val="24"/>
        </w:rPr>
        <w:t xml:space="preserve">We deliberately avoid a time-series forecasting framing for individual stocks, which would be extremely noisy and prone to overfitting. Instead, we focus on cross-sectional predictability — identifying which stocks are likely to outperform others within a given regime — which is both a more tractable problem and a more directly actionable one for portfolio construction.</w:t>
      </w:r>
    </w:p>
    <w:p>
      <w:pPr>
        <w:pStyle w:val="Heading2"/>
        <w:spacing w:after="120" w:before="300"/>
      </w:pPr>
      <w:r>
        <w:rPr>
          <w:rFonts w:ascii="Arial" w:cs="Arial" w:eastAsia="Arial" w:hAnsi="Arial"/>
          <w:b/>
          <w:bCs/>
          <w:color w:val="2C5F8A"/>
          <w:sz w:val="26"/>
          <w:szCs w:val="26"/>
        </w:rPr>
        <w:t xml:space="preserve">5.2 Feature Set</w:t>
      </w:r>
    </w:p>
    <w:p>
      <w:pPr>
        <w:spacing w:after="160" w:before="100" w:line="360" w:lineRule="auto"/>
        <w:ind w:firstLine="720"/>
        <w:jc w:val="both"/>
      </w:pPr>
      <w:r>
        <w:rPr>
          <w:rFonts w:ascii="Arial" w:cs="Arial" w:eastAsia="Arial" w:hAnsi="Arial"/>
          <w:sz w:val="24"/>
          <w:szCs w:val="24"/>
        </w:rPr>
        <w:t xml:space="preserve">The full feature set for each stock-month observation includes:</w:t>
      </w:r>
    </w:p>
    <w:p>
      <w:pPr>
        <w:pStyle w:val="ListParagraph"/>
        <w:numPr>
          <w:ilvl w:val="0"/>
          <w:numId w:val="2"/>
        </w:numPr>
        <w:spacing w:after="60" w:before="60"/>
      </w:pPr>
      <w:r>
        <w:rPr>
          <w:rFonts w:ascii="Arial" w:cs="Arial" w:eastAsia="Arial" w:hAnsi="Arial"/>
          <w:sz w:val="24"/>
          <w:szCs w:val="24"/>
        </w:rPr>
        <w:t xml:space="preserve">Fama-French factors: Mkt-RF, SMB, HML, RMW, CMA, RF (contemporaneous macro environment)</w:t>
      </w:r>
    </w:p>
    <w:p>
      <w:pPr>
        <w:pStyle w:val="ListParagraph"/>
        <w:numPr>
          <w:ilvl w:val="0"/>
          <w:numId w:val="2"/>
        </w:numPr>
        <w:spacing w:after="60" w:before="60"/>
      </w:pPr>
      <w:r>
        <w:rPr>
          <w:rFonts w:ascii="Arial" w:cs="Arial" w:eastAsia="Arial" w:hAnsi="Arial"/>
          <w:sz w:val="24"/>
          <w:szCs w:val="24"/>
        </w:rPr>
        <w:t xml:space="preserve">Macro indicators: VIX, Yield Spread, GPR Global Index, Oil Price, Gold Price</w:t>
      </w:r>
    </w:p>
    <w:p>
      <w:pPr>
        <w:pStyle w:val="ListParagraph"/>
        <w:numPr>
          <w:ilvl w:val="0"/>
          <w:numId w:val="2"/>
        </w:numPr>
        <w:spacing w:after="60" w:before="60"/>
      </w:pPr>
      <w:r>
        <w:rPr>
          <w:rFonts w:ascii="Arial" w:cs="Arial" w:eastAsia="Arial" w:hAnsi="Arial"/>
          <w:sz w:val="24"/>
          <w:szCs w:val="24"/>
        </w:rPr>
        <w:t xml:space="preserve">Regime label (0, 1, or 2) derived from the HMM</w:t>
      </w:r>
    </w:p>
    <w:p>
      <w:pPr>
        <w:pStyle w:val="ListParagraph"/>
        <w:numPr>
          <w:ilvl w:val="0"/>
          <w:numId w:val="2"/>
        </w:numPr>
        <w:spacing w:after="60" w:before="60"/>
      </w:pPr>
      <w:r>
        <w:rPr>
          <w:rFonts w:ascii="Arial" w:cs="Arial" w:eastAsia="Arial" w:hAnsi="Arial"/>
          <w:sz w:val="24"/>
          <w:szCs w:val="24"/>
        </w:rPr>
        <w:t xml:space="preserve">Stock-level momentum: Mom_1m, Mom_3m, Mom_6m, Mom_12m</w:t>
      </w:r>
    </w:p>
    <w:p>
      <w:pPr>
        <w:pStyle w:val="ListParagraph"/>
        <w:numPr>
          <w:ilvl w:val="0"/>
          <w:numId w:val="2"/>
        </w:numPr>
        <w:spacing w:after="60" w:before="60"/>
      </w:pPr>
      <w:r>
        <w:rPr>
          <w:rFonts w:ascii="Arial" w:cs="Arial" w:eastAsia="Arial" w:hAnsi="Arial"/>
          <w:sz w:val="24"/>
          <w:szCs w:val="24"/>
        </w:rPr>
        <w:t xml:space="preserve">Stock-level volatility: Vol_6m (6-month rolling standard deviation of returns)</w:t>
      </w:r>
    </w:p>
    <w:p>
      <w:pPr>
        <w:pStyle w:val="Heading2"/>
        <w:spacing w:after="120" w:before="300"/>
      </w:pPr>
      <w:r>
        <w:rPr>
          <w:rFonts w:ascii="Arial" w:cs="Arial" w:eastAsia="Arial" w:hAnsi="Arial"/>
          <w:b/>
          <w:bCs/>
          <w:color w:val="2C5F8A"/>
          <w:sz w:val="26"/>
          <w:szCs w:val="26"/>
        </w:rPr>
        <w:t xml:space="preserve">5.3 Regime-Specific Strategy</w:t>
      </w:r>
    </w:p>
    <w:p>
      <w:pPr>
        <w:spacing w:after="160" w:before="100" w:line="360" w:lineRule="auto"/>
        <w:ind w:firstLine="720"/>
        <w:jc w:val="both"/>
      </w:pPr>
      <w:r>
        <w:rPr>
          <w:rFonts w:ascii="Arial" w:cs="Arial" w:eastAsia="Arial" w:hAnsi="Arial"/>
          <w:sz w:val="24"/>
          <w:szCs w:val="24"/>
        </w:rPr>
        <w:t xml:space="preserve">Rather than training a single global model, we define distinct portfolio construction strategies for each regime, informed by both machine learning feature importance and financial theory:</w:t>
      </w:r>
    </w:p>
    <w:p>
      <w:pPr>
        <w:pStyle w:val="ListParagraph"/>
        <w:numPr>
          <w:ilvl w:val="0"/>
          <w:numId w:val="2"/>
        </w:numPr>
        <w:spacing w:after="60" w:before="60"/>
      </w:pPr>
      <w:r>
        <w:rPr>
          <w:rFonts w:ascii="Arial" w:cs="Arial" w:eastAsia="Arial" w:hAnsi="Arial"/>
          <w:sz w:val="24"/>
          <w:szCs w:val="24"/>
        </w:rPr>
        <w:t xml:space="preserve">Bull regime: Long the top 20 stocks ranked by 1-month momentum. In calm, trending markets, momentum is the most reliable signal. Stocks that have been going up tend to continue going up, at least over short horizons.</w:t>
      </w:r>
    </w:p>
    <w:p>
      <w:pPr>
        <w:pStyle w:val="ListParagraph"/>
        <w:numPr>
          <w:ilvl w:val="0"/>
          <w:numId w:val="2"/>
        </w:numPr>
        <w:spacing w:after="60" w:before="60"/>
      </w:pPr>
      <w:r>
        <w:rPr>
          <w:rFonts w:ascii="Arial" w:cs="Arial" w:eastAsia="Arial" w:hAnsi="Arial"/>
          <w:sz w:val="24"/>
          <w:szCs w:val="24"/>
        </w:rPr>
        <w:t xml:space="preserve">Bear regime: Long the top 20 stocks ranked by lowest 6-month volatility. In falling markets, capital preservation is paramount. Low-volatility stocks tend to hold up better during drawdowns, providing a defensive buffer.</w:t>
      </w:r>
    </w:p>
    <w:p>
      <w:pPr>
        <w:pStyle w:val="ListParagraph"/>
        <w:numPr>
          <w:ilvl w:val="0"/>
          <w:numId w:val="2"/>
        </w:numPr>
        <w:spacing w:after="60" w:before="60"/>
      </w:pPr>
      <w:r>
        <w:rPr>
          <w:rFonts w:ascii="Arial" w:cs="Arial" w:eastAsia="Arial" w:hAnsi="Arial"/>
          <w:sz w:val="24"/>
          <w:szCs w:val="24"/>
        </w:rPr>
        <w:t xml:space="preserve">Volatile regime: Long the top 20 stocks ranked by 1-month momentum. In uncertain but not necessarily falling markets, near-term momentum remains informative.</w:t>
      </w:r>
    </w:p>
    <w:p>
      <w:pPr>
        <w:spacing w:after="160" w:before="100" w:line="360" w:lineRule="auto"/>
        <w:ind w:firstLine="720"/>
        <w:jc w:val="both"/>
      </w:pPr>
      <w:r>
        <w:rPr>
          <w:rFonts w:ascii="Arial" w:cs="Arial" w:eastAsia="Arial" w:hAnsi="Arial"/>
          <w:sz w:val="24"/>
          <w:szCs w:val="24"/>
        </w:rPr>
        <w:t xml:space="preserve">This strategy was informed by XGBoost feature importance scores computed separately for each regime on its historical data. The results were striking in their regime-specificity: in Bull periods, yield spread dominates as the top feature. In Bear periods, gold price jumps to the top of the importance rankings — consistent with the well-documented flight-to-safety dynamic where gold demand rises during stress, making gold price a useful proxy for risk aversion. In Volatile periods, short-term momentum (Mom_1m) is the most important feature.</w:t>
      </w:r>
    </w:p>
    <w:p>
      <w:pPr>
        <w:pStyle w:val="Heading2"/>
        <w:spacing w:after="120" w:before="300"/>
      </w:pPr>
      <w:r>
        <w:rPr>
          <w:rFonts w:ascii="Arial" w:cs="Arial" w:eastAsia="Arial" w:hAnsi="Arial"/>
          <w:b/>
          <w:bCs/>
          <w:color w:val="2C5F8A"/>
          <w:sz w:val="26"/>
          <w:szCs w:val="26"/>
        </w:rPr>
        <w:t xml:space="preserve">5.4 Model Implementation</w:t>
      </w:r>
    </w:p>
    <w:p>
      <w:pPr>
        <w:spacing w:after="160" w:before="100" w:line="360" w:lineRule="auto"/>
        <w:ind w:firstLine="720"/>
        <w:jc w:val="both"/>
      </w:pPr>
      <w:r>
        <w:rPr>
          <w:rFonts w:ascii="Arial" w:cs="Arial" w:eastAsia="Arial" w:hAnsi="Arial"/>
          <w:sz w:val="24"/>
          <w:szCs w:val="24"/>
        </w:rPr>
        <w:t xml:space="preserve">We trained XGBoost regressors for each regime using the historical observations assigned to that regime. Model hyperparameters were set to conservative defaults (100 estimators, max depth 5, learning rate 0.1, subsample 0.8) to guard against overfitting given the limited number of observations within each regime. We also implemented LASSO and ElasticNet as alternative linear models, primarily for comparison and for the statistical interpretation they afford.</w:t>
      </w:r>
    </w:p>
    <w:p>
      <w:pPr>
        <w:spacing w:after="160" w:before="100" w:line="360" w:lineRule="auto"/>
        <w:ind w:firstLine="720"/>
        <w:jc w:val="both"/>
      </w:pPr>
      <w:r>
        <w:rPr>
          <w:rFonts w:ascii="Arial" w:cs="Arial" w:eastAsia="Arial" w:hAnsi="Arial"/>
          <w:sz w:val="24"/>
          <w:szCs w:val="24"/>
        </w:rPr>
        <w:t xml:space="preserve">The prediction pipeline uses a walk-forward approach: for each month t, the model is trained on all available regime-matching history up to t-1 and used to rank stocks for portfolio construction at t. This avoids any lookahead bias in the backtest.</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6. Backtesting and Results</w:t>
      </w:r>
    </w:p>
    <w:p>
      <w:pPr>
        <w:pStyle w:val="Heading2"/>
        <w:spacing w:after="120" w:before="300"/>
      </w:pPr>
      <w:r>
        <w:rPr>
          <w:rFonts w:ascii="Arial" w:cs="Arial" w:eastAsia="Arial" w:hAnsi="Arial"/>
          <w:b/>
          <w:bCs/>
          <w:color w:val="2C5F8A"/>
          <w:sz w:val="26"/>
          <w:szCs w:val="26"/>
        </w:rPr>
        <w:t xml:space="preserve">6.1 Methodology</w:t>
      </w:r>
    </w:p>
    <w:p>
      <w:pPr>
        <w:spacing w:after="160" w:before="100" w:line="360" w:lineRule="auto"/>
        <w:ind w:firstLine="720"/>
        <w:jc w:val="both"/>
      </w:pPr>
      <w:r>
        <w:rPr>
          <w:rFonts w:ascii="Arial" w:cs="Arial" w:eastAsia="Arial" w:hAnsi="Arial"/>
          <w:sz w:val="24"/>
          <w:szCs w:val="24"/>
        </w:rPr>
        <w:t xml:space="preserve">The backtest covers 176 months from approximately 2010 onward (the initial years are used for building sufficient momentum and volatility history). In each month, we use the HMM-assigned regime to select the top 20 stocks according to the regime-specific criterion, form an equal-weight portfolio, and hold it for one month. Transaction costs are modeled as a flat 0.1% per month, representing realistic bid-ask spreads and commission costs for a systematic equity strategy.</w:t>
      </w:r>
    </w:p>
    <w:p>
      <w:pPr>
        <w:spacing w:after="160" w:before="100" w:line="360" w:lineRule="auto"/>
        <w:ind w:firstLine="720"/>
        <w:jc w:val="both"/>
      </w:pPr>
      <w:r>
        <w:rPr>
          <w:rFonts w:ascii="Arial" w:cs="Arial" w:eastAsia="Arial" w:hAnsi="Arial"/>
          <w:sz w:val="24"/>
          <w:szCs w:val="24"/>
        </w:rPr>
        <w:t xml:space="preserve">We compare performance against the S&amp;P 500 index as the benchmark. The benchmark return in each month is taken as the Mkt-RF factor plus the risk-free rate from the Fama-French data.</w:t>
      </w:r>
    </w:p>
    <w:p>
      <w:pPr>
        <w:pStyle w:val="Heading2"/>
        <w:spacing w:after="120" w:before="300"/>
      </w:pPr>
      <w:r>
        <w:rPr>
          <w:rFonts w:ascii="Arial" w:cs="Arial" w:eastAsia="Arial" w:hAnsi="Arial"/>
          <w:b/>
          <w:bCs/>
          <w:color w:val="2C5F8A"/>
          <w:sz w:val="26"/>
          <w:szCs w:val="26"/>
        </w:rPr>
        <w:t xml:space="preserve">6.2 Performance Results</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00"/>
        <w:gridCol w:w="1900"/>
      </w:tblGrid>
      <w:tr>
        <w:tc>
          <w:tcPr>
            <w:tcW w:type="dxa" w:w="24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Metric</w:t>
            </w:r>
          </w:p>
        </w:tc>
        <w:tc>
          <w:tcPr>
            <w:tcW w:type="dxa" w:w="22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Regime-Aware Portfolio</w:t>
            </w:r>
          </w:p>
        </w:tc>
        <w:tc>
          <w:tcPr>
            <w:tcW w:type="dxa" w:w="19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Net of Costs</w:t>
            </w:r>
          </w:p>
        </w:tc>
        <w:tc>
          <w:tcPr>
            <w:tcW w:type="dxa" w:w="1900"/>
            <w:tcBorders>
              <w:top w:val="single" w:color="2C5F8A" w:sz="1"/>
              <w:left w:val="single" w:color="2C5F8A" w:sz="1"/>
              <w:bottom w:val="single" w:color="2C5F8A" w:sz="1"/>
              <w:right w:val="single" w:color="2C5F8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S&amp;P 500 Benchmark</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Annualized Return</w:t>
            </w:r>
          </w:p>
        </w:tc>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18.53%</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~17.0%</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12.88%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Sharpe 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1.10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~1.05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0.90</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Maximum Drawdown</w:t>
            </w:r>
          </w:p>
        </w:tc>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-28.64%</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-25.26%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Alpha (vs. S&amp;P 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+5.65%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2"/>
                <w:szCs w:val="22"/>
              </w:rPr>
              <w:t xml:space="preserv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Number of Periods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176 months</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176 months</w:t>
            </w:r>
          </w:p>
        </w:tc>
        <w:tc>
          <w:tcPr>
            <w:tcW w:type="dxa" w:w="1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vAlign w:val="center"/>
          </w:tcPr>
          <w:p>
            <w:pPr>
              <w:jc w:val="center"/>
            </w:pPr>
            <w:r>
              <w:rPr>
                <w:rFonts w:ascii="Arial" w:cs="Arial" w:eastAsia="Arial" w:hAnsi="Arial"/>
                <w:sz w:val="22"/>
                <w:szCs w:val="22"/>
              </w:rPr>
              <w:t xml:space="preserve">176 months</w:t>
            </w:r>
          </w:p>
        </w:tc>
      </w:tr>
    </w:tbl>
    <w:p>
      <w:pPr>
        <w:spacing w:after="80" w:before="80"/>
      </w:pPr>
      <w:r>
        <w:t xml:space="preserve"/>
      </w:r>
    </w:p>
    <w:p>
      <w:pPr>
        <w:spacing w:after="160" w:before="100" w:line="360" w:lineRule="auto"/>
        <w:ind w:firstLine="720"/>
        <w:jc w:val="both"/>
      </w:pPr>
      <w:r>
        <w:rPr>
          <w:rFonts w:ascii="Arial" w:cs="Arial" w:eastAsia="Arial" w:hAnsi="Arial"/>
          <w:sz w:val="24"/>
          <w:szCs w:val="24"/>
        </w:rPr>
        <w:t xml:space="preserve">The regime-aware portfolio outperforms the S&amp;P 500 by approximately 5.65% per year on a gross basis. After accounting for transaction costs, the net annual return is approximately 17%, still materially ahead of the benchmark. The Sharpe ratio of 1.10 compares favorably to the benchmark's 0.90, indicating that the outperformance is not simply a result of taking on more risk.</w:t>
      </w:r>
    </w:p>
    <w:p>
      <w:pPr>
        <w:spacing w:after="160" w:before="100" w:line="360" w:lineRule="auto"/>
        <w:ind w:firstLine="720"/>
        <w:jc w:val="both"/>
      </w:pPr>
      <w:r>
        <w:rPr>
          <w:rFonts w:ascii="Arial" w:cs="Arial" w:eastAsia="Arial" w:hAnsi="Arial"/>
          <w:sz w:val="24"/>
          <w:szCs w:val="24"/>
        </w:rPr>
        <w:t xml:space="preserve">The maximum drawdown of -28.64% is slightly larger than the benchmark's -25.26%. This is not unusual for a concentrated portfolio of 20 stocks — concentration increases idiosyncratic risk alongside potential return. In practice, a larger portfolio or additional risk overlays would reduce maximum drawdown at some cost to expected return.</w:t>
      </w:r>
    </w:p>
    <w:p>
      <w:pPr>
        <w:pStyle w:val="Heading2"/>
        <w:spacing w:after="120" w:before="300"/>
      </w:pPr>
      <w:r>
        <w:rPr>
          <w:rFonts w:ascii="Arial" w:cs="Arial" w:eastAsia="Arial" w:hAnsi="Arial"/>
          <w:b/>
          <w:bCs/>
          <w:color w:val="2C5F8A"/>
          <w:sz w:val="26"/>
          <w:szCs w:val="26"/>
        </w:rPr>
        <w:t xml:space="preserve">6.3 Regime-by-Regime Analysis</w:t>
      </w:r>
    </w:p>
    <w:p>
      <w:pPr>
        <w:spacing w:after="160" w:before="100" w:line="360" w:lineRule="auto"/>
        <w:ind w:firstLine="720"/>
        <w:jc w:val="both"/>
      </w:pPr>
      <w:r>
        <w:rPr>
          <w:rFonts w:ascii="Arial" w:cs="Arial" w:eastAsia="Arial" w:hAnsi="Arial"/>
          <w:sz w:val="24"/>
          <w:szCs w:val="24"/>
        </w:rPr>
        <w:t xml:space="preserve">Breaking down performance by regime reveals interesting patterns. The portfolio performs best during Bull regimes, where momentum-based selection adds the most value over the broad index. During Bear regimes, the defensive low-volatility strategy successfully reduces losses relative to the benchmark — the portfolio still posts negative returns (as does virtually any equity strategy), but the drawdown is contained. During Volatile regimes, performance is more mixed, which is expected given the inherent difficulty of predicting returns when the market is in transition.</w:t>
      </w:r>
    </w:p>
    <w:p>
      <w:pPr>
        <w:pStyle w:val="Heading2"/>
        <w:spacing w:after="120" w:before="300"/>
      </w:pPr>
      <w:r>
        <w:rPr>
          <w:rFonts w:ascii="Arial" w:cs="Arial" w:eastAsia="Arial" w:hAnsi="Arial"/>
          <w:b/>
          <w:bCs/>
          <w:color w:val="2C5F8A"/>
          <w:sz w:val="26"/>
          <w:szCs w:val="26"/>
        </w:rPr>
        <w:t xml:space="preserve">6.4 Feature Importance by Regime</w:t>
      </w:r>
    </w:p>
    <w:p>
      <w:pPr>
        <w:spacing w:after="160" w:before="100" w:line="360" w:lineRule="auto"/>
        <w:ind w:firstLine="720"/>
        <w:jc w:val="both"/>
      </w:pPr>
      <w:r>
        <w:rPr>
          <w:rFonts w:ascii="Arial" w:cs="Arial" w:eastAsia="Arial" w:hAnsi="Arial"/>
          <w:sz w:val="24"/>
          <w:szCs w:val="24"/>
        </w:rPr>
        <w:t xml:space="preserve">We computed SHAP (SHapley Additive exPlanations) values for the XGBoost models trained on each regime's historical data. The results confirm the regime-specific nature of what drives returns:</w:t>
      </w:r>
    </w:p>
    <w:p>
      <w:pPr>
        <w:pStyle w:val="ListParagraph"/>
        <w:numPr>
          <w:ilvl w:val="0"/>
          <w:numId w:val="2"/>
        </w:numPr>
        <w:spacing w:after="60" w:before="60"/>
      </w:pPr>
      <w:r>
        <w:rPr>
          <w:rFonts w:ascii="Arial" w:cs="Arial" w:eastAsia="Arial" w:hAnsi="Arial"/>
          <w:sz w:val="24"/>
          <w:szCs w:val="24"/>
        </w:rPr>
        <w:t xml:space="preserve">Bull regime: Yield spread is the top feature, followed by Mkt-RF and Profitability (RMW). In calm, growing markets, the shape of the yield curve and fundamental quality factors drive outperformance.</w:t>
      </w:r>
    </w:p>
    <w:p>
      <w:pPr>
        <w:pStyle w:val="ListParagraph"/>
        <w:numPr>
          <w:ilvl w:val="0"/>
          <w:numId w:val="2"/>
        </w:numPr>
        <w:spacing w:after="60" w:before="60"/>
      </w:pPr>
      <w:r>
        <w:rPr>
          <w:rFonts w:ascii="Arial" w:cs="Arial" w:eastAsia="Arial" w:hAnsi="Arial"/>
          <w:sz w:val="24"/>
          <w:szCs w:val="24"/>
        </w:rPr>
        <w:t xml:space="preserve">Bear regime: Gold price is the most important feature by a significant margin, followed by GPR Global Index and VIX. During stress periods, safe-haven dynamics dominate — stocks that are less correlated with gold price movements (i.e., less driven by risk-off flows) tend to hold up better.</w:t>
      </w:r>
    </w:p>
    <w:p>
      <w:pPr>
        <w:pStyle w:val="ListParagraph"/>
        <w:numPr>
          <w:ilvl w:val="0"/>
          <w:numId w:val="2"/>
        </w:numPr>
        <w:spacing w:after="60" w:before="60"/>
      </w:pPr>
      <w:r>
        <w:rPr>
          <w:rFonts w:ascii="Arial" w:cs="Arial" w:eastAsia="Arial" w:hAnsi="Arial"/>
          <w:sz w:val="24"/>
          <w:szCs w:val="24"/>
        </w:rPr>
        <w:t xml:space="preserve">Volatile regime: Short-term momentum (Mom_1m) is the top feature. In uncertain environments, recent price action is the most informative signal available.</w:t>
      </w:r>
    </w:p>
    <w:p>
      <w:pPr>
        <w:spacing w:after="160" w:before="100" w:line="360" w:lineRule="auto"/>
        <w:ind w:firstLine="720"/>
        <w:jc w:val="both"/>
      </w:pPr>
      <w:r>
        <w:rPr>
          <w:rFonts w:ascii="Arial" w:cs="Arial" w:eastAsia="Arial" w:hAnsi="Arial"/>
          <w:sz w:val="24"/>
          <w:szCs w:val="24"/>
        </w:rPr>
        <w:t xml:space="preserve">These patterns are consistent with financial theory and provide confidence that the model is learning economically meaningful relationships rather than spurious correlations.</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7. Geopolitical Risk as a Market Signal</w:t>
      </w:r>
    </w:p>
    <w:p>
      <w:pPr>
        <w:pStyle w:val="Heading2"/>
        <w:spacing w:after="120" w:before="300"/>
      </w:pPr>
      <w:r>
        <w:rPr>
          <w:rFonts w:ascii="Arial" w:cs="Arial" w:eastAsia="Arial" w:hAnsi="Arial"/>
          <w:b/>
          <w:bCs/>
          <w:color w:val="2C5F8A"/>
          <w:sz w:val="26"/>
          <w:szCs w:val="26"/>
        </w:rPr>
        <w:t xml:space="preserve">7.1 Motivation</w:t>
      </w:r>
    </w:p>
    <w:p>
      <w:pPr>
        <w:spacing w:after="160" w:before="100" w:line="360" w:lineRule="auto"/>
        <w:ind w:firstLine="720"/>
        <w:jc w:val="both"/>
      </w:pPr>
      <w:r>
        <w:rPr>
          <w:rFonts w:ascii="Arial" w:cs="Arial" w:eastAsia="Arial" w:hAnsi="Arial"/>
          <w:sz w:val="24"/>
          <w:szCs w:val="24"/>
        </w:rPr>
        <w:t xml:space="preserve">Standard factor models do not incorporate geopolitical risk. Yet the last two decades have been defined in large part by geopolitical shocks: the September 11 attacks, the Iraq War, the Russia-Ukraine conflict, trade wars, and pandemic-era supply chain disruptions. These events affect market behavior through multiple channels — commodity prices, risk aversion, currency flows, and investor sentiment — in ways that are not captured by equity factors alone.</w:t>
      </w:r>
    </w:p>
    <w:p>
      <w:pPr>
        <w:spacing w:after="160" w:before="100" w:line="360" w:lineRule="auto"/>
        <w:ind w:firstLine="720"/>
        <w:jc w:val="both"/>
      </w:pPr>
      <w:r>
        <w:rPr>
          <w:rFonts w:ascii="Arial" w:cs="Arial" w:eastAsia="Arial" w:hAnsi="Arial"/>
          <w:sz w:val="24"/>
          <w:szCs w:val="24"/>
        </w:rPr>
        <w:t xml:space="preserve">The Geopolitical Risk (GPR) Index developed by Caldara and Iacoviello (2022) provides a quantitative measure of geopolitical risk based on automated text searches in major newspapers. The index spikes during genuine geopolitical crises and returns to baseline during calm periods. We include it in the regime detection model as one of the five input features.</w:t>
      </w:r>
    </w:p>
    <w:p>
      <w:pPr>
        <w:pStyle w:val="Heading2"/>
        <w:spacing w:after="120" w:before="300"/>
      </w:pPr>
      <w:r>
        <w:rPr>
          <w:rFonts w:ascii="Arial" w:cs="Arial" w:eastAsia="Arial" w:hAnsi="Arial"/>
          <w:b/>
          <w:bCs/>
          <w:color w:val="2C5F8A"/>
          <w:sz w:val="26"/>
          <w:szCs w:val="26"/>
        </w:rPr>
        <w:t xml:space="preserve">7.2 GPR in Regime Detection</w:t>
      </w:r>
    </w:p>
    <w:p>
      <w:pPr>
        <w:spacing w:after="160" w:before="100" w:line="360" w:lineRule="auto"/>
        <w:ind w:firstLine="720"/>
        <w:jc w:val="both"/>
      </w:pPr>
      <w:r>
        <w:rPr>
          <w:rFonts w:ascii="Arial" w:cs="Arial" w:eastAsia="Arial" w:hAnsi="Arial"/>
          <w:sz w:val="24"/>
          <w:szCs w:val="24"/>
        </w:rPr>
        <w:t xml:space="preserve">The HMM training results show that GPR is a useful discriminator for the Volatile regime in particular. Months with high GPR scores — corresponding to periods of elevated geopolitical tension — are more likely to be classified as Volatile than as Bull, even when equity returns themselves are positive. This reflects the intuition that geopolitical risk introduces fragility into markets that may not yet be reflected in price action.</w:t>
      </w:r>
    </w:p>
    <w:p>
      <w:pPr>
        <w:spacing w:after="160" w:before="100" w:line="360" w:lineRule="auto"/>
        <w:ind w:firstLine="720"/>
        <w:jc w:val="both"/>
      </w:pPr>
      <w:r>
        <w:rPr>
          <w:rFonts w:ascii="Arial" w:cs="Arial" w:eastAsia="Arial" w:hAnsi="Arial"/>
          <w:sz w:val="24"/>
          <w:szCs w:val="24"/>
        </w:rPr>
        <w:t xml:space="preserve">An initial concern was the high correlation (0.97) between the GPR Global and GPR USA sub-indices. We retained only GPR Global to avoid redundancy. The component contributes meaningfully to regime separation in the HMM, particularly for identifying the onset of Volatile regimes.</w:t>
      </w:r>
    </w:p>
    <w:p>
      <w:pPr>
        <w:pStyle w:val="Heading2"/>
        <w:spacing w:after="120" w:before="300"/>
      </w:pPr>
      <w:r>
        <w:rPr>
          <w:rFonts w:ascii="Arial" w:cs="Arial" w:eastAsia="Arial" w:hAnsi="Arial"/>
          <w:b/>
          <w:bCs/>
          <w:color w:val="2C5F8A"/>
          <w:sz w:val="26"/>
          <w:szCs w:val="26"/>
        </w:rPr>
        <w:t xml:space="preserve">7.3 Feature Importance in Bear Regimes</w:t>
      </w:r>
    </w:p>
    <w:p>
      <w:pPr>
        <w:spacing w:after="160" w:before="100" w:line="360" w:lineRule="auto"/>
        <w:ind w:firstLine="720"/>
        <w:jc w:val="both"/>
      </w:pPr>
      <w:r>
        <w:rPr>
          <w:rFonts w:ascii="Arial" w:cs="Arial" w:eastAsia="Arial" w:hAnsi="Arial"/>
          <w:sz w:val="24"/>
          <w:szCs w:val="24"/>
        </w:rPr>
        <w:t xml:space="preserve">As noted in Section 6.4, GPR Global index is the second most important feature in Bear regime prediction (behind gold price). This finding suggests that geopolitical risk is not only a regime trigger but also a within-regime signal: during already-stressed market periods, stocks with characteristics that make them more sensitive to geopolitical uncertainty perform worse. This provides a concrete actionable signal beyond what standard factor models offer.</w:t>
      </w:r>
    </w:p>
    <w:p>
      <w:pPr>
        <w:pStyle w:val="Heading2"/>
        <w:spacing w:after="120" w:before="300"/>
      </w:pPr>
      <w:r>
        <w:rPr>
          <w:rFonts w:ascii="Arial" w:cs="Arial" w:eastAsia="Arial" w:hAnsi="Arial"/>
          <w:b/>
          <w:bCs/>
          <w:color w:val="2C5F8A"/>
          <w:sz w:val="26"/>
          <w:szCs w:val="26"/>
        </w:rPr>
        <w:t xml:space="preserve">7.4 Limitations</w:t>
      </w:r>
    </w:p>
    <w:p>
      <w:pPr>
        <w:spacing w:after="160" w:before="100" w:line="360" w:lineRule="auto"/>
        <w:ind w:firstLine="720"/>
        <w:jc w:val="both"/>
      </w:pPr>
      <w:r>
        <w:rPr>
          <w:rFonts w:ascii="Arial" w:cs="Arial" w:eastAsia="Arial" w:hAnsi="Arial"/>
          <w:sz w:val="24"/>
          <w:szCs w:val="24"/>
        </w:rPr>
        <w:t xml:space="preserve">While the GPR index provides useful aggregate signal, it has limitations. The index measures the frequency of geopolitical risk mentions in newspapers rather than the actual severity or market impact of individual events. Two months with identical GPR scores could correspond to very different geopolitical environments. Future work could incorporate more granular event-level data, NLP-derived sentiment from financial news sources, or commodity-specific risk indices for oil-producing regions.</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8. Scalability with PySpark</w:t>
      </w:r>
    </w:p>
    <w:p>
      <w:pPr>
        <w:pStyle w:val="Heading2"/>
        <w:spacing w:after="120" w:before="300"/>
      </w:pPr>
      <w:r>
        <w:rPr>
          <w:rFonts w:ascii="Arial" w:cs="Arial" w:eastAsia="Arial" w:hAnsi="Arial"/>
          <w:b/>
          <w:bCs/>
          <w:color w:val="2C5F8A"/>
          <w:sz w:val="26"/>
          <w:szCs w:val="26"/>
        </w:rPr>
        <w:t xml:space="preserve">8.1 Data at Scale</w:t>
      </w:r>
    </w:p>
    <w:p>
      <w:pPr>
        <w:spacing w:after="160" w:before="100" w:line="360" w:lineRule="auto"/>
        <w:ind w:firstLine="720"/>
        <w:jc w:val="both"/>
      </w:pPr>
      <w:r>
        <w:rPr>
          <w:rFonts w:ascii="Arial" w:cs="Arial" w:eastAsia="Arial" w:hAnsi="Arial"/>
          <w:sz w:val="24"/>
          <w:szCs w:val="24"/>
        </w:rPr>
        <w:t xml:space="preserve">The S&amp;P 500 universe with 22 years of daily data produces approximately 5.5 million rows of raw price data. Computing monthly returns, rolling momentum, and rolling volatility for all 501 stocks generates a panel dataset of 74,914 monthly observations. While this is manageable in pandas on a modern laptop, the pipeline was designed from the ground up to scale.</w:t>
      </w:r>
    </w:p>
    <w:p>
      <w:pPr>
        <w:spacing w:after="160" w:before="100" w:line="360" w:lineRule="auto"/>
        <w:ind w:firstLine="720"/>
        <w:jc w:val="both"/>
      </w:pPr>
      <w:r>
        <w:rPr>
          <w:rFonts w:ascii="Arial" w:cs="Arial" w:eastAsia="Arial" w:hAnsi="Arial"/>
          <w:sz w:val="24"/>
          <w:szCs w:val="24"/>
        </w:rPr>
        <w:t xml:space="preserve">We use PySpark for the data processing pipeline, treating each stock as an independent partition. Window functions are used for rolling computations (momentum and volatility), and the final join with macro data uses a broadcast join to avoid shuffling the large stock-level dataset.</w:t>
      </w:r>
    </w:p>
    <w:p>
      <w:pPr>
        <w:pStyle w:val="Heading2"/>
        <w:spacing w:after="120" w:before="300"/>
      </w:pPr>
      <w:r>
        <w:rPr>
          <w:rFonts w:ascii="Arial" w:cs="Arial" w:eastAsia="Arial" w:hAnsi="Arial"/>
          <w:b/>
          <w:bCs/>
          <w:color w:val="2C5F8A"/>
          <w:sz w:val="26"/>
          <w:szCs w:val="26"/>
        </w:rPr>
        <w:t xml:space="preserve">8.2 Pipeline Architecture</w:t>
      </w:r>
    </w:p>
    <w:p>
      <w:pPr>
        <w:spacing w:after="160" w:before="100" w:line="360" w:lineRule="auto"/>
        <w:ind w:firstLine="720"/>
        <w:jc w:val="both"/>
      </w:pPr>
      <w:r>
        <w:rPr>
          <w:rFonts w:ascii="Arial" w:cs="Arial" w:eastAsia="Arial" w:hAnsi="Arial"/>
          <w:sz w:val="24"/>
          <w:szCs w:val="24"/>
        </w:rPr>
        <w:t xml:space="preserve">The PySpark pipeline consists of the following stages:</w:t>
      </w:r>
    </w:p>
    <w:p>
      <w:pPr>
        <w:pStyle w:val="ListParagraph"/>
        <w:numPr>
          <w:ilvl w:val="0"/>
          <w:numId w:val="2"/>
        </w:numPr>
        <w:spacing w:after="60" w:before="60"/>
      </w:pPr>
      <w:r>
        <w:rPr>
          <w:rFonts w:ascii="Arial" w:cs="Arial" w:eastAsia="Arial" w:hAnsi="Arial"/>
          <w:sz w:val="24"/>
          <w:szCs w:val="24"/>
        </w:rPr>
        <w:t xml:space="preserve">Stage 1 — Ingestion: Raw OHLCV data loaded from CSV files into Spark DataFrames, with schema enforcement and date parsing.</w:t>
      </w:r>
    </w:p>
    <w:p>
      <w:pPr>
        <w:pStyle w:val="ListParagraph"/>
        <w:numPr>
          <w:ilvl w:val="0"/>
          <w:numId w:val="2"/>
        </w:numPr>
        <w:spacing w:after="60" w:before="60"/>
      </w:pPr>
      <w:r>
        <w:rPr>
          <w:rFonts w:ascii="Arial" w:cs="Arial" w:eastAsia="Arial" w:hAnsi="Arial"/>
          <w:sz w:val="24"/>
          <w:szCs w:val="24"/>
        </w:rPr>
        <w:t xml:space="preserve">Stage 2 — Return Computation: Monthly adjusted returns computed using a lag window function partitioned by ticker and ordered by date.</w:t>
      </w:r>
    </w:p>
    <w:p>
      <w:pPr>
        <w:pStyle w:val="ListParagraph"/>
        <w:numPr>
          <w:ilvl w:val="0"/>
          <w:numId w:val="2"/>
        </w:numPr>
        <w:spacing w:after="60" w:before="60"/>
      </w:pPr>
      <w:r>
        <w:rPr>
          <w:rFonts w:ascii="Arial" w:cs="Arial" w:eastAsia="Arial" w:hAnsi="Arial"/>
          <w:sz w:val="24"/>
          <w:szCs w:val="24"/>
        </w:rPr>
        <w:t xml:space="preserve">Stage 3 — Feature Engineering: Momentum and volatility features computed using rolling window aggregations.</w:t>
      </w:r>
    </w:p>
    <w:p>
      <w:pPr>
        <w:pStyle w:val="ListParagraph"/>
        <w:numPr>
          <w:ilvl w:val="0"/>
          <w:numId w:val="2"/>
        </w:numPr>
        <w:spacing w:after="60" w:before="60"/>
      </w:pPr>
      <w:r>
        <w:rPr>
          <w:rFonts w:ascii="Arial" w:cs="Arial" w:eastAsia="Arial" w:hAnsi="Arial"/>
          <w:sz w:val="24"/>
          <w:szCs w:val="24"/>
        </w:rPr>
        <w:t xml:space="preserve">Stage 4 — Quality Filtering: Stocks with insufficient data coverage (below 70% non-missing threshold) dropped.</w:t>
      </w:r>
    </w:p>
    <w:p>
      <w:pPr>
        <w:pStyle w:val="ListParagraph"/>
        <w:numPr>
          <w:ilvl w:val="0"/>
          <w:numId w:val="2"/>
        </w:numPr>
        <w:spacing w:after="60" w:before="60"/>
      </w:pPr>
      <w:r>
        <w:rPr>
          <w:rFonts w:ascii="Arial" w:cs="Arial" w:eastAsia="Arial" w:hAnsi="Arial"/>
          <w:sz w:val="24"/>
          <w:szCs w:val="24"/>
        </w:rPr>
        <w:t xml:space="preserve">Stage 5 — Macro Join: Monthly stock features joined with macro indicators using a broadcast join on the date key.</w:t>
      </w:r>
    </w:p>
    <w:p>
      <w:pPr>
        <w:pStyle w:val="ListParagraph"/>
        <w:numPr>
          <w:ilvl w:val="0"/>
          <w:numId w:val="2"/>
        </w:numPr>
        <w:spacing w:after="60" w:before="60"/>
      </w:pPr>
      <w:r>
        <w:rPr>
          <w:rFonts w:ascii="Arial" w:cs="Arial" w:eastAsia="Arial" w:hAnsi="Arial"/>
          <w:sz w:val="24"/>
          <w:szCs w:val="24"/>
        </w:rPr>
        <w:t xml:space="preserve">Stage 6 — Output: Final panel dataset written to Parquet format for efficient downstream processing.</w:t>
      </w:r>
    </w:p>
    <w:p>
      <w:pPr>
        <w:spacing w:after="160" w:before="100" w:line="360" w:lineRule="auto"/>
        <w:ind w:firstLine="720"/>
        <w:jc w:val="both"/>
      </w:pPr>
      <w:r>
        <w:rPr>
          <w:rFonts w:ascii="Arial" w:cs="Arial" w:eastAsia="Arial" w:hAnsi="Arial"/>
          <w:sz w:val="24"/>
          <w:szCs w:val="24"/>
        </w:rPr>
        <w:t xml:space="preserve">The design ensures that adding more stocks (e.g., extending to Russell 2000) or more years of history would require only a change in data inputs, not a rewrite of the pipeline. This is a direct application of the principles from the Data Processing at Scale course.</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9. Discussion</w:t>
      </w:r>
    </w:p>
    <w:p>
      <w:pPr>
        <w:pStyle w:val="Heading2"/>
        <w:spacing w:after="120" w:before="300"/>
      </w:pPr>
      <w:r>
        <w:rPr>
          <w:rFonts w:ascii="Arial" w:cs="Arial" w:eastAsia="Arial" w:hAnsi="Arial"/>
          <w:b/>
          <w:bCs/>
          <w:color w:val="2C5F8A"/>
          <w:sz w:val="26"/>
          <w:szCs w:val="26"/>
        </w:rPr>
        <w:t xml:space="preserve">9.1 Why the Model Works</w:t>
      </w:r>
    </w:p>
    <w:p>
      <w:pPr>
        <w:spacing w:after="160" w:before="100" w:line="360" w:lineRule="auto"/>
        <w:ind w:firstLine="720"/>
        <w:jc w:val="both"/>
      </w:pPr>
      <w:r>
        <w:rPr>
          <w:rFonts w:ascii="Arial" w:cs="Arial" w:eastAsia="Arial" w:hAnsi="Arial"/>
          <w:sz w:val="24"/>
          <w:szCs w:val="24"/>
        </w:rPr>
        <w:t xml:space="preserve">The central mechanism behind the model's outperformance is intuitive: by matching the prediction strategy to the current market regime, we avoid the single biggest failure mode of static factor models — applying a momentum strategy during a bear market crash, or applying a defensive strategy during a strong bull run. The model does not always pick the right stocks, but it consistently picks the right type of stock for the current environment.</w:t>
      </w:r>
    </w:p>
    <w:p>
      <w:pPr>
        <w:spacing w:after="160" w:before="100" w:line="360" w:lineRule="auto"/>
        <w:ind w:firstLine="720"/>
        <w:jc w:val="both"/>
      </w:pPr>
      <w:r>
        <w:rPr>
          <w:rFonts w:ascii="Arial" w:cs="Arial" w:eastAsia="Arial" w:hAnsi="Arial"/>
          <w:sz w:val="24"/>
          <w:szCs w:val="24"/>
        </w:rPr>
        <w:t xml:space="preserve">The strong performance during Bull regimes is partly mechanical — momentum strategies work well in trending markets, and Bull regimes by definition tend to be trending. The value-add during Bear regimes is more genuine: identifying low-volatility stocks requires information about individual stock behavior that a simple index strategy does not capture.</w:t>
      </w:r>
    </w:p>
    <w:p>
      <w:pPr>
        <w:pStyle w:val="Heading2"/>
        <w:spacing w:after="120" w:before="300"/>
      </w:pPr>
      <w:r>
        <w:rPr>
          <w:rFonts w:ascii="Arial" w:cs="Arial" w:eastAsia="Arial" w:hAnsi="Arial"/>
          <w:b/>
          <w:bCs/>
          <w:color w:val="2C5F8A"/>
          <w:sz w:val="26"/>
          <w:szCs w:val="26"/>
        </w:rPr>
        <w:t xml:space="preserve">9.2 Factor Weakening and Implications</w:t>
      </w:r>
    </w:p>
    <w:p>
      <w:pPr>
        <w:spacing w:after="160" w:before="100" w:line="360" w:lineRule="auto"/>
        <w:ind w:firstLine="720"/>
        <w:jc w:val="both"/>
      </w:pPr>
      <w:r>
        <w:rPr>
          <w:rFonts w:ascii="Arial" w:cs="Arial" w:eastAsia="Arial" w:hAnsi="Arial"/>
          <w:sz w:val="24"/>
          <w:szCs w:val="24"/>
        </w:rPr>
        <w:t xml:space="preserve">The finding that SMB, HML, and CMA are no longer statistically significant in our sample has important implications. Much of the factor investing industry is built on the premise that these premia are persistent. Our results — consistent with a growing literature — suggest that widespread adoption of factor strategies may have arbitraged away these premia, at least partially. This does not mean factor investing is dead, but it does suggest that naive exposure to textbook factors is unlikely to deliver the returns documented in academic studies from the 1990s and 2000s.</w:t>
      </w:r>
    </w:p>
    <w:p>
      <w:pPr>
        <w:spacing w:after="160" w:before="100" w:line="360" w:lineRule="auto"/>
        <w:ind w:firstLine="720"/>
        <w:jc w:val="both"/>
      </w:pPr>
      <w:r>
        <w:rPr>
          <w:rFonts w:ascii="Arial" w:cs="Arial" w:eastAsia="Arial" w:hAnsi="Arial"/>
          <w:sz w:val="24"/>
          <w:szCs w:val="24"/>
        </w:rPr>
        <w:t xml:space="preserve">The resilience of the market factor (Mkt-RF) and profitability factor (RMW) is itself interesting. Market exposure is irreducible in equity investing, so its persistence is expected. Profitability — the tendency of highly profitable firms to outperform — has proven more durable than size and value, possibly because it is harder to exploit at scale and more directly tied to fundamental economic value creation.</w:t>
      </w:r>
    </w:p>
    <w:p>
      <w:pPr>
        <w:pStyle w:val="Heading2"/>
        <w:spacing w:after="120" w:before="300"/>
      </w:pPr>
      <w:r>
        <w:rPr>
          <w:rFonts w:ascii="Arial" w:cs="Arial" w:eastAsia="Arial" w:hAnsi="Arial"/>
          <w:b/>
          <w:bCs/>
          <w:color w:val="2C5F8A"/>
          <w:sz w:val="26"/>
          <w:szCs w:val="26"/>
        </w:rPr>
        <w:t xml:space="preserve">9.3 Limitations and Future Work</w:t>
      </w:r>
    </w:p>
    <w:p>
      <w:pPr>
        <w:spacing w:after="160" w:before="100" w:line="360" w:lineRule="auto"/>
        <w:ind w:firstLine="720"/>
        <w:jc w:val="both"/>
      </w:pPr>
      <w:r>
        <w:rPr>
          <w:rFonts w:ascii="Arial" w:cs="Arial" w:eastAsia="Arial" w:hAnsi="Arial"/>
          <w:sz w:val="24"/>
          <w:szCs w:val="24"/>
        </w:rPr>
        <w:t xml:space="preserve">The model has several important limitations that should be acknowledged. First, the portfolio is highly concentrated at 20 stocks, which increases both potential return and potential risk compared to a diversified benchmark. Second, transaction costs are modeled simply — in practice, a strategy with monthly rebalancing across S&amp;P 500 stocks would incur market impact costs that increase with portfolio size.</w:t>
      </w:r>
    </w:p>
    <w:p>
      <w:pPr>
        <w:spacing w:after="160" w:before="100" w:line="360" w:lineRule="auto"/>
        <w:ind w:firstLine="720"/>
        <w:jc w:val="both"/>
      </w:pPr>
      <w:r>
        <w:rPr>
          <w:rFonts w:ascii="Arial" w:cs="Arial" w:eastAsia="Arial" w:hAnsi="Arial"/>
          <w:sz w:val="24"/>
          <w:szCs w:val="24"/>
        </w:rPr>
        <w:t xml:space="preserve">Third, and most importantly, any backtest is subject to data snooping risk. We made numerous methodological choices in constructing this analysis, and it is possible that some of these choices inadvertently contributed to the strong results. Future work should validate the approach on out-of-sample data, ideally including international equity markets.</w:t>
      </w:r>
    </w:p>
    <w:p>
      <w:pPr>
        <w:spacing w:after="160" w:before="100" w:line="360" w:lineRule="auto"/>
        <w:ind w:firstLine="720"/>
        <w:jc w:val="both"/>
      </w:pPr>
      <w:r>
        <w:rPr>
          <w:rFonts w:ascii="Arial" w:cs="Arial" w:eastAsia="Arial" w:hAnsi="Arial"/>
          <w:sz w:val="24"/>
          <w:szCs w:val="24"/>
        </w:rPr>
        <w:t xml:space="preserve">Extensions worth exploring include incorporating earnings sentiment from SEC filings using FinBERT, adding sector-specific regime detection, and extending the pipeline to international equity markets where regime dynamics may differ. The integration of natural language processing-based signals — financial news sentiment, earnings call transcript analysis — represents a natural next step for incorporating richer information into the regime detection framework.</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10. Conclusion</w:t>
      </w:r>
    </w:p>
    <w:p>
      <w:pPr>
        <w:spacing w:after="160" w:before="100" w:line="360" w:lineRule="auto"/>
        <w:ind w:firstLine="720"/>
        <w:jc w:val="both"/>
      </w:pPr>
      <w:r>
        <w:rPr>
          <w:rFonts w:ascii="Arial" w:cs="Arial" w:eastAsia="Arial" w:hAnsi="Arial"/>
          <w:sz w:val="24"/>
          <w:szCs w:val="24"/>
        </w:rPr>
        <w:t xml:space="preserve">This project set out to test a straightforward hypothesis: that equity return prediction can be improved by explicitly modeling market regimes and adapting the prediction strategy to match them. The results support this hypothesis. Over 176 months of backtesting, the regime-aware portfolio delivers approximately 5.65% annualized alpha over the S&amp;P 500, with a higher Sharpe ratio and comparable drawdown characteristics.</w:t>
      </w:r>
    </w:p>
    <w:p>
      <w:pPr>
        <w:spacing w:after="160" w:before="100" w:line="360" w:lineRule="auto"/>
        <w:ind w:firstLine="720"/>
        <w:jc w:val="both"/>
      </w:pPr>
      <w:r>
        <w:rPr>
          <w:rFonts w:ascii="Arial" w:cs="Arial" w:eastAsia="Arial" w:hAnsi="Arial"/>
          <w:sz w:val="24"/>
          <w:szCs w:val="24"/>
        </w:rPr>
        <w:t xml:space="preserve">The approach integrates methods from all three courses in this semester's curriculum. The statistical analysis of factor significance (Statistics for Data Analysts) informed our understanding of which signals carry genuine information. The HMM and XGBoost models (Statistical Machine Learning) provide the core prediction machinery. The PySpark pipeline (Data Processing at Scale) ensures that the approach can handle real-world data volumes and extend naturally to larger universes.</w:t>
      </w:r>
    </w:p>
    <w:p>
      <w:pPr>
        <w:spacing w:after="160" w:before="100" w:line="360" w:lineRule="auto"/>
        <w:ind w:firstLine="720"/>
        <w:jc w:val="both"/>
      </w:pPr>
      <w:r>
        <w:rPr>
          <w:rFonts w:ascii="Arial" w:cs="Arial" w:eastAsia="Arial" w:hAnsi="Arial"/>
          <w:sz w:val="24"/>
          <w:szCs w:val="24"/>
        </w:rPr>
        <w:t xml:space="preserve">Perhaps more interesting than the performance numbers is the model's current real-world output. As of April 2026, the model has been detecting a Bear regime for three consecutive months, consistent with rising VIX, geopolitical tensions, and macro uncertainty. The strategy has automatically shifted to low-volatility defensive positioning in response. Whether this turns out to be the right call will be known in due course — but the model is doing exactly what it was designed to do.</w:t>
      </w:r>
    </w:p>
    <w:p>
      <w:pPr>
        <w:spacing w:after="160" w:before="100" w:line="360" w:lineRule="auto"/>
        <w:ind w:firstLine="720"/>
        <w:jc w:val="both"/>
      </w:pPr>
      <w:r>
        <w:rPr>
          <w:rFonts w:ascii="Arial" w:cs="Arial" w:eastAsia="Arial" w:hAnsi="Arial"/>
          <w:sz w:val="24"/>
          <w:szCs w:val="24"/>
        </w:rPr>
        <w:t xml:space="preserve">Markets are not static. Factor relationships change, geopolitical environments shift, and the macro cycle turns. A prediction system that does not account for this will eventually fail in precisely the periods when accurate prediction matters most. Regime awareness, however implemented, is not a refinement to good quantitative investing — it is a prerequisite.</w:t>
      </w:r>
    </w:p>
    <w:p>
      <w:pPr>
        <w:spacing w:after="80" w:before="80"/>
      </w:pPr>
      <w:r>
        <w:t xml:space="preserve"/>
      </w:r>
    </w:p>
    <w:p>
      <w:pPr>
        <w:pStyle w:val="Heading1"/>
        <w:spacing w:after="160" w:before="400"/>
      </w:pPr>
      <w:r>
        <w:rPr>
          <w:rFonts w:ascii="Arial" w:cs="Arial" w:eastAsia="Arial" w:hAnsi="Arial"/>
          <w:b/>
          <w:bCs/>
          <w:color w:val="1A3A5C"/>
          <w:sz w:val="32"/>
          <w:szCs w:val="32"/>
        </w:rPr>
        <w:t xml:space="preserve">References</w:t>
      </w:r>
    </w:p>
    <w:p>
      <w:pPr>
        <w:spacing w:after="160" w:before="100" w:line="360" w:lineRule="auto"/>
        <w:jc w:val="both"/>
      </w:pPr>
      <w:r>
        <w:rPr>
          <w:rFonts w:ascii="Arial" w:cs="Arial" w:eastAsia="Arial" w:hAnsi="Arial"/>
          <w:sz w:val="24"/>
          <w:szCs w:val="24"/>
        </w:rPr>
        <w:t xml:space="preserve">Caldara, D., &amp; Iacoviello, M. (2022). Measuring Geopolitical Risk. American Economic Review, 112(4), 1194–1225.</w:t>
      </w:r>
    </w:p>
    <w:p>
      <w:pPr>
        <w:spacing w:after="80" w:before="80"/>
      </w:pPr>
      <w:r>
        <w:t xml:space="preserve"/>
      </w:r>
    </w:p>
    <w:p>
      <w:pPr>
        <w:spacing w:after="160" w:before="100" w:line="360" w:lineRule="auto"/>
        <w:jc w:val="both"/>
      </w:pPr>
      <w:r>
        <w:rPr>
          <w:rFonts w:ascii="Arial" w:cs="Arial" w:eastAsia="Arial" w:hAnsi="Arial"/>
          <w:sz w:val="24"/>
          <w:szCs w:val="24"/>
        </w:rPr>
        <w:t xml:space="preserve">Fama, E. F., &amp; French, K. R. (1993). Common risk factors in the returns on stocks and bonds. Journal of Financial Economics, 33(1), 3–56.</w:t>
      </w:r>
    </w:p>
    <w:p>
      <w:pPr>
        <w:spacing w:after="80" w:before="80"/>
      </w:pPr>
      <w:r>
        <w:t xml:space="preserve"/>
      </w:r>
    </w:p>
    <w:p>
      <w:pPr>
        <w:spacing w:after="160" w:before="100" w:line="360" w:lineRule="auto"/>
        <w:jc w:val="both"/>
      </w:pPr>
      <w:r>
        <w:rPr>
          <w:rFonts w:ascii="Arial" w:cs="Arial" w:eastAsia="Arial" w:hAnsi="Arial"/>
          <w:sz w:val="24"/>
          <w:szCs w:val="24"/>
        </w:rPr>
        <w:t xml:space="preserve">Fama, E. F., &amp; French, K. R. (2015). A five-factor asset pricing model. Journal of Financial Economics, 116(1), 1–22.</w:t>
      </w:r>
    </w:p>
    <w:p>
      <w:pPr>
        <w:spacing w:after="80" w:before="80"/>
      </w:pPr>
      <w:r>
        <w:t xml:space="preserve"/>
      </w:r>
    </w:p>
    <w:p>
      <w:pPr>
        <w:spacing w:after="160" w:before="100" w:line="360" w:lineRule="auto"/>
        <w:jc w:val="both"/>
      </w:pPr>
      <w:r>
        <w:rPr>
          <w:rFonts w:ascii="Arial" w:cs="Arial" w:eastAsia="Arial" w:hAnsi="Arial"/>
          <w:sz w:val="24"/>
          <w:szCs w:val="24"/>
        </w:rPr>
        <w:t xml:space="preserve">Rabiner, L. R. (1989). A tutorial on hidden Markov models and selected applications in speech recognition. Proceedings of the IEEE, 77(2), 257–286.</w:t>
      </w:r>
    </w:p>
    <w:p>
      <w:pPr>
        <w:spacing w:after="80" w:before="80"/>
      </w:pPr>
      <w:r>
        <w:t xml:space="preserve"/>
      </w:r>
    </w:p>
    <w:p>
      <w:pPr>
        <w:spacing w:after="160" w:before="100" w:line="360" w:lineRule="auto"/>
        <w:jc w:val="both"/>
      </w:pPr>
      <w:r>
        <w:rPr>
          <w:rFonts w:ascii="Arial" w:cs="Arial" w:eastAsia="Arial" w:hAnsi="Arial"/>
          <w:sz w:val="24"/>
          <w:szCs w:val="24"/>
        </w:rPr>
        <w:t xml:space="preserve">Chen, T., &amp; Guestrin, C. (2016). XGBoost: A scalable tree boosting system. Proceedings of the 22nd ACM SIGKDD International Conference on Knowledge Discovery and Data Mining, 785–794.</w:t>
      </w:r>
    </w:p>
    <w:p>
      <w:pPr>
        <w:spacing w:after="80" w:before="80"/>
      </w:pPr>
      <w:r>
        <w:t xml:space="preserve"/>
      </w:r>
    </w:p>
    <w:p>
      <w:pPr>
        <w:spacing w:after="160" w:before="100" w:line="360" w:lineRule="auto"/>
        <w:jc w:val="both"/>
      </w:pPr>
      <w:r>
        <w:rPr>
          <w:rFonts w:ascii="Arial" w:cs="Arial" w:eastAsia="Arial" w:hAnsi="Arial"/>
          <w:sz w:val="24"/>
          <w:szCs w:val="24"/>
        </w:rPr>
        <w:t xml:space="preserve">Lundberg, S. M., &amp; Lee, S.-I. (2017). A unified approach to interpreting model predictions. Advances in Neural Information Processing Systems, 30.</w:t>
      </w:r>
    </w:p>
    <w:p>
      <w:pPr>
        <w:spacing w:after="80" w:before="80"/>
      </w:pPr>
      <w:r>
        <w:t xml:space="preserve"/>
      </w:r>
    </w:p>
    <w:p>
      <w:pPr>
        <w:spacing w:after="160" w:before="100" w:line="360" w:lineRule="auto"/>
        <w:jc w:val="both"/>
      </w:pPr>
      <w:r>
        <w:rPr>
          <w:rFonts w:ascii="Arial" w:cs="Arial" w:eastAsia="Arial" w:hAnsi="Arial"/>
          <w:sz w:val="24"/>
          <w:szCs w:val="24"/>
        </w:rPr>
        <w:t xml:space="preserve">Harvey, C. R., Liu, Y., &amp; Zhu, H. (2016). ...and the cross-section of expected returns. Review of Financial Studies, 29(1), 5–68.</w:t>
      </w:r>
    </w:p>
    <w:p>
      <w:pPr>
        <w:spacing w:after="80" w:before="80"/>
      </w:pPr>
      <w:r>
        <w:t xml:space="preserve"/>
      </w:r>
    </w:p>
    <w:p>
      <w:pPr>
        <w:spacing w:after="160" w:before="100" w:line="360" w:lineRule="auto"/>
        <w:jc w:val="both"/>
      </w:pPr>
      <w:r>
        <w:rPr>
          <w:rFonts w:ascii="Arial" w:cs="Arial" w:eastAsia="Arial" w:hAnsi="Arial"/>
          <w:sz w:val="24"/>
          <w:szCs w:val="24"/>
        </w:rPr>
        <w:t xml:space="preserve">Gu, S., Kelly, B., &amp; Xiu, D. (2020). Empirical asset pricing via machine learning. Review of Financial Studies, 33(5), 2223–2273.</w:t>
      </w:r>
    </w:p>
    <w:p>
      <w:pPr>
        <w:spacing w:after="80" w:before="80"/>
      </w:pPr>
      <w:r>
        <w:t xml:space="preserve"/>
      </w:r>
    </w:p>
    <w:p>
      <w:pPr>
        <w:spacing w:after="160" w:before="100" w:line="360" w:lineRule="auto"/>
        <w:jc w:val="both"/>
      </w:pPr>
      <w:r>
        <w:rPr>
          <w:rFonts w:ascii="Arial" w:cs="Arial" w:eastAsia="Arial" w:hAnsi="Arial"/>
          <w:sz w:val="24"/>
          <w:szCs w:val="24"/>
        </w:rPr>
        <w:t xml:space="preserve">Zaharia, M., et al. (2010). Spark: Cluster computing with working sets. USENIX Workshop on Hot Topics in Cloud Computing.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2026-04-24T05:47:19.598Z</dcterms:created>
  <dcterms:modified xsi:type="dcterms:W3CDTF">2026-04-24T05:47:19.599Z</dcterms:modified>
</cp:coreProperties>
</file>

<file path=docProps/custom.xml><?xml version="1.0" encoding="utf-8"?>
<Properties xmlns="http://schemas.openxmlformats.org/officeDocument/2006/custom-properties" xmlns:vt="http://schemas.openxmlformats.org/officeDocument/2006/docPropsVTypes"/>
</file>