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8"/>
          <w:szCs w:val="48"/>
        </w:rPr>
        <w:t xml:space="preserve">Schema Ingestion &amp; Semantic Metadata Module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Technical Specification — Development Task 1</w:t>
      </w:r>
    </w:p>
    <w:p>
      <w:pPr>
        <w:spacing w:after="2400"/>
        <w:jc w:val="center"/>
      </w:pPr>
      <w:r>
        <w:rPr>
          <w:color w:val="888888"/>
          <w:sz w:val="22"/>
          <w:szCs w:val="22"/>
        </w:rPr>
        <w:t xml:space="preserve">Conversational Analytics Platform  ·  July 2026  ·  Version 1.0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Prepared for the engineering team. This module is the foundation of the semantic layer: it connects to customer databases, loads and profiles schemas, detects relationships, dimensions, and measures, and stores everything as reviewable metadata used later to generate SQL from user prompts.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Background</w:t>
      </w:r>
    </w:p>
    <w:p>
      <w:pPr>
        <w:spacing w:after="120"/>
      </w:pPr>
      <w:r>
        <w:t xml:space="preserve">We are building a conversational analytics platform: users ask questions in plain language, and the system generates SQL, charts, and dashboards. The single biggest driver of answer accuracy is not the AI model — it is the quality of the </w:t>
      </w:r>
      <w:r>
        <w:rPr>
          <w:b/>
          <w:bCs/>
        </w:rPr>
        <w:t xml:space="preserve">semantic metadata</w:t>
      </w:r>
      <w:r>
        <w:t xml:space="preserve"> describing what the customer’s data means: tables, columns, relationships, dimensions, measures, and business definitions.</w:t>
      </w:r>
    </w:p>
    <w:p>
      <w:pPr>
        <w:spacing w:after="120"/>
      </w:pPr>
      <w:r>
        <w:t xml:space="preserve">This document specifies the first module we will build: the </w:t>
      </w:r>
      <w:r>
        <w:rPr>
          <w:b/>
          <w:bCs/>
        </w:rPr>
        <w:t xml:space="preserve">Schema Ingestion &amp; Semantic Metadata Service</w:t>
      </w:r>
      <w:r>
        <w:t xml:space="preserve">. It connects to a customer’s database, automatically extracts and profiles the schema, infers relationships and classifies columns, and stores everything in a metadata repository. The semantic layer — and all SQL generation — will be built on top of this metadata.</w:t>
      </w:r>
    </w:p>
    <w:p>
      <w:pPr>
        <w:spacing w:after="120"/>
      </w:pPr>
      <w:r>
        <w:rPr>
          <w:b/>
          <w:bCs/>
        </w:rPr>
        <w:t xml:space="preserve">Guiding principle: </w:t>
      </w:r>
      <w:r>
        <w:t xml:space="preserve">software extracts facts, AI drafts meaning, humans approve. The module must never silently trust inferred information — every inference is stored as a candidate with a confidence score and goes through an approval workflow.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Registering and securely storing database connections (PostgreSQL and MySQL first; Snowflake/BigQuery next).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schema introspection: tables, columns, data types, keys, comments.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profiling: row counts, distinct counts, null rates, min/max, sample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detection (declared foreign keys, naming conventions, value overlap, AI suggestion).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Dimension/measure classification and AI-drafted business descriptions.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repository (Postgres) with draft → reviewed → approved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 to trigger ingestion jobs and browse/approve metadata.</w:t>
      </w:r>
    </w:p>
    <w:p>
      <w:pPr>
        <w:pStyle w:val="Heading2"/>
      </w:pPr>
      <w:r>
        <w:t xml:space="preserve">Out of scope (later modules)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semantic layer itself (metric definitions, query compilation) — it consumes this module’s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Natural-language question answering, SQL generation, chat UI, dashboards.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Unstructured data (documents, PDFs).</w:t>
      </w:r>
    </w:p>
    <w:p>
      <w:pPr>
        <w:spacing w:after="120"/>
      </w:pPr>
      <w:r>
        <w:rPr>
          <w:b/>
          <w:bCs/>
        </w:rPr>
        <w:t xml:space="preserve">Boundary rule: </w:t>
      </w:r>
      <w:r>
        <w:t xml:space="preserve">this module produces approved metadata. The semantic layer is generated from that metadata in the next phase. Do not blur this boundary — it keeps both modules simple.</w:t>
      </w:r>
    </w:p>
    <w:p>
      <w:r>
        <w:br w:type="page"/>
      </w:r>
    </w:p>
    <w:p>
      <w:pPr>
        <w:pStyle w:val="Heading1"/>
      </w:pPr>
      <w:r>
        <w:t xml:space="preserve">3. Architecture Overview</w:t>
      </w:r>
    </w:p>
    <w:p>
      <w:pPr>
        <w:spacing w:after="16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arch" descr="Schema ingestion module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data sources, trigger ingestion, browse schema, review and approve/edit/reject drafted metadata. A minimal table-grid UI is sufficient for v1.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(FastAPI)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operations exposed as API endpoints; the UI is a thin client. Async job endpoints return a job ID; clients poll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connection configs with encrypted credentials; tests connectivity; enforces read-only access. Uses SQLAlchemy so one code path supports multiple database types.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 Job Runner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worker queue (Celery or RQ + Redis). Large schemas take minutes; ingestion must never block the API. Runs pipeline stages in order: introspect → profile → detect relationships → classify.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Introspector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Extracts tables, columns, types, nullability, primary/foreign keys, and database comments using the SQLAlchemy Inspector API — no hand-written catalog SQL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Profiler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Per-column statistics and sample values, with hard safety limits (sampling, timeouts, row caps) built into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Relationship Detector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Produces relationship candidates with confidence scores and evidence, in confidence order: declared FKs, naming conventions, value overlap, AI suggestion.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Dim/Measure Classifier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Heuristics plus an AI pass that classifies each column’s role and drafts business names, descriptions, and synonyms. All output saved as drafts.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Repository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 database holding all extracted and drafted metadata with approval status and full audit trail. This is the contract consumed by the semantic layer.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Component Specifications &amp; Build Order</w:t>
      </w:r>
    </w:p>
    <w:p>
      <w:pPr>
        <w:spacing w:after="120"/>
      </w:pPr>
      <w:r>
        <w:t xml:space="preserve">Build in this order — each step unblocks the next. Estimates assume the team works on this full time and are to be validated in sprint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4210"/>
        <w:gridCol w:w="1550"/>
      </w:tblGrid>
      <w:tr>
        <w:trPr>
          <w:tblHeader/>
        </w:trP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requirements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Repository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and migrate the full data model (Section 5). Every enrichable row carries status (draft/reviewed/approved) and audit columns (who, when). Get this reviewed before writing any other code — it is the contract for the whole platform.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Manager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source (type, host, port, database, credentials). Credentials encrypted at rest (never stored in plain text, never logged). Connection test endpoint. Read-only database user required and verified at registration.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Introspector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job: walk catalog via SQLAlchemy Inspector; upsert tables/columns/keys/comments. Re-runs are idempotent and diff-aware: new/dropped/changed objects are flagged; approved metadata is never overwritten silently.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Mgr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Profiler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column: row count, distinct count, null rate, min/max, top-N sample values (N=20). Safety limits in code: sampling (LIMIT/TABLESAMPLE), statement timeout, table blocklist, PII masking of samples before storage (emails, names, phone numbers, IDs).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Introspector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Relationship Detector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Confidence-ordered detection: (1) declared FKs, (2) naming conventions such as order.customer_id → customer.id, (3) value-overlap test on sampled values, (4) AI suggestion from names + samples. Store every candidate with source, confidence, and evidence. Nothing auto-approved.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Dim/Measure Classifier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Heuristics first: dates and low-cardinality strings → dimension; additive numerics → measure candidate; *_id columns → key. AI pass drafts business name, description, synonyms, aggregation type, and additivity. All output status = draft.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4–5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API/UI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schema and candidates with evidence; approve / edit / reject per item; bulk actions; needs_clarification flag for items requiring a business owner’s input.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above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Note on additivity (common source of wrong numbers later): </w:t>
      </w:r>
      <w:r>
        <w:t xml:space="preserve">the classifier must distinguish additive measures (order amounts — can be summed), semi-additive (account balances — cannot be summed across time), and non-additive (ratios and percentages — must be recomputed, never averaged). This flag is required, not optional.</w:t>
      </w:r>
    </w:p>
    <w:p>
      <w:r>
        <w:br w:type="page"/>
      </w:r>
    </w:p>
    <w:p>
      <w:pPr>
        <w:pStyle w:val="Heading1"/>
      </w:pPr>
      <w:r>
        <w:t xml:space="preserve">5. Metadata Repository Data Model</w:t>
      </w:r>
    </w:p>
    <w:p>
      <w:pPr>
        <w:spacing w:after="120"/>
      </w:pPr>
      <w:r>
        <w:t xml:space="preserve">Core entities. All tables carry tenant_id (we deploy single-instance per customer, but the data model stays tenant-aware from day one), created_at/updated_at, and created_by/updated_by.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data_sources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type (postgres/mysql/snowflake/bigquery), host, database, credentials_encrypted, status, last_ingested_at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registered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tables_meta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source_id, schema_name, table_name, business_name, description, grain, row_count,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grain = what one row represents (e.g. “one order line item”). Critical for correct joins; often missed.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columns_meta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table_id, column_name, data_type, is_nullable, is_primary_key, business_name, description, synonyms[], role (dimension/measure/key/attribute), aggregation (sum/avg/count/…), additivity (additive/semi_additive/non_additive), profile jsonb,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holds distinct count, null rate, min/max, masked sample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relationships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from_column_id, to_column_id, cardinality (1:1/1:N/N:M), source (declared_fk/naming/value_overlap/llm), confidence (0–1), evidence jsonb,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Candidates until approved. Evidence = why the detector believes this (e.g. overlap ratio)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business_name, expression, description, owner, synonyms[],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Populated mostly in the next phase, but the table exists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ingestion_jobs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source_id, stage, status, started_at, finished_at, stats jsonb,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pipeline run; powers the diff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audit_log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entity_type, entity_id, action, actor, before jsonb, after jsonb, 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approval/edit/rejection is recorded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Synonyms matter: </w:t>
      </w:r>
      <w:r>
        <w:t xml:space="preserve">they capture how business users actually phrase things (“revenue”, “sales”, “net sales” for net_amt). They are what will make chat understand user prompts later — treat them as first-class data, not an afterthought.</w:t>
      </w:r>
    </w:p>
    <w:p>
      <w:pPr>
        <w:pStyle w:val="Heading1"/>
      </w:pPr>
      <w:r>
        <w:t xml:space="preserve">6. Guardrails &amp; Security Requirements</w:t>
      </w:r>
    </w:p>
    <w:p>
      <w:pPr>
        <w:spacing w:after="120"/>
      </w:pPr>
      <w:r>
        <w:t xml:space="preserve">These are hard requirements enforced in code, not conventions: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Read-only credentials only. </w:t>
      </w:r>
      <w:r>
        <w:t xml:space="preserve">Registration must verify the user cannot write. The platform never modifies customer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Statement timeouts and row limits </w:t>
      </w:r>
      <w:r>
        <w:t xml:space="preserve">on every profiling query. A runaway query against a customer’s production warehouse is our first incident — design so it cannot happen.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Sampling always: </w:t>
      </w:r>
      <w:r>
        <w:t xml:space="preserve">never full-table scans for samples; use LIMIT/TABLESAMPLE. Respect a per-source table blocklist.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PII masking before storage or AI calls: </w:t>
      </w:r>
      <w:r>
        <w:t xml:space="preserve">sample values are scanned and masked (emails, names, phone numbers, national IDs) before being persisted or sent to any AI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Credentials encrypted at rest, </w:t>
      </w:r>
      <w:r>
        <w:t xml:space="preserve">never logged, never returned by any API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Nothing inferred is auto-approved: </w:t>
      </w:r>
      <w:r>
        <w:t xml:space="preserve">relationship candidates and AI-drafted descriptions enter as draft and require explicit human approval.</w:t>
      </w:r>
    </w:p>
    <w:p>
      <w:r>
        <w:br w:type="page"/>
      </w:r>
    </w:p>
    <w:p>
      <w:pPr>
        <w:pStyle w:val="Heading1"/>
      </w:pPr>
      <w:r>
        <w:t xml:space="preserve">7. Acceptance Criteria (Definition of Done)</w:t>
      </w:r>
    </w:p>
    <w:p>
      <w:pPr>
        <w:spacing w:after="120"/>
      </w:pPr>
      <w:r>
        <w:t xml:space="preserve">Against a real test database, one ingestion run must achieve: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100% of tables and columns captured, with data types, nullability, and keys.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column profiled (row count, distinct count, null rate, min/max, masked samples) within safety limits.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declared foreign keys captured as approved-source relationships.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a schema without declared FKs: at least 80% of true relationships surfaced as candidates with evidence.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column has a draft role classification (dimension/measure/key/attribute) and AI-drafted description.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Re-running ingestion is idempotent; schema changes appear as flagged diffs; approved metadata is never silently overwritten.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metadata queryable and approvable via the REST API; every state change lands in the audit log.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Zero write operations issued against the customer database (verified by DB user permissions and query log review).</w:t>
      </w:r>
    </w:p>
    <w:p>
      <w:pPr>
        <w:pStyle w:val="Heading1"/>
      </w:pPr>
      <w:r>
        <w:t xml:space="preserve">8. Risks &amp; Cautions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1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drafts plausible but wrong descriptions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wrong approved description corrupts every future generated answer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Rule: any description containing a business rule (tax, discounts, cancellations, currency) must be confirmed with a domain owner before approval; otherwise mark needs_clarification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 relationship approved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joins silently produce wrong numbers everywhere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Candidates carry evidence + confidence; approval UI shows the evidence; value-overlap threshold tuned conservatively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Expensive profiling queries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Cost/impact on customer production databases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Sampling, timeouts, and row caps are code-enforced; strongest engineer owns the profiler and the value-overlap check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Team’s limited SQL depth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and profiling logic is database-specific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 Inspector abstracts the catalog work; the two genuinely SQL-heavy pieces (profiler, value-overlap) are assigned to the most experienced engineer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Boiling the ocean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schemas are majority dead tables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 everything, but review/approve domain by domain, starting with the 10–20 most-queried tables</w:t>
            </w:r>
          </w:p>
        </w:tc>
      </w:tr>
    </w:tbl>
    <w:p>
      <w:pPr>
        <w:pStyle w:val="Heading1"/>
      </w:pPr>
      <w:r>
        <w:t xml:space="preserve">9.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/ framework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3.12+, FastAPI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connectivity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 (Inspector API) + dialect drivers (psycopg, pymysql, snowflake-sqlalchemy, sqlalchemy-bigquery)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jobs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 or RQ with Redis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repository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16+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(drafting/classification)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Provider-agnostic client behind an internal interface; model choice is configuration, not code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at rest via KMS/Vault-backed key; environment-based config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Questions or gaps found during implementation: raise them early — do not fill missing business logic with assumptions.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8"/>
        <w:szCs w:val="18"/>
      </w:rPr>
      <w:t xml:space="preserve">Analytics Platform — Module 1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f7f85a5479e58121c3ee29e347faa462dd3a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2026-07-09T06:36:35.095Z</dcterms:created>
  <dcterms:modified xsi:type="dcterms:W3CDTF">2026-07-09T06:36:35.095Z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