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475569"/>
          <w:sz w:val="28"/>
        </w:rPr>
        <w:t>A MINI PROJECT REPORT ON</w:t>
      </w:r>
    </w:p>
    <w:p/>
    <w:p>
      <w:pPr>
        <w:spacing w:after="240"/>
        <w:jc w:val="center"/>
      </w:pPr>
      <w:r>
        <w:rPr>
          <w:rFonts w:ascii="Times New Roman" w:hAnsi="Times New Roman"/>
          <w:b/>
          <w:i w:val="0"/>
          <w:color w:val="0F172A"/>
          <w:sz w:val="40"/>
        </w:rPr>
        <w:t>BHASHA2CODE: A MULTILINGUAL AI CODING ASSISTANT AND EDUCATIONAL SANDBOX</w:t>
      </w:r>
    </w:p>
    <w:p>
      <w:pPr>
        <w:spacing w:after="120"/>
        <w:jc w:val="center"/>
      </w:pPr>
      <w:r>
        <w:rPr>
          <w:rFonts w:ascii="Times New Roman" w:hAnsi="Times New Roman"/>
          <w:b w:val="0"/>
          <w:i/>
          <w:color w:val="475569"/>
          <w:sz w:val="22"/>
        </w:rPr>
        <w:t>SUBMITTED IN PARTIAL FULFILLMENT OF THE REQUIREMENTS FOR THE DEGREE OF</w:t>
      </w:r>
    </w:p>
    <w:p>
      <w:pPr>
        <w:spacing w:after="120"/>
        <w:jc w:val="center"/>
      </w:pPr>
      <w:r>
        <w:rPr>
          <w:rFonts w:ascii="Times New Roman" w:hAnsi="Times New Roman"/>
          <w:b/>
          <w:i w:val="0"/>
          <w:color w:val="0F172A"/>
          <w:sz w:val="28"/>
        </w:rPr>
        <w:t>BACHELOR OF ENGINEERING</w:t>
      </w:r>
    </w:p>
    <w:p>
      <w:pPr>
        <w:spacing w:after="120"/>
        <w:jc w:val="center"/>
      </w:pPr>
      <w:r>
        <w:rPr>
          <w:rFonts w:ascii="Times New Roman" w:hAnsi="Times New Roman"/>
          <w:b w:val="0"/>
          <w:i w:val="0"/>
          <w:color w:val="1E293B"/>
          <w:sz w:val="22"/>
        </w:rPr>
        <w:t>IN</w:t>
      </w:r>
    </w:p>
    <w:p>
      <w:pPr>
        <w:spacing w:after="120"/>
        <w:jc w:val="center"/>
      </w:pPr>
      <w:r>
        <w:rPr>
          <w:rFonts w:ascii="Times New Roman" w:hAnsi="Times New Roman"/>
          <w:b/>
          <w:i w:val="0"/>
          <w:color w:val="0D9488"/>
          <w:sz w:val="30"/>
        </w:rPr>
        <w:t>COMPUTER ENGINEERING</w:t>
      </w:r>
    </w:p>
    <w:p/>
    <w:p>
      <w:pPr>
        <w:spacing w:after="120"/>
        <w:jc w:val="center"/>
      </w:pPr>
      <w:r>
        <w:rPr>
          <w:rFonts w:ascii="Times New Roman" w:hAnsi="Times New Roman"/>
          <w:b/>
          <w:i w:val="0"/>
          <w:color w:val="1E293B"/>
          <w:sz w:val="24"/>
        </w:rPr>
        <w:t>SUBMITTED BY</w:t>
      </w:r>
    </w:p>
    <w:p>
      <w:pPr>
        <w:spacing w:after="120"/>
        <w:jc w:val="center"/>
      </w:pPr>
      <w:r>
        <w:rPr>
          <w:rFonts w:ascii="Times New Roman" w:hAnsi="Times New Roman"/>
          <w:b/>
          <w:i w:val="0"/>
          <w:color w:val="0F172A"/>
          <w:sz w:val="28"/>
        </w:rPr>
        <w:t>TEJAS INGLE</w:t>
      </w:r>
    </w:p>
    <w:p>
      <w:pPr>
        <w:spacing w:after="120"/>
        <w:jc w:val="center"/>
      </w:pPr>
      <w:r>
        <w:rPr>
          <w:rFonts w:ascii="Times New Roman" w:hAnsi="Times New Roman"/>
          <w:b w:val="0"/>
          <w:i w:val="0"/>
          <w:color w:val="334155"/>
          <w:sz w:val="24"/>
        </w:rPr>
        <w:t>PRN: 72421415F | Third Year (T.E.)</w:t>
      </w:r>
    </w:p>
    <w:p/>
    <w:p>
      <w:pPr>
        <w:spacing w:after="120"/>
        <w:jc w:val="center"/>
      </w:pPr>
      <w:r>
        <w:rPr>
          <w:rFonts w:ascii="Times New Roman" w:hAnsi="Times New Roman"/>
          <w:b/>
          <w:i w:val="0"/>
          <w:color w:val="1E293B"/>
          <w:sz w:val="24"/>
        </w:rPr>
        <w:t>UNDER THE GUIDANCE OF</w:t>
      </w:r>
    </w:p>
    <w:p>
      <w:pPr>
        <w:spacing w:after="120"/>
        <w:jc w:val="center"/>
      </w:pPr>
      <w:r>
        <w:rPr>
          <w:rFonts w:ascii="Times New Roman" w:hAnsi="Times New Roman"/>
          <w:b/>
          <w:i w:val="0"/>
          <w:color w:val="0F172A"/>
          <w:sz w:val="28"/>
        </w:rPr>
        <w:t>PROF. GAJANAN GODAGE</w:t>
      </w:r>
    </w:p>
    <w:p>
      <w:pPr>
        <w:spacing w:after="120"/>
        <w:jc w:val="center"/>
      </w:pPr>
      <w:r>
        <w:rPr>
          <w:rFonts w:ascii="Times New Roman" w:hAnsi="Times New Roman"/>
          <w:b w:val="0"/>
          <w:i w:val="0"/>
          <w:color w:val="1E293B"/>
          <w:sz w:val="24"/>
        </w:rPr>
        <w:t>Department of Computer Engineering</w:t>
      </w:r>
    </w:p>
    <w:p/>
    <w:p>
      <w:pPr>
        <w:spacing w:after="120"/>
        <w:jc w:val="center"/>
      </w:pPr>
      <w:r>
        <w:rPr>
          <w:rFonts w:ascii="Times New Roman" w:hAnsi="Times New Roman"/>
          <w:b/>
          <w:i w:val="0"/>
          <w:color w:val="0F172A"/>
          <w:sz w:val="28"/>
        </w:rPr>
        <w:t>NUTAN MAHARASHTRA INSTITUTE OF ENGINEERING AND TECHNOLOGY</w:t>
      </w:r>
    </w:p>
    <w:p>
      <w:pPr>
        <w:spacing w:after="120"/>
        <w:jc w:val="center"/>
      </w:pPr>
      <w:r>
        <w:rPr>
          <w:rFonts w:ascii="Times New Roman" w:hAnsi="Times New Roman"/>
          <w:b/>
          <w:i w:val="0"/>
          <w:color w:val="475569"/>
          <w:sz w:val="24"/>
        </w:rPr>
        <w:t>TALEGAON DABHADE, PUNE – 410507</w:t>
      </w:r>
    </w:p>
    <w:p>
      <w:pPr>
        <w:spacing w:after="120"/>
        <w:jc w:val="center"/>
      </w:pPr>
      <w:r>
        <w:rPr>
          <w:rFonts w:ascii="Times New Roman" w:hAnsi="Times New Roman"/>
          <w:b w:val="0"/>
          <w:i w:val="0"/>
          <w:color w:val="1E293B"/>
          <w:sz w:val="22"/>
        </w:rPr>
        <w:t>AFFILIATED TO SAVITRIBAI PHULE PUNE UNIVERSITY (SPPU)</w:t>
      </w:r>
    </w:p>
    <w:p>
      <w:pPr>
        <w:spacing w:after="120"/>
        <w:jc w:val="center"/>
      </w:pPr>
      <w:r>
        <w:rPr>
          <w:rFonts w:ascii="Times New Roman" w:hAnsi="Times New Roman"/>
          <w:b/>
          <w:i w:val="0"/>
          <w:color w:val="0D9488"/>
          <w:sz w:val="24"/>
        </w:rPr>
        <w:t>ACADEMIC YEAR: 2025 – 2026</w:t>
      </w:r>
    </w:p>
    <w:p>
      <w:r>
        <w:br w:type="page"/>
      </w:r>
    </w:p>
    <w:p>
      <w:pPr>
        <w:spacing w:after="120"/>
        <w:jc w:val="center"/>
      </w:pPr>
      <w:r>
        <w:rPr>
          <w:rFonts w:ascii="Times New Roman" w:hAnsi="Times New Roman"/>
          <w:b/>
          <w:i w:val="0"/>
          <w:color w:val="0F172A"/>
          <w:sz w:val="36"/>
        </w:rPr>
        <w:t>CERTIFICATE</w:t>
      </w:r>
    </w:p>
    <w:p>
      <w:pPr>
        <w:spacing w:after="120"/>
        <w:jc w:val="center"/>
      </w:pPr>
      <w:r>
        <w:rPr>
          <w:rFonts w:ascii="Times New Roman" w:hAnsi="Times New Roman"/>
          <w:b/>
          <w:i w:val="0"/>
          <w:color w:val="1E293B"/>
          <w:sz w:val="24"/>
        </w:rPr>
        <w:t>NUTAN MAHARASHTRA INSTITUTE OF ENGINEERING AND TECHNOLOGY</w:t>
      </w:r>
    </w:p>
    <w:p>
      <w:pPr>
        <w:spacing w:after="120"/>
        <w:jc w:val="center"/>
      </w:pPr>
      <w:r>
        <w:rPr>
          <w:rFonts w:ascii="Times New Roman" w:hAnsi="Times New Roman"/>
          <w:b/>
          <w:i w:val="0"/>
          <w:color w:val="0D9488"/>
          <w:sz w:val="24"/>
        </w:rPr>
        <w:t>DEPARTMENT OF COMPUTER ENGINEERING</w:t>
      </w:r>
    </w:p>
    <w:p/>
    <w:p>
      <w:pPr>
        <w:spacing w:line="312" w:lineRule="auto"/>
      </w:pPr>
      <w:r>
        <w:rPr>
          <w:rFonts w:ascii="Times New Roman" w:hAnsi="Times New Roman"/>
          <w:sz w:val="24"/>
        </w:rPr>
        <w:t>This is to certify that the Mini-Project report entitled "Bhasha2Code: A Multilingual AI Coding Assistant and Educational Sandbox" submitted by Tejas Ingle (PRN: 72421415F) is a bonafide record of work carried out under my supervision and guidance in partial fulfillment of the requirements for the award of the Degree of Bachelor of Engineering in Computer Engineering by Savitribai Phule Pune University during the academic year 2025-2026.</w:t>
        <w:br/>
        <w:br/>
        <w:t>It is certified that all corrections/suggestions indicated for internal evaluation have been incorporated and the project report has been approved as it satisfies the academic requirements prescribed by the University.</w:t>
      </w:r>
    </w:p>
    <w:p/>
    <w:p/>
    <w:tbl>
      <w:tblPr>
        <w:tblW w:type="auto" w:w="0"/>
        <w:jc w:val="center"/>
        <w:tblLook w:firstColumn="1" w:firstRow="1" w:lastColumn="0" w:lastRow="0" w:noHBand="0" w:noVBand="1" w:val="04A0"/>
      </w:tblPr>
      <w:tblGrid>
        <w:gridCol w:w="3000"/>
        <w:gridCol w:w="3000"/>
        <w:gridCol w:w="3000"/>
      </w:tblGrid>
      <w:tr>
        <w:tc>
          <w:tcPr>
            <w:tcW w:type="dxa" w:w="3000"/>
          </w:tcPr>
          <w:p/>
        </w:tc>
        <w:tc>
          <w:tcPr>
            <w:tcW w:type="dxa" w:w="3000"/>
          </w:tcPr>
          <w:p/>
        </w:tc>
        <w:tc>
          <w:tcPr>
            <w:tcW w:type="dxa" w:w="3000"/>
          </w:tcPr>
          <w:p/>
        </w:tc>
      </w:tr>
      <w:tr>
        <w:tc>
          <w:tcPr>
            <w:tcW w:type="dxa" w:w="3000"/>
          </w:tcPr>
          <w:p>
            <w:pPr>
              <w:jc w:val="left"/>
            </w:pPr>
            <w:r>
              <w:rPr>
                <w:rFonts w:ascii="Times New Roman" w:hAnsi="Times New Roman"/>
                <w:b/>
                <w:sz w:val="22"/>
              </w:rPr>
              <w:t>Prof. Gajanan Godage</w:t>
              <w:br/>
              <w:t>Project Guide</w:t>
            </w:r>
          </w:p>
        </w:tc>
        <w:tc>
          <w:tcPr>
            <w:tcW w:type="dxa" w:w="3000"/>
          </w:tcPr>
          <w:p>
            <w:pPr>
              <w:jc w:val="center"/>
            </w:pPr>
            <w:r>
              <w:rPr>
                <w:rFonts w:ascii="Times New Roman" w:hAnsi="Times New Roman"/>
                <w:b/>
                <w:sz w:val="22"/>
              </w:rPr>
              <w:t>Head of Department</w:t>
              <w:br/>
              <w:t>Computer Engineering</w:t>
            </w:r>
          </w:p>
        </w:tc>
        <w:tc>
          <w:tcPr>
            <w:tcW w:type="dxa" w:w="3000"/>
          </w:tcPr>
          <w:p>
            <w:pPr>
              <w:jc w:val="right"/>
            </w:pPr>
            <w:r>
              <w:rPr>
                <w:rFonts w:ascii="Times New Roman" w:hAnsi="Times New Roman"/>
                <w:b/>
                <w:sz w:val="22"/>
              </w:rPr>
              <w:t>Principal</w:t>
              <w:br/>
              <w:t>NMIET, Talegaon</w:t>
            </w:r>
          </w:p>
        </w:tc>
      </w:tr>
    </w:tbl>
    <w:p>
      <w:r>
        <w:br w:type="page"/>
      </w:r>
    </w:p>
    <w:p>
      <w:pPr>
        <w:spacing w:after="120"/>
        <w:jc w:val="left"/>
      </w:pPr>
      <w:r>
        <w:rPr>
          <w:rFonts w:ascii="Times New Roman" w:hAnsi="Times New Roman"/>
          <w:b/>
          <w:i w:val="0"/>
          <w:color w:val="0F172A"/>
          <w:sz w:val="32"/>
        </w:rPr>
        <w:t>CANDIDATE DECLARATION</w:t>
      </w:r>
    </w:p>
    <w:p>
      <w:pPr>
        <w:spacing w:after="120"/>
        <w:jc w:val="left"/>
      </w:pPr>
      <w:r>
        <w:rPr>
          <w:rFonts w:ascii="Times New Roman" w:hAnsi="Times New Roman"/>
          <w:b w:val="0"/>
          <w:i w:val="0"/>
          <w:color w:val="1E293B"/>
          <w:sz w:val="24"/>
        </w:rPr>
        <w:t>I hereby declare that the mini-project entitled "Bhasha2Code: A Multilingual AI Coding Assistant and Educational Sandbox" is an authentic record of our own research and development work carried out at Nutan Maharashtra Institute of Engineering and Technology, Pune, under the supervision of Prof. Gajanan Godage.</w:t>
        <w:br/>
        <w:br/>
        <w:t>I further confirm that this work has not been previously submitted for any degree, diploma, or academic recognition at this or any other university. Wherever prior published research or third-party open-source libraries have been utilized, due credit and formal IEEE citations have been extended.</w:t>
      </w:r>
    </w:p>
    <w:p/>
    <w:p>
      <w:pPr>
        <w:spacing w:after="120"/>
        <w:jc w:val="right"/>
      </w:pPr>
      <w:r>
        <w:rPr>
          <w:rFonts w:ascii="Times New Roman" w:hAnsi="Times New Roman"/>
          <w:b/>
          <w:i w:val="0"/>
          <w:color w:val="1E293B"/>
          <w:sz w:val="23"/>
        </w:rPr>
        <w:t>Tejas Ingle (PRN: 72421415F)</w:t>
        <w:br/>
        <w:t>Third Year Computer Engineering</w:t>
        <w:br/>
        <w:t>NMIET, Talegaon Dabhade</w:t>
      </w:r>
    </w:p>
    <w:p/>
    <w:p>
      <w:pPr>
        <w:spacing w:after="120"/>
        <w:jc w:val="left"/>
      </w:pPr>
      <w:r>
        <w:rPr>
          <w:rFonts w:ascii="Times New Roman" w:hAnsi="Times New Roman"/>
          <w:b/>
          <w:i w:val="0"/>
          <w:color w:val="0F172A"/>
          <w:sz w:val="32"/>
        </w:rPr>
        <w:t>ACKNOWLEDGEMENT</w:t>
      </w:r>
    </w:p>
    <w:p>
      <w:pPr>
        <w:spacing w:after="120"/>
        <w:jc w:val="left"/>
      </w:pPr>
      <w:r>
        <w:rPr>
          <w:rFonts w:ascii="Times New Roman" w:hAnsi="Times New Roman"/>
          <w:b w:val="0"/>
          <w:i w:val="0"/>
          <w:color w:val="1E293B"/>
          <w:sz w:val="24"/>
        </w:rPr>
        <w:t>I express our deepest gratitude to our project guide, Prof. Gajanan Godage, for his invaluable encouragement, constructive critique, and continuous technical mentorship throughout the formulation and execution of this project.</w:t>
        <w:br/>
        <w:br/>
        <w:t>I also extend our sincere thanks to the Head of the Department of Computer Engineering and the Principal of NMIET for providing excellent laboratory facilities, computational infrastructure, and academic encouragement.</w:t>
        <w:br/>
        <w:br/>
        <w:t>Lastly, I thank our peers, faculty members, and family whose sustained support enabled the completion of this engineering endeavour.</w:t>
      </w:r>
    </w:p>
    <w:p>
      <w:r>
        <w:br w:type="page"/>
      </w:r>
    </w:p>
    <w:p>
      <w:pPr>
        <w:spacing w:after="120"/>
        <w:jc w:val="center"/>
      </w:pPr>
      <w:r>
        <w:rPr>
          <w:rFonts w:ascii="Times New Roman" w:hAnsi="Times New Roman"/>
          <w:b/>
          <w:i w:val="0"/>
          <w:color w:val="0F172A"/>
          <w:sz w:val="36"/>
        </w:rPr>
        <w:t>ABSTRACT</w:t>
      </w:r>
    </w:p>
    <w:p/>
    <w:p>
      <w:pPr>
        <w:spacing w:after="120"/>
        <w:jc w:val="left"/>
      </w:pPr>
      <w:r>
        <w:rPr>
          <w:rFonts w:ascii="Times New Roman" w:hAnsi="Times New Roman"/>
          <w:b w:val="0"/>
          <w:i w:val="0"/>
          <w:color w:val="1E293B"/>
          <w:sz w:val="24"/>
        </w:rPr>
        <w:t>Modern artificial intelligence-powered coding assistants—such as GitHub Copilot and ChatGPT—rely overwhelmingly on English-centric training paradigms and cloud-hosted Large Language Model (LLM) APIs. For engineering and polytechnic students in regional Indian settings whose primary cognitive language is Marathi, Hindi, or conversational code-mixed vernaculars (Hinglish / Marathi-English), articulating algorithmic logic in formal English creates an unnecessary cognitive barrier. Furthermore, commercial cloud assistants suffer from severe privacy vulnerabilities, recurring API subscription costs, and a complete lack of isolated local execution sandboxes.</w:t>
        <w:br/>
        <w:br/>
        <w:t>To mitigate these challenges, this project introduces Bhasha2Code: an integrated, end-to-end multilingual AI coding assistant and pedagogical execution sandbox designed to operate completely offline on consumer-grade engineering workstation hardware. The system incorporates a hybrid natural language processing architecture combining statistical natural language classification with local, parameter-efficient code language models. User prompts expressed in regional or code-mixed dialects are preprocessed through an Indic script normalizer and passed through dual TF-IDF n-gram vectorizers and Logistic Regression classifiers to accurately detect user intent (across 18 functional classes) and communication tone. A contextual prompt synthesizer transforms these linguistic features into structured directives fed into a quantized local LLM (Qwen2.5-Coder:1.5B via Ollama).</w:t>
        <w:br/>
        <w:br/>
        <w:t>Before presentation or execution, generated code is parsed through a Python Abstract Syntax Tree (AST) validator to eliminate syntactic hallucinations and filter hazardous system calls. When execution is requested, the code is executed within an ephemeral Docker container restricted to 256MB of RAM, 1 CPU core, and disabled networking. Rigorous evaluation across 1,080 annotated multilingual utterances demonstrates an intent classification accuracy of 92.59% and a macro F1-score of 0.9239, with local CPU inference sustaining 16.54 tokens per second and achieving 100% test pass rate across 490 backend test cases.</w:t>
      </w:r>
    </w:p>
    <w:p/>
    <w:p>
      <w:pPr>
        <w:spacing w:after="120"/>
        <w:jc w:val="left"/>
      </w:pPr>
      <w:r>
        <w:rPr>
          <w:rFonts w:ascii="Times New Roman" w:hAnsi="Times New Roman"/>
          <w:b w:val="0"/>
          <w:i/>
          <w:color w:val="0D9488"/>
          <w:sz w:val="22"/>
        </w:rPr>
        <w:t>Keywords: Natural Language Processing (NLP), Multilingual Code Generation, Indic Script Normalization, Local LLMs, Ollama, Abstract Syntax Tree (AST), Docker Sandboxing, Engineering Education.</w:t>
      </w:r>
    </w:p>
    <w:p>
      <w:r>
        <w:br w:type="page"/>
      </w:r>
    </w:p>
    <w:p>
      <w:pPr>
        <w:spacing w:after="120"/>
        <w:jc w:val="left"/>
      </w:pPr>
      <w:r>
        <w:rPr>
          <w:rFonts w:ascii="Times New Roman" w:hAnsi="Times New Roman"/>
          <w:b/>
          <w:i w:val="0"/>
          <w:color w:val="0F172A"/>
          <w:sz w:val="32"/>
        </w:rPr>
        <w:t>TABLE OF CONTENTS</w:t>
      </w:r>
    </w:p>
    <w:p>
      <w:pPr>
        <w:spacing w:after="40" w:line="276" w:lineRule="auto"/>
      </w:pPr>
      <w:r>
        <w:rPr>
          <w:rFonts w:ascii="Times New Roman" w:hAnsi="Times New Roman"/>
          <w:b/>
          <w:color w:val="0F172A"/>
          <w:sz w:val="22"/>
        </w:rPr>
        <w:t>1. Introduction</w:t>
      </w:r>
    </w:p>
    <w:p>
      <w:pPr>
        <w:spacing w:after="40" w:line="276" w:lineRule="auto"/>
      </w:pPr>
      <w:r>
        <w:rPr>
          <w:rFonts w:ascii="Times New Roman" w:hAnsi="Times New Roman"/>
          <w:color w:val="334155"/>
          <w:sz w:val="22"/>
        </w:rPr>
        <w:t xml:space="preserve">   1.1 Background and Motivation</w:t>
      </w:r>
    </w:p>
    <w:p>
      <w:pPr>
        <w:spacing w:after="40" w:line="276" w:lineRule="auto"/>
      </w:pPr>
      <w:r>
        <w:rPr>
          <w:rFonts w:ascii="Times New Roman" w:hAnsi="Times New Roman"/>
          <w:color w:val="334155"/>
          <w:sz w:val="22"/>
        </w:rPr>
        <w:t xml:space="preserve">   1.2 Problem Statement</w:t>
      </w:r>
    </w:p>
    <w:p>
      <w:pPr>
        <w:spacing w:after="40" w:line="276" w:lineRule="auto"/>
      </w:pPr>
      <w:r>
        <w:rPr>
          <w:rFonts w:ascii="Times New Roman" w:hAnsi="Times New Roman"/>
          <w:color w:val="334155"/>
          <w:sz w:val="22"/>
        </w:rPr>
        <w:t xml:space="preserve">   1.3 Project Objectives</w:t>
      </w:r>
    </w:p>
    <w:p>
      <w:pPr>
        <w:spacing w:after="40" w:line="276" w:lineRule="auto"/>
      </w:pPr>
      <w:r>
        <w:rPr>
          <w:rFonts w:ascii="Times New Roman" w:hAnsi="Times New Roman"/>
          <w:color w:val="334155"/>
          <w:sz w:val="22"/>
        </w:rPr>
        <w:t xml:space="preserve">   1.4 Scope and Limitations</w:t>
      </w:r>
    </w:p>
    <w:p>
      <w:pPr>
        <w:spacing w:after="40" w:line="276" w:lineRule="auto"/>
      </w:pPr>
      <w:r>
        <w:rPr>
          <w:rFonts w:ascii="Times New Roman" w:hAnsi="Times New Roman"/>
          <w:b/>
          <w:color w:val="0F172A"/>
          <w:sz w:val="22"/>
        </w:rPr>
        <w:t>2. Literature Survey</w:t>
      </w:r>
    </w:p>
    <w:p>
      <w:pPr>
        <w:spacing w:after="40" w:line="276" w:lineRule="auto"/>
      </w:pPr>
      <w:r>
        <w:rPr>
          <w:rFonts w:ascii="Times New Roman" w:hAnsi="Times New Roman"/>
          <w:color w:val="334155"/>
          <w:sz w:val="22"/>
        </w:rPr>
        <w:t xml:space="preserve">   2.1 Prior Work in Code LLMs and Indic NLP</w:t>
      </w:r>
    </w:p>
    <w:p>
      <w:pPr>
        <w:spacing w:after="40" w:line="276" w:lineRule="auto"/>
      </w:pPr>
      <w:r>
        <w:rPr>
          <w:rFonts w:ascii="Times New Roman" w:hAnsi="Times New Roman"/>
          <w:color w:val="334155"/>
          <w:sz w:val="22"/>
        </w:rPr>
        <w:t xml:space="preserve">   2.2 Comparative Summary of Literature</w:t>
      </w:r>
    </w:p>
    <w:p>
      <w:pPr>
        <w:spacing w:after="40" w:line="276" w:lineRule="auto"/>
      </w:pPr>
      <w:r>
        <w:rPr>
          <w:rFonts w:ascii="Times New Roman" w:hAnsi="Times New Roman"/>
          <w:color w:val="334155"/>
          <w:sz w:val="22"/>
        </w:rPr>
        <w:t xml:space="preserve">   2.3 Research Gaps Identified</w:t>
      </w:r>
    </w:p>
    <w:p>
      <w:pPr>
        <w:spacing w:after="40" w:line="276" w:lineRule="auto"/>
      </w:pPr>
      <w:r>
        <w:rPr>
          <w:rFonts w:ascii="Times New Roman" w:hAnsi="Times New Roman"/>
          <w:b/>
          <w:color w:val="0F172A"/>
          <w:sz w:val="22"/>
        </w:rPr>
        <w:t>3. System Architecture &amp; Methodology</w:t>
      </w:r>
    </w:p>
    <w:p>
      <w:pPr>
        <w:spacing w:after="40" w:line="276" w:lineRule="auto"/>
      </w:pPr>
      <w:r>
        <w:rPr>
          <w:rFonts w:ascii="Times New Roman" w:hAnsi="Times New Roman"/>
          <w:color w:val="334155"/>
          <w:sz w:val="22"/>
        </w:rPr>
        <w:t xml:space="preserve">   3.1 Layered System Architecture</w:t>
      </w:r>
    </w:p>
    <w:p>
      <w:pPr>
        <w:spacing w:after="40" w:line="276" w:lineRule="auto"/>
      </w:pPr>
      <w:r>
        <w:rPr>
          <w:rFonts w:ascii="Times New Roman" w:hAnsi="Times New Roman"/>
          <w:color w:val="334155"/>
          <w:sz w:val="22"/>
        </w:rPr>
        <w:t xml:space="preserve">   3.2 Hardware and Functional Block Diagram</w:t>
      </w:r>
    </w:p>
    <w:p>
      <w:pPr>
        <w:spacing w:after="40" w:line="276" w:lineRule="auto"/>
      </w:pPr>
      <w:r>
        <w:rPr>
          <w:rFonts w:ascii="Times New Roman" w:hAnsi="Times New Roman"/>
          <w:color w:val="334155"/>
          <w:sz w:val="22"/>
        </w:rPr>
        <w:t xml:space="preserve">   3.3 End-to-End System Flowchart</w:t>
      </w:r>
    </w:p>
    <w:p>
      <w:pPr>
        <w:spacing w:after="40" w:line="276" w:lineRule="auto"/>
      </w:pPr>
      <w:r>
        <w:rPr>
          <w:rFonts w:ascii="Times New Roman" w:hAnsi="Times New Roman"/>
          <w:color w:val="334155"/>
          <w:sz w:val="22"/>
        </w:rPr>
        <w:t xml:space="preserve">   3.4 Mathematical and NLP Formulation</w:t>
      </w:r>
    </w:p>
    <w:p>
      <w:pPr>
        <w:spacing w:after="40" w:line="276" w:lineRule="auto"/>
      </w:pPr>
      <w:r>
        <w:rPr>
          <w:rFonts w:ascii="Times New Roman" w:hAnsi="Times New Roman"/>
          <w:b/>
          <w:color w:val="0F172A"/>
          <w:sz w:val="22"/>
        </w:rPr>
        <w:t>4. Implementation Details</w:t>
      </w:r>
    </w:p>
    <w:p>
      <w:pPr>
        <w:spacing w:after="40" w:line="276" w:lineRule="auto"/>
      </w:pPr>
      <w:r>
        <w:rPr>
          <w:rFonts w:ascii="Times New Roman" w:hAnsi="Times New Roman"/>
          <w:color w:val="334155"/>
          <w:sz w:val="22"/>
        </w:rPr>
        <w:t xml:space="preserve">   4.1 Indic Preprocessing &amp; Normalization</w:t>
      </w:r>
    </w:p>
    <w:p>
      <w:pPr>
        <w:spacing w:after="40" w:line="276" w:lineRule="auto"/>
      </w:pPr>
      <w:r>
        <w:rPr>
          <w:rFonts w:ascii="Times New Roman" w:hAnsi="Times New Roman"/>
          <w:color w:val="334155"/>
          <w:sz w:val="22"/>
        </w:rPr>
        <w:t xml:space="preserve">   4.2 Dual Classification Engine (Intent &amp; Tone)</w:t>
      </w:r>
    </w:p>
    <w:p>
      <w:pPr>
        <w:spacing w:after="40" w:line="276" w:lineRule="auto"/>
      </w:pPr>
      <w:r>
        <w:rPr>
          <w:rFonts w:ascii="Times New Roman" w:hAnsi="Times New Roman"/>
          <w:color w:val="334155"/>
          <w:sz w:val="22"/>
        </w:rPr>
        <w:t xml:space="preserve">   4.3 Contextual Prompt Engineering</w:t>
      </w:r>
    </w:p>
    <w:p>
      <w:pPr>
        <w:spacing w:after="40" w:line="276" w:lineRule="auto"/>
      </w:pPr>
      <w:r>
        <w:rPr>
          <w:rFonts w:ascii="Times New Roman" w:hAnsi="Times New Roman"/>
          <w:color w:val="334155"/>
          <w:sz w:val="22"/>
        </w:rPr>
        <w:t xml:space="preserve">   4.4 Local LLM Integration (Ollama + Qwen2.5-Coder)</w:t>
      </w:r>
    </w:p>
    <w:p>
      <w:pPr>
        <w:spacing w:after="40" w:line="276" w:lineRule="auto"/>
      </w:pPr>
      <w:r>
        <w:rPr>
          <w:rFonts w:ascii="Times New Roman" w:hAnsi="Times New Roman"/>
          <w:color w:val="334155"/>
          <w:sz w:val="22"/>
        </w:rPr>
        <w:t xml:space="preserve">   4.5 AST Validation &amp; Security Filters</w:t>
      </w:r>
    </w:p>
    <w:p>
      <w:pPr>
        <w:spacing w:after="40" w:line="276" w:lineRule="auto"/>
      </w:pPr>
      <w:r>
        <w:rPr>
          <w:rFonts w:ascii="Times New Roman" w:hAnsi="Times New Roman"/>
          <w:color w:val="334155"/>
          <w:sz w:val="22"/>
        </w:rPr>
        <w:t xml:space="preserve">   4.6 Docker-Based Containerized Sandbox</w:t>
      </w:r>
    </w:p>
    <w:p>
      <w:pPr>
        <w:spacing w:after="40" w:line="276" w:lineRule="auto"/>
      </w:pPr>
      <w:r>
        <w:rPr>
          <w:rFonts w:ascii="Times New Roman" w:hAnsi="Times New Roman"/>
          <w:color w:val="334155"/>
          <w:sz w:val="22"/>
        </w:rPr>
        <w:t xml:space="preserve">   4.7 Database Schema &amp; REST API Design</w:t>
      </w:r>
    </w:p>
    <w:p>
      <w:pPr>
        <w:spacing w:after="40" w:line="276" w:lineRule="auto"/>
      </w:pPr>
      <w:r>
        <w:rPr>
          <w:rFonts w:ascii="Times New Roman" w:hAnsi="Times New Roman"/>
          <w:b/>
          <w:color w:val="0F172A"/>
          <w:sz w:val="22"/>
        </w:rPr>
        <w:t>5. Results, Testing &amp; Performance Analysis</w:t>
      </w:r>
    </w:p>
    <w:p>
      <w:pPr>
        <w:spacing w:after="40" w:line="276" w:lineRule="auto"/>
      </w:pPr>
      <w:r>
        <w:rPr>
          <w:rFonts w:ascii="Times New Roman" w:hAnsi="Times New Roman"/>
          <w:color w:val="334155"/>
          <w:sz w:val="22"/>
        </w:rPr>
        <w:t xml:space="preserve">   5.1 Intent Dataset Breakdown</w:t>
      </w:r>
    </w:p>
    <w:p>
      <w:pPr>
        <w:spacing w:after="40" w:line="276" w:lineRule="auto"/>
      </w:pPr>
      <w:r>
        <w:rPr>
          <w:rFonts w:ascii="Times New Roman" w:hAnsi="Times New Roman"/>
          <w:color w:val="334155"/>
          <w:sz w:val="22"/>
        </w:rPr>
        <w:t xml:space="preserve">   5.2 NLP Classification Metrics &amp; Confusion Matrix</w:t>
      </w:r>
    </w:p>
    <w:p>
      <w:pPr>
        <w:spacing w:after="40" w:line="276" w:lineRule="auto"/>
      </w:pPr>
      <w:r>
        <w:rPr>
          <w:rFonts w:ascii="Times New Roman" w:hAnsi="Times New Roman"/>
          <w:color w:val="334155"/>
          <w:sz w:val="22"/>
        </w:rPr>
        <w:t xml:space="preserve">   5.3 Inference Latency &amp; Token Generation Benchmark</w:t>
      </w:r>
    </w:p>
    <w:p>
      <w:pPr>
        <w:spacing w:after="40" w:line="276" w:lineRule="auto"/>
      </w:pPr>
      <w:r>
        <w:rPr>
          <w:rFonts w:ascii="Times New Roman" w:hAnsi="Times New Roman"/>
          <w:color w:val="334155"/>
          <w:sz w:val="22"/>
        </w:rPr>
        <w:t xml:space="preserve">   5.4 Software Test Suite &amp; Code Coverage</w:t>
      </w:r>
    </w:p>
    <w:p>
      <w:pPr>
        <w:spacing w:after="40" w:line="276" w:lineRule="auto"/>
      </w:pPr>
      <w:r>
        <w:rPr>
          <w:rFonts w:ascii="Times New Roman" w:hAnsi="Times New Roman"/>
          <w:b/>
          <w:color w:val="0F172A"/>
          <w:sz w:val="22"/>
        </w:rPr>
        <w:t>6. Conclusion, Limitations &amp; Future Work</w:t>
      </w:r>
    </w:p>
    <w:p>
      <w:pPr>
        <w:spacing w:after="40" w:line="276" w:lineRule="auto"/>
      </w:pPr>
      <w:r>
        <w:rPr>
          <w:rFonts w:ascii="Times New Roman" w:hAnsi="Times New Roman"/>
          <w:color w:val="334155"/>
          <w:sz w:val="22"/>
        </w:rPr>
        <w:t xml:space="preserve">   6.1 Conclusion</w:t>
      </w:r>
    </w:p>
    <w:p>
      <w:pPr>
        <w:spacing w:after="40" w:line="276" w:lineRule="auto"/>
      </w:pPr>
      <w:r>
        <w:rPr>
          <w:rFonts w:ascii="Times New Roman" w:hAnsi="Times New Roman"/>
          <w:color w:val="334155"/>
          <w:sz w:val="22"/>
        </w:rPr>
        <w:t xml:space="preserve">   6.2 Technical Limitations</w:t>
      </w:r>
    </w:p>
    <w:p>
      <w:pPr>
        <w:spacing w:after="40" w:line="276" w:lineRule="auto"/>
      </w:pPr>
      <w:r>
        <w:rPr>
          <w:rFonts w:ascii="Times New Roman" w:hAnsi="Times New Roman"/>
          <w:color w:val="334155"/>
          <w:sz w:val="22"/>
        </w:rPr>
        <w:t xml:space="preserve">   6.3 Future Enhancements</w:t>
      </w:r>
    </w:p>
    <w:p>
      <w:pPr>
        <w:spacing w:after="40" w:line="276" w:lineRule="auto"/>
      </w:pPr>
      <w:r>
        <w:rPr>
          <w:rFonts w:ascii="Times New Roman" w:hAnsi="Times New Roman"/>
          <w:b/>
          <w:color w:val="0F172A"/>
          <w:sz w:val="22"/>
        </w:rPr>
        <w:t>References</w:t>
      </w:r>
    </w:p>
    <w:p>
      <w:r>
        <w:br w:type="page"/>
      </w:r>
    </w:p>
    <w:p>
      <w:pPr>
        <w:keepNext/>
        <w:spacing w:before="320" w:after="160"/>
      </w:pPr>
      <w:r>
        <w:rPr>
          <w:rFonts w:ascii="Times New Roman" w:hAnsi="Times New Roman"/>
          <w:b/>
          <w:color w:val="0F172A"/>
          <w:sz w:val="32"/>
        </w:rPr>
        <w:t>CHAPTER 1: INTRODUCTION</w:t>
      </w:r>
    </w:p>
    <w:p>
      <w:pPr>
        <w:keepNext/>
        <w:spacing w:before="240" w:after="120"/>
      </w:pPr>
      <w:r>
        <w:rPr>
          <w:rFonts w:ascii="Times New Roman" w:hAnsi="Times New Roman"/>
          <w:b/>
          <w:color w:val="0D9488"/>
          <w:sz w:val="26"/>
        </w:rPr>
        <w:t>1.1 Background and Motivation</w:t>
      </w:r>
    </w:p>
    <w:p>
      <w:pPr>
        <w:spacing w:after="120"/>
        <w:jc w:val="left"/>
      </w:pPr>
      <w:r>
        <w:rPr>
          <w:rFonts w:ascii="Times New Roman" w:hAnsi="Times New Roman"/>
          <w:b w:val="0"/>
          <w:i w:val="0"/>
          <w:color w:val="1E293B"/>
          <w:sz w:val="24"/>
        </w:rPr>
        <w:t>Over the past three years, the intersection of Natural Language Processing (NLP) and software engineering has undergone a paradigm shift driven by generative foundation models. Developers worldwide increasingly rely on automated code completion, explanation, and debugging utilities to accelerate development workflows. However, existing commercial state-of-the-art tools—such as GitHub Copilot, OpenAI ChatGPT, and Anthropic Claude—suffer from three fundamental systemic limitations in regional academic contexts:</w:t>
      </w:r>
    </w:p>
    <w:p>
      <w:pPr>
        <w:pStyle w:val="ListBullet"/>
        <w:spacing w:after="80" w:line="276" w:lineRule="auto"/>
      </w:pPr>
      <w:r>
        <w:rPr>
          <w:rFonts w:ascii="Times New Roman" w:hAnsi="Times New Roman"/>
          <w:b/>
          <w:color w:val="0F172A"/>
          <w:sz w:val="23"/>
        </w:rPr>
        <w:t xml:space="preserve">1. </w:t>
      </w:r>
      <w:r>
        <w:rPr>
          <w:rFonts w:ascii="Times New Roman" w:hAnsi="Times New Roman"/>
          <w:color w:val="334155"/>
          <w:sz w:val="23"/>
        </w:rPr>
        <w:t>Anglocentric Model Bias: Foundation code models are predominantly pre-trained on English documentation and English natural language prompt corpora. When non-native students formulate queries in Indic languages such as Marathi, Hindi, or conversational code-mixed dialects (e.g., Hinglish: "ek list filter karun even numbers print karnara function liha"), conventional tools fail to parse user intent accurately or produce verbose, garbled responses.</w:t>
      </w:r>
    </w:p>
    <w:p>
      <w:pPr>
        <w:pStyle w:val="ListBullet"/>
        <w:spacing w:after="80" w:line="276" w:lineRule="auto"/>
      </w:pPr>
      <w:r>
        <w:rPr>
          <w:rFonts w:ascii="Times New Roman" w:hAnsi="Times New Roman"/>
          <w:b/>
          <w:color w:val="0F172A"/>
          <w:sz w:val="23"/>
        </w:rPr>
        <w:t xml:space="preserve">2. </w:t>
      </w:r>
      <w:r>
        <w:rPr>
          <w:rFonts w:ascii="Times New Roman" w:hAnsi="Times New Roman"/>
          <w:color w:val="334155"/>
          <w:sz w:val="23"/>
        </w:rPr>
        <w:t>Cloud Dependency and Data Privacy: Cloud-based assistants transmit user code, keystrokes, and proprietary scripts across remote third-party servers. In educational, competitive, or proprietary environments, this creates substantial intellectual property and privacy liabilities, alongside recurring token subscription costs.</w:t>
      </w:r>
    </w:p>
    <w:p>
      <w:pPr>
        <w:pStyle w:val="ListBullet"/>
        <w:spacing w:after="80" w:line="276" w:lineRule="auto"/>
      </w:pPr>
      <w:r>
        <w:rPr>
          <w:rFonts w:ascii="Times New Roman" w:hAnsi="Times New Roman"/>
          <w:b/>
          <w:color w:val="0F172A"/>
          <w:sz w:val="23"/>
        </w:rPr>
        <w:t xml:space="preserve">3. </w:t>
      </w:r>
      <w:r>
        <w:rPr>
          <w:rFonts w:ascii="Times New Roman" w:hAnsi="Times New Roman"/>
          <w:color w:val="334155"/>
          <w:sz w:val="23"/>
        </w:rPr>
        <w:t>Absence of Safe Code Execution: Cloud LLM interfaces output static text or raw markdown code snippets without verifying if the generated syntax is valid or executable. Novice learners must manually copy-paste untrusted code into local terminal shells, exposing their operating system to infinite loops, fork bombs, or malicious disk deletion scripts.</w:t>
      </w:r>
    </w:p>
    <w:p>
      <w:pPr>
        <w:keepNext/>
        <w:spacing w:before="240" w:after="120"/>
      </w:pPr>
      <w:r>
        <w:rPr>
          <w:rFonts w:ascii="Times New Roman" w:hAnsi="Times New Roman"/>
          <w:b/>
          <w:color w:val="0D9488"/>
          <w:sz w:val="26"/>
        </w:rPr>
        <w:t>1.2 Problem Statement</w:t>
      </w:r>
    </w:p>
    <w:p>
      <w:pPr>
        <w:spacing w:after="120"/>
        <w:jc w:val="left"/>
      </w:pPr>
      <w:r>
        <w:rPr>
          <w:rFonts w:ascii="Times New Roman" w:hAnsi="Times New Roman"/>
          <w:b w:val="0"/>
          <w:i w:val="0"/>
          <w:color w:val="1E293B"/>
          <w:sz w:val="24"/>
        </w:rPr>
        <w:t>"To design, implement, and empirically validate an offline, multilingual AI coding assistant capable of accurately classifying natural language intent and tone from regional Indic and code-mixed utterances (Hindi, Marathi, Hinglish), synthesizing syntactically sound code and educational explanations using a localized parameter-efficient LLM, and validating and executing generated programs within an isolated, resource-capped containerized sandbox without internet reliance."</w:t>
      </w:r>
    </w:p>
    <w:p>
      <w:pPr>
        <w:keepNext/>
        <w:spacing w:before="240" w:after="120"/>
      </w:pPr>
      <w:r>
        <w:rPr>
          <w:rFonts w:ascii="Times New Roman" w:hAnsi="Times New Roman"/>
          <w:b/>
          <w:color w:val="0D9488"/>
          <w:sz w:val="26"/>
        </w:rPr>
        <w:t>1.3 Project Objectives</w:t>
      </w:r>
    </w:p>
    <w:p>
      <w:pPr>
        <w:spacing w:after="120"/>
        <w:jc w:val="left"/>
      </w:pPr>
      <w:r>
        <w:rPr>
          <w:rFonts w:ascii="Times New Roman" w:hAnsi="Times New Roman"/>
          <w:b w:val="0"/>
          <w:i w:val="0"/>
          <w:color w:val="1E293B"/>
          <w:sz w:val="24"/>
        </w:rPr>
        <w:t>The project defines five concrete, measurable engineering objectives:</w:t>
      </w:r>
    </w:p>
    <w:p>
      <w:pPr>
        <w:pStyle w:val="ListBullet"/>
        <w:spacing w:after="80" w:line="276" w:lineRule="auto"/>
      </w:pPr>
      <w:r>
        <w:rPr>
          <w:rFonts w:ascii="Times New Roman" w:hAnsi="Times New Roman"/>
          <w:b/>
          <w:color w:val="0F172A"/>
          <w:sz w:val="23"/>
        </w:rPr>
        <w:t xml:space="preserve">Objective 1: </w:t>
      </w:r>
      <w:r>
        <w:rPr>
          <w:rFonts w:ascii="Times New Roman" w:hAnsi="Times New Roman"/>
          <w:color w:val="334155"/>
          <w:sz w:val="23"/>
        </w:rPr>
        <w:t>Multilingual NLP Pipeline: Develop an Indic text normalization and feature extraction pipeline supporting Devanagari and Latin code-mixed transcripts.</w:t>
      </w:r>
    </w:p>
    <w:p>
      <w:pPr>
        <w:pStyle w:val="ListBullet"/>
        <w:spacing w:after="80" w:line="276" w:lineRule="auto"/>
      </w:pPr>
      <w:r>
        <w:rPr>
          <w:rFonts w:ascii="Times New Roman" w:hAnsi="Times New Roman"/>
          <w:b/>
          <w:color w:val="0F172A"/>
          <w:sz w:val="23"/>
        </w:rPr>
        <w:t xml:space="preserve">Objective 2: </w:t>
      </w:r>
      <w:r>
        <w:rPr>
          <w:rFonts w:ascii="Times New Roman" w:hAnsi="Times New Roman"/>
          <w:color w:val="334155"/>
          <w:sz w:val="23"/>
        </w:rPr>
        <w:t>Dual-Head Classification: Train lightweight statistical classifiers (TF-IDF + Logistic Regression) achieving over 90% classification accuracy across 18 intent classes and communication tone nuances.</w:t>
      </w:r>
    </w:p>
    <w:p>
      <w:pPr>
        <w:pStyle w:val="ListBullet"/>
        <w:spacing w:after="80" w:line="276" w:lineRule="auto"/>
      </w:pPr>
      <w:r>
        <w:rPr>
          <w:rFonts w:ascii="Times New Roman" w:hAnsi="Times New Roman"/>
          <w:b/>
          <w:color w:val="0F172A"/>
          <w:sz w:val="23"/>
        </w:rPr>
        <w:t xml:space="preserve">Objective 3: </w:t>
      </w:r>
      <w:r>
        <w:rPr>
          <w:rFonts w:ascii="Times New Roman" w:hAnsi="Times New Roman"/>
          <w:color w:val="334155"/>
          <w:sz w:val="23"/>
        </w:rPr>
        <w:t>Local Inference Integration: Integrate an optimized, quantized local code model (Qwen2.5-Coder:1.5B via Ollama) capable of generating Python code on standard consumer CPU hardware at over 15 tokens per second.</w:t>
      </w:r>
    </w:p>
    <w:p>
      <w:pPr>
        <w:pStyle w:val="ListBullet"/>
        <w:spacing w:after="80" w:line="276" w:lineRule="auto"/>
      </w:pPr>
      <w:r>
        <w:rPr>
          <w:rFonts w:ascii="Times New Roman" w:hAnsi="Times New Roman"/>
          <w:b/>
          <w:color w:val="0F172A"/>
          <w:sz w:val="23"/>
        </w:rPr>
        <w:t xml:space="preserve">Objective 4: </w:t>
      </w:r>
      <w:r>
        <w:rPr>
          <w:rFonts w:ascii="Times New Roman" w:hAnsi="Times New Roman"/>
          <w:color w:val="334155"/>
          <w:sz w:val="23"/>
        </w:rPr>
        <w:t>AST Syntax &amp; Safety Verification: Build an automated Abstract Syntax Tree parser that statically inspects generated code blocks to filter dangerous syscalls and detect syntax hallucinations prior to execution.</w:t>
      </w:r>
    </w:p>
    <w:p>
      <w:pPr>
        <w:pStyle w:val="ListBullet"/>
        <w:spacing w:after="80" w:line="276" w:lineRule="auto"/>
      </w:pPr>
      <w:r>
        <w:rPr>
          <w:rFonts w:ascii="Times New Roman" w:hAnsi="Times New Roman"/>
          <w:b/>
          <w:color w:val="0F172A"/>
          <w:sz w:val="23"/>
        </w:rPr>
        <w:t xml:space="preserve">Objective 5: </w:t>
      </w:r>
      <w:r>
        <w:rPr>
          <w:rFonts w:ascii="Times New Roman" w:hAnsi="Times New Roman"/>
          <w:color w:val="334155"/>
          <w:sz w:val="23"/>
        </w:rPr>
        <w:t>Containerized Educational Sandbox: Implement an ephemeral Docker-based sandbox with strict resource limits (256MB RAM, 1 CPU core, disabled networking, 10s execution timeout) to execute user programs securely.</w:t>
      </w:r>
    </w:p>
    <w:p>
      <w:pPr>
        <w:keepNext/>
        <w:spacing w:before="240" w:after="120"/>
      </w:pPr>
      <w:r>
        <w:rPr>
          <w:rFonts w:ascii="Times New Roman" w:hAnsi="Times New Roman"/>
          <w:b/>
          <w:color w:val="0D9488"/>
          <w:sz w:val="26"/>
        </w:rPr>
        <w:t>1.4 Scope and Limitations</w:t>
      </w:r>
    </w:p>
    <w:p>
      <w:pPr>
        <w:spacing w:after="120"/>
        <w:jc w:val="left"/>
      </w:pPr>
      <w:r>
        <w:rPr>
          <w:rFonts w:ascii="Times New Roman" w:hAnsi="Times New Roman"/>
          <w:b w:val="0"/>
          <w:i w:val="0"/>
          <w:color w:val="1E293B"/>
          <w:sz w:val="24"/>
        </w:rPr>
        <w:t>The current scope of Bhasha2Code is tailored for undergraduate and polytechnic programming pedagogy, focusing primarily on Python algorithmic problem solving, data structures, and foundational software engineering. Hardware constraints limit local inference to quantized 1.5B and 3B parameter models on consumer workstations; large-scale enterprise multi-file repository refactoring remains future work.</w:t>
      </w:r>
    </w:p>
    <w:p>
      <w:r>
        <w:br w:type="page"/>
      </w:r>
    </w:p>
    <w:p>
      <w:pPr>
        <w:keepNext/>
        <w:spacing w:before="320" w:after="160"/>
      </w:pPr>
      <w:r>
        <w:rPr>
          <w:rFonts w:ascii="Times New Roman" w:hAnsi="Times New Roman"/>
          <w:b/>
          <w:color w:val="0F172A"/>
          <w:sz w:val="32"/>
        </w:rPr>
        <w:t>CHAPTER 2: LITERATURE SURVEY</w:t>
      </w:r>
    </w:p>
    <w:p>
      <w:pPr>
        <w:keepNext/>
        <w:spacing w:before="240" w:after="120"/>
      </w:pPr>
      <w:r>
        <w:rPr>
          <w:rFonts w:ascii="Times New Roman" w:hAnsi="Times New Roman"/>
          <w:b/>
          <w:color w:val="0D9488"/>
          <w:sz w:val="26"/>
        </w:rPr>
        <w:t>2.1 Prior Work in Code LLMs and Indic NLP</w:t>
      </w:r>
    </w:p>
    <w:p>
      <w:pPr>
        <w:spacing w:after="120"/>
        <w:jc w:val="left"/>
      </w:pPr>
      <w:r>
        <w:rPr>
          <w:rFonts w:ascii="Times New Roman" w:hAnsi="Times New Roman"/>
          <w:b w:val="0"/>
          <w:i w:val="0"/>
          <w:color w:val="1E293B"/>
          <w:sz w:val="24"/>
        </w:rPr>
        <w:t>Automated code synthesis has progressed from rule-based grammatical semantic parsers to deep transformer-based sequence-to-sequence language models. Chen et al. [1] demonstrated the efficacy of pre-training autoregressive GPT architectures on massive GitHub repositories with OpenAI Codex, establishing the HumanEval benchmark. Codex established strong zero-shot Python generation capabilities but remained completely reliant on English prompts and multi-billion-parameter cloud APIs with high latency.</w:t>
        <w:br/>
        <w:br/>
        <w:t>Recent breakthroughs by Hui et al. [2] introduced Qwen2.5-Coder, training open-weight decoder-only transformers on over 5.5 trillion tokens comprising code, text-code pairs, and synthetic programming tasks. Their findings confirmed that smaller, highly dense models (specifically 1.5B and 3B parameter variants) could match or surpass original 12B+ Codex benchmarks when instruction-tuned, making offline CPU deployment viable on consumer personal computers.</w:t>
        <w:br/>
        <w:br/>
        <w:t>In the domain of text classification and intent parsing, Khashabi et al. [3] explored multi-task question-answering transformations, while Joulin et al. [4] proved that linear classification models coupled with character and word n-gram feature representations (FastText / TF-IDF) achieve competitive classification accuracy compared to massive deep neural networks while executing in sub-millisecond inference time on edge hardware. For multilingual Indic code-mixing, Chaudhary et al. [5] and AI4Bharat benchmarks demonstrated that Indian conversational dialects require explicit script transliteration and character n-gram modeling to bridge spelling inconsistencies in informal Romanized text.</w:t>
      </w:r>
    </w:p>
    <w:p>
      <w:pPr>
        <w:keepNext/>
        <w:spacing w:before="240" w:after="120"/>
      </w:pPr>
      <w:r>
        <w:rPr>
          <w:rFonts w:ascii="Times New Roman" w:hAnsi="Times New Roman"/>
          <w:b/>
          <w:color w:val="0D9488"/>
          <w:sz w:val="26"/>
        </w:rPr>
        <w:t>2.2 Comparative Summary of Literature</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1E293B"/>
            <w:tcMar>
              <w:top w:w="120" w:type="dxa"/>
              <w:bottom w:w="120" w:type="dxa"/>
              <w:left w:w="140" w:type="dxa"/>
              <w:right w:w="140" w:type="dxa"/>
            </w:tcMar>
          </w:tcPr>
          <w:p>
            <w:pPr>
              <w:jc w:val="center"/>
            </w:pPr>
            <w:r>
              <w:rPr>
                <w:rFonts w:ascii="Times New Roman" w:hAnsi="Times New Roman"/>
                <w:b/>
                <w:color w:val="FFFFFF"/>
                <w:sz w:val="20"/>
              </w:rPr>
              <w:t>Citation</w:t>
            </w:r>
          </w:p>
        </w:tc>
        <w:tc>
          <w:tcPr>
            <w:tcW w:type="dxa" w:w="1800"/>
            <w:shd w:val="clear" w:color="auto" w:fill="1E293B"/>
            <w:tcMar>
              <w:top w:w="120" w:type="dxa"/>
              <w:bottom w:w="120" w:type="dxa"/>
              <w:left w:w="140" w:type="dxa"/>
              <w:right w:w="140" w:type="dxa"/>
            </w:tcMar>
          </w:tcPr>
          <w:p>
            <w:pPr>
              <w:jc w:val="center"/>
            </w:pPr>
            <w:r>
              <w:rPr>
                <w:rFonts w:ascii="Times New Roman" w:hAnsi="Times New Roman"/>
                <w:b/>
                <w:color w:val="FFFFFF"/>
                <w:sz w:val="20"/>
              </w:rPr>
              <w:t>Author(s) &amp; Year</w:t>
            </w:r>
          </w:p>
        </w:tc>
        <w:tc>
          <w:tcPr>
            <w:tcW w:type="dxa" w:w="1800"/>
            <w:shd w:val="clear" w:color="auto" w:fill="1E293B"/>
            <w:tcMar>
              <w:top w:w="120" w:type="dxa"/>
              <w:bottom w:w="120" w:type="dxa"/>
              <w:left w:w="140" w:type="dxa"/>
              <w:right w:w="140" w:type="dxa"/>
            </w:tcMar>
          </w:tcPr>
          <w:p>
            <w:pPr>
              <w:jc w:val="center"/>
            </w:pPr>
            <w:r>
              <w:rPr>
                <w:rFonts w:ascii="Times New Roman" w:hAnsi="Times New Roman"/>
                <w:b/>
                <w:color w:val="FFFFFF"/>
                <w:sz w:val="20"/>
              </w:rPr>
              <w:t>Method / Architecture</w:t>
            </w:r>
          </w:p>
        </w:tc>
        <w:tc>
          <w:tcPr>
            <w:tcW w:type="dxa" w:w="1800"/>
            <w:shd w:val="clear" w:color="auto" w:fill="1E293B"/>
            <w:tcMar>
              <w:top w:w="120" w:type="dxa"/>
              <w:bottom w:w="120" w:type="dxa"/>
              <w:left w:w="140" w:type="dxa"/>
              <w:right w:w="140" w:type="dxa"/>
            </w:tcMar>
          </w:tcPr>
          <w:p>
            <w:pPr>
              <w:jc w:val="center"/>
            </w:pPr>
            <w:r>
              <w:rPr>
                <w:rFonts w:ascii="Times New Roman" w:hAnsi="Times New Roman"/>
                <w:b/>
                <w:color w:val="FFFFFF"/>
                <w:sz w:val="20"/>
              </w:rPr>
              <w:t>Key Contribution</w:t>
            </w:r>
          </w:p>
        </w:tc>
        <w:tc>
          <w:tcPr>
            <w:tcW w:type="dxa" w:w="1800"/>
            <w:shd w:val="clear" w:color="auto" w:fill="1E293B"/>
            <w:tcMar>
              <w:top w:w="120" w:type="dxa"/>
              <w:bottom w:w="120" w:type="dxa"/>
              <w:left w:w="140" w:type="dxa"/>
              <w:right w:w="140" w:type="dxa"/>
            </w:tcMar>
          </w:tcPr>
          <w:p>
            <w:pPr>
              <w:jc w:val="center"/>
            </w:pPr>
            <w:r>
              <w:rPr>
                <w:rFonts w:ascii="Times New Roman" w:hAnsi="Times New Roman"/>
                <w:b/>
                <w:color w:val="FFFFFF"/>
                <w:sz w:val="20"/>
              </w:rPr>
              <w:t>Relevant Limitation</w:t>
            </w:r>
          </w:p>
        </w:tc>
      </w:tr>
      <w:tr>
        <w:tc>
          <w:tcPr>
            <w:tcW w:type="dxa" w:w="1800"/>
            <w:shd w:val="clear" w:color="auto" w:fill="F8FAFC"/>
            <w:tcMar>
              <w:top w:w="100" w:type="dxa"/>
              <w:bottom w:w="100" w:type="dxa"/>
              <w:left w:w="120" w:type="dxa"/>
              <w:right w:w="120" w:type="dxa"/>
            </w:tcMar>
          </w:tcPr>
          <w:p>
            <w:pPr>
              <w:jc w:val="center"/>
            </w:pPr>
            <w:r>
              <w:rPr>
                <w:rFonts w:ascii="Times New Roman" w:hAnsi="Times New Roman"/>
                <w:color w:val="1E293B"/>
                <w:sz w:val="19"/>
              </w:rPr>
              <w:t>[1]</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Chen et al.</w:t>
              <w:br/>
              <w:t>(2021)</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Codex (GPT-12B)</w:t>
              <w:br/>
              <w:t>Autoregressive</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Benchmarked HumanEval;</w:t>
              <w:br/>
              <w:t>Python code generation</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Proprietary cloud API;</w:t>
              <w:br/>
              <w:t>Anglocentric prompts only</w:t>
            </w:r>
          </w:p>
        </w:tc>
      </w:tr>
      <w:tr>
        <w:tc>
          <w:tcPr>
            <w:tcW w:type="dxa" w:w="1800"/>
            <w:shd w:val="clear" w:color="auto" w:fill="FFFFFF"/>
            <w:tcMar>
              <w:top w:w="100" w:type="dxa"/>
              <w:bottom w:w="100" w:type="dxa"/>
              <w:left w:w="120" w:type="dxa"/>
              <w:right w:w="120" w:type="dxa"/>
            </w:tcMar>
          </w:tcPr>
          <w:p>
            <w:pPr>
              <w:jc w:val="center"/>
            </w:pPr>
            <w:r>
              <w:rPr>
                <w:rFonts w:ascii="Times New Roman" w:hAnsi="Times New Roman"/>
                <w:color w:val="1E293B"/>
                <w:sz w:val="19"/>
              </w:rPr>
              <w:t>[2]</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Hui et al.</w:t>
              <w:br/>
              <w:t>(2024)</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Qwen2.5-Coder</w:t>
              <w:br/>
              <w:t>(1.5B - 32B)</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State-of-the-art small models;</w:t>
              <w:br/>
              <w:t>high code benchmark density</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Requires structured prompts;</w:t>
              <w:br/>
              <w:t>no built-in execution sandbox</w:t>
            </w:r>
          </w:p>
        </w:tc>
      </w:tr>
      <w:tr>
        <w:tc>
          <w:tcPr>
            <w:tcW w:type="dxa" w:w="1800"/>
            <w:shd w:val="clear" w:color="auto" w:fill="F8FAFC"/>
            <w:tcMar>
              <w:top w:w="100" w:type="dxa"/>
              <w:bottom w:w="100" w:type="dxa"/>
              <w:left w:w="120" w:type="dxa"/>
              <w:right w:w="120" w:type="dxa"/>
            </w:tcMar>
          </w:tcPr>
          <w:p>
            <w:pPr>
              <w:jc w:val="center"/>
            </w:pPr>
            <w:r>
              <w:rPr>
                <w:rFonts w:ascii="Times New Roman" w:hAnsi="Times New Roman"/>
                <w:color w:val="1E293B"/>
                <w:sz w:val="19"/>
              </w:rPr>
              <w:t>[3]</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Khashabi et al.</w:t>
              <w:br/>
              <w:t>(2020)</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UnifiedQA</w:t>
              <w:br/>
              <w:t>Cross-format T5</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Showed format generalization</w:t>
              <w:br/>
              <w:t>across diverse NLP tasks</w:t>
            </w:r>
          </w:p>
        </w:tc>
        <w:tc>
          <w:tcPr>
            <w:tcW w:type="dxa" w:w="1800"/>
            <w:shd w:val="clear" w:color="auto" w:fill="F8FAFC"/>
            <w:tcMar>
              <w:top w:w="100" w:type="dxa"/>
              <w:bottom w:w="100" w:type="dxa"/>
              <w:left w:w="120" w:type="dxa"/>
              <w:right w:w="120" w:type="dxa"/>
            </w:tcMar>
          </w:tcPr>
          <w:p>
            <w:pPr>
              <w:jc w:val="left"/>
            </w:pPr>
            <w:r>
              <w:rPr>
                <w:rFonts w:ascii="Times New Roman" w:hAnsi="Times New Roman"/>
                <w:color w:val="1E293B"/>
                <w:sz w:val="19"/>
              </w:rPr>
              <w:t>High parameter overhead;</w:t>
              <w:br/>
              <w:t>slow for real-time edge use</w:t>
            </w:r>
          </w:p>
        </w:tc>
      </w:tr>
      <w:tr>
        <w:tc>
          <w:tcPr>
            <w:tcW w:type="dxa" w:w="1800"/>
            <w:shd w:val="clear" w:color="auto" w:fill="FFFFFF"/>
            <w:tcMar>
              <w:top w:w="100" w:type="dxa"/>
              <w:bottom w:w="100" w:type="dxa"/>
              <w:left w:w="120" w:type="dxa"/>
              <w:right w:w="120" w:type="dxa"/>
            </w:tcMar>
          </w:tcPr>
          <w:p>
            <w:pPr>
              <w:jc w:val="center"/>
            </w:pPr>
            <w:r>
              <w:rPr>
                <w:rFonts w:ascii="Times New Roman" w:hAnsi="Times New Roman"/>
                <w:color w:val="1E293B"/>
                <w:sz w:val="19"/>
              </w:rPr>
              <w:t>[4]</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Joulin et al.</w:t>
              <w:br/>
              <w:t>(2017)</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Bag of Tricks / n-grams</w:t>
              <w:br/>
              <w:t>Linear Classifiers</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Sub-millisecond inference;</w:t>
              <w:br/>
              <w:t>fast n-gram text classification</w:t>
            </w:r>
          </w:p>
        </w:tc>
        <w:tc>
          <w:tcPr>
            <w:tcW w:type="dxa" w:w="1800"/>
            <w:shd w:val="clear" w:color="auto" w:fill="FFFFFF"/>
            <w:tcMar>
              <w:top w:w="100" w:type="dxa"/>
              <w:bottom w:w="100" w:type="dxa"/>
              <w:left w:w="120" w:type="dxa"/>
              <w:right w:w="120" w:type="dxa"/>
            </w:tcMar>
          </w:tcPr>
          <w:p>
            <w:pPr>
              <w:jc w:val="left"/>
            </w:pPr>
            <w:r>
              <w:rPr>
                <w:rFonts w:ascii="Times New Roman" w:hAnsi="Times New Roman"/>
                <w:color w:val="1E293B"/>
                <w:sz w:val="19"/>
              </w:rPr>
              <w:t>Cannot generate code;</w:t>
              <w:br/>
              <w:t>limited to classification only</w:t>
            </w:r>
          </w:p>
        </w:tc>
      </w:tr>
    </w:tbl>
    <w:p>
      <w:pPr>
        <w:spacing w:after="120"/>
        <w:jc w:val="center"/>
      </w:pPr>
      <w:r>
        <w:rPr>
          <w:rFonts w:ascii="Times New Roman" w:hAnsi="Times New Roman"/>
          <w:b w:val="0"/>
          <w:i/>
          <w:color w:val="1E293B"/>
          <w:sz w:val="20"/>
        </w:rPr>
        <w:br/>
        <w:t>Table 2.1: Comparative literature analysis of code synthesis models and classification architectures.</w:t>
      </w:r>
    </w:p>
    <w:p>
      <w:pPr>
        <w:keepNext/>
        <w:spacing w:before="240" w:after="120"/>
      </w:pPr>
      <w:r>
        <w:rPr>
          <w:rFonts w:ascii="Times New Roman" w:hAnsi="Times New Roman"/>
          <w:b/>
          <w:color w:val="0D9488"/>
          <w:sz w:val="26"/>
        </w:rPr>
        <w:t>2.3 Research Gaps Identified</w:t>
      </w:r>
    </w:p>
    <w:p>
      <w:pPr>
        <w:spacing w:after="120"/>
        <w:jc w:val="left"/>
      </w:pPr>
      <w:r>
        <w:rPr>
          <w:rFonts w:ascii="Times New Roman" w:hAnsi="Times New Roman"/>
          <w:b w:val="0"/>
          <w:i w:val="0"/>
          <w:color w:val="1E293B"/>
          <w:sz w:val="24"/>
        </w:rPr>
        <w:t>A critical synthesis of published research reveals three distinct research gaps that Bhasha2Code addresses:</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Gap 1 — Disconnect Between Indic Intent Parsing and Code Generation: Most existing tools either perform generic translation without software engineering context, or generate code without understanding conversational regional tone (e.g., student asking for a hint versus a complete program).</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Gap 2 — Cloud Compute Dependency in Educational Institutions: Rural and regional engineering colleges often operate in internet-constrained laboratory environments where recurring cloud LLM API tokens are economically and logistically unfeasible.</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Gap 3 — The "Execution Gap" in AI Education: Existing coding assistants generate text, leaving students vulnerable to executing unsafe or hallucinated code without runtime boundary enforcement.</w:t>
      </w:r>
    </w:p>
    <w:p>
      <w:r>
        <w:br w:type="page"/>
      </w:r>
    </w:p>
    <w:p>
      <w:pPr>
        <w:keepNext/>
        <w:spacing w:before="320" w:after="160"/>
      </w:pPr>
      <w:r>
        <w:rPr>
          <w:rFonts w:ascii="Times New Roman" w:hAnsi="Times New Roman"/>
          <w:b/>
          <w:color w:val="0F172A"/>
          <w:sz w:val="32"/>
        </w:rPr>
        <w:t>CHAPTER 3: SYSTEM ARCHITECTURE &amp; METHODOLOGY</w:t>
      </w:r>
    </w:p>
    <w:p>
      <w:pPr>
        <w:keepNext/>
        <w:spacing w:before="240" w:after="120"/>
      </w:pPr>
      <w:r>
        <w:rPr>
          <w:rFonts w:ascii="Times New Roman" w:hAnsi="Times New Roman"/>
          <w:b/>
          <w:color w:val="0D9488"/>
          <w:sz w:val="26"/>
        </w:rPr>
        <w:t>3.1 Layered System Architecture</w:t>
      </w:r>
    </w:p>
    <w:p>
      <w:pPr>
        <w:spacing w:after="120"/>
        <w:jc w:val="left"/>
      </w:pPr>
      <w:r>
        <w:rPr>
          <w:rFonts w:ascii="Times New Roman" w:hAnsi="Times New Roman"/>
          <w:b w:val="0"/>
          <w:i w:val="0"/>
          <w:color w:val="1E293B"/>
          <w:sz w:val="24"/>
        </w:rPr>
        <w:t>Bhasha2Code follows a modular, multi-tier architectural pattern engineered for high decoupling, fault isolation, and sub-second classification throughput. The architecture segregates responsibilities across six distinct functional layers as illustrated in Figure 3.1.</w:t>
      </w:r>
    </w:p>
    <w:p>
      <w:r>
        <w:drawing>
          <wp:inline xmlns:a="http://schemas.openxmlformats.org/drawingml/2006/main" xmlns:pic="http://schemas.openxmlformats.org/drawingml/2006/picture">
            <wp:extent cx="5669280" cy="424304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4243046"/>
                    </a:xfrm>
                    <a:prstGeom prst="rect"/>
                  </pic:spPr>
                </pic:pic>
              </a:graphicData>
            </a:graphic>
          </wp:inline>
        </w:drawing>
      </w:r>
    </w:p>
    <w:p>
      <w:pPr>
        <w:spacing w:after="120"/>
        <w:jc w:val="center"/>
      </w:pPr>
      <w:r>
        <w:rPr>
          <w:rFonts w:ascii="Times New Roman" w:hAnsi="Times New Roman"/>
          <w:b w:val="0"/>
          <w:i/>
          <w:color w:val="1E293B"/>
          <w:sz w:val="20"/>
        </w:rPr>
        <w:t>Figure 3.1: Detailed Layered System Architecture of Bhasha2Code.</w:t>
      </w:r>
    </w:p>
    <w:p>
      <w:pPr>
        <w:spacing w:after="120"/>
        <w:jc w:val="left"/>
      </w:pPr>
      <w:r>
        <w:rPr>
          <w:rFonts w:ascii="Times New Roman" w:hAnsi="Times New Roman"/>
          <w:b w:val="0"/>
          <w:i w:val="0"/>
          <w:color w:val="1E293B"/>
          <w:sz w:val="24"/>
        </w:rPr>
        <w:t>The operational responsibilities of each layer are structured as follows:</w:t>
        <w:br/>
        <w:t>1. Presentation Layer: React 18 Single Page Application providing a Monaco Editor, interactive conversational drawer, Study Mode educational panel, and integrated output console.</w:t>
        <w:br/>
        <w:t>2. API &amp; Gateway Layer: FastAPI asynchronous REST server handling request validation, CORS security headers, session routing, and real-time health telemetry.</w:t>
        <w:br/>
        <w:t>3. NLP &amp; Intelligence Layer: Custom Indic script normalizer and dual-head TF-IDF Logistic Regression classifiers responsible for Intent classification (18 classes) and Tone detection.</w:t>
        <w:br/>
        <w:t>4. Local LLM Generation Layer: Local Ollama runtime hosting quantized Qwen2.5-Coder:1.5B running on host CPU threads without external internet dependencies.</w:t>
        <w:br/>
        <w:t>5. Validation &amp; Security Layer: Python AST parse tree verification engine detecting syntax hallucinations, placeholder remnants, and unauthorized system calls.</w:t>
        <w:br/>
        <w:t>6. Sandbox &amp; Persistence Layer: Docker engine managing ephemeral worker containers (256MB RAM limit, 1 CPU core cap, no networking) alongside SQLite persistence for chat sessions.</w:t>
      </w:r>
    </w:p>
    <w:p>
      <w:pPr>
        <w:keepNext/>
        <w:spacing w:before="240" w:after="120"/>
      </w:pPr>
      <w:r>
        <w:rPr>
          <w:rFonts w:ascii="Times New Roman" w:hAnsi="Times New Roman"/>
          <w:b/>
          <w:color w:val="0D9488"/>
          <w:sz w:val="26"/>
        </w:rPr>
        <w:t>3.2 Hardware and Functional Block Diagram</w:t>
      </w:r>
    </w:p>
    <w:p>
      <w:pPr>
        <w:spacing w:after="120"/>
        <w:jc w:val="left"/>
      </w:pPr>
      <w:r>
        <w:rPr>
          <w:rFonts w:ascii="Times New Roman" w:hAnsi="Times New Roman"/>
          <w:b w:val="0"/>
          <w:i w:val="0"/>
          <w:color w:val="1E293B"/>
          <w:sz w:val="24"/>
        </w:rPr>
        <w:t>The interaction between discrete hardware components, memory buffers, and software controller modules is represented in the functional block diagram in Figure 3.2.</w:t>
      </w:r>
    </w:p>
    <w:p>
      <w:r>
        <w:drawing>
          <wp:inline xmlns:a="http://schemas.openxmlformats.org/drawingml/2006/main" xmlns:pic="http://schemas.openxmlformats.org/drawingml/2006/picture">
            <wp:extent cx="5669280" cy="3766837"/>
            <wp:docPr id="2" name="Picture 2"/>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669280" cy="3766837"/>
                    </a:xfrm>
                    <a:prstGeom prst="rect"/>
                  </pic:spPr>
                </pic:pic>
              </a:graphicData>
            </a:graphic>
          </wp:inline>
        </w:drawing>
      </w:r>
    </w:p>
    <w:p>
      <w:pPr>
        <w:spacing w:after="120"/>
        <w:jc w:val="center"/>
      </w:pPr>
      <w:r>
        <w:rPr>
          <w:rFonts w:ascii="Times New Roman" w:hAnsi="Times New Roman"/>
          <w:b w:val="0"/>
          <w:i/>
          <w:color w:val="1E293B"/>
          <w:sz w:val="20"/>
        </w:rPr>
        <w:t>Figure 3.2: Functional and Hardware Block Diagram of Bhasha2Code Modules.</w:t>
      </w:r>
    </w:p>
    <w:p>
      <w:pPr>
        <w:keepNext/>
        <w:spacing w:before="240" w:after="120"/>
      </w:pPr>
      <w:r>
        <w:rPr>
          <w:rFonts w:ascii="Times New Roman" w:hAnsi="Times New Roman"/>
          <w:b/>
          <w:color w:val="0D9488"/>
          <w:sz w:val="26"/>
        </w:rPr>
        <w:t>3.3 End-to-End System Flowchart</w:t>
      </w:r>
    </w:p>
    <w:p>
      <w:pPr>
        <w:spacing w:after="120"/>
        <w:jc w:val="left"/>
      </w:pPr>
      <w:r>
        <w:rPr>
          <w:rFonts w:ascii="Times New Roman" w:hAnsi="Times New Roman"/>
          <w:b w:val="0"/>
          <w:i w:val="0"/>
          <w:color w:val="1E293B"/>
          <w:sz w:val="24"/>
        </w:rPr>
        <w:t>Figure 3.3 details the sequential decision-making process executed for every user request, from the initial multilingual natural language prompt to the final sandboxed execution output.</w:t>
      </w:r>
    </w:p>
    <w:p>
      <w:r>
        <w:drawing>
          <wp:inline xmlns:a="http://schemas.openxmlformats.org/drawingml/2006/main" xmlns:pic="http://schemas.openxmlformats.org/drawingml/2006/picture">
            <wp:extent cx="5120640" cy="5869702"/>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120640" cy="5869702"/>
                    </a:xfrm>
                    <a:prstGeom prst="rect"/>
                  </pic:spPr>
                </pic:pic>
              </a:graphicData>
            </a:graphic>
          </wp:inline>
        </w:drawing>
      </w:r>
    </w:p>
    <w:p>
      <w:pPr>
        <w:spacing w:after="120"/>
        <w:jc w:val="center"/>
      </w:pPr>
      <w:r>
        <w:rPr>
          <w:rFonts w:ascii="Times New Roman" w:hAnsi="Times New Roman"/>
          <w:b w:val="0"/>
          <w:i/>
          <w:color w:val="1E293B"/>
          <w:sz w:val="20"/>
        </w:rPr>
        <w:t>Figure 3.3: End-to-End Execution Flowchart of Bhasha2Code Pipeline.</w:t>
      </w:r>
    </w:p>
    <w:p>
      <w:pPr>
        <w:keepNext/>
        <w:spacing w:before="240" w:after="120"/>
      </w:pPr>
      <w:r>
        <w:rPr>
          <w:rFonts w:ascii="Times New Roman" w:hAnsi="Times New Roman"/>
          <w:b/>
          <w:color w:val="0D9488"/>
          <w:sz w:val="26"/>
        </w:rPr>
        <w:t>3.4 Mathematical and NLP Formulation</w:t>
      </w:r>
    </w:p>
    <w:p>
      <w:pPr>
        <w:spacing w:after="120"/>
        <w:jc w:val="left"/>
      </w:pPr>
      <w:r>
        <w:rPr>
          <w:rFonts w:ascii="Times New Roman" w:hAnsi="Times New Roman"/>
          <w:b w:val="0"/>
          <w:i w:val="0"/>
          <w:color w:val="1E293B"/>
          <w:sz w:val="24"/>
        </w:rPr>
        <w:t>The NLP classification pipeline combines word and character n-gram term frequency-inverse document frequency (TF-IDF) feature representations with L2-regularized multinomial logistic regression. Given a multilingual input query x, the TF-IDF feature weight for term t in query x is formulated as:</w:t>
      </w:r>
    </w:p>
    <w:p>
      <w:pPr>
        <w:spacing w:after="120"/>
        <w:jc w:val="center"/>
      </w:pPr>
      <w:r>
        <w:rPr>
          <w:rFonts w:ascii="Times New Roman" w:hAnsi="Times New Roman"/>
          <w:b/>
          <w:i w:val="0"/>
          <w:color w:val="0D9488"/>
          <w:sz w:val="22"/>
        </w:rPr>
        <w:t>TF-IDF(t, x, D) = TF(t, x) × log((1 + |D|) / (1 + DF(t, D))) + 1</w:t>
      </w:r>
    </w:p>
    <w:p>
      <w:pPr>
        <w:spacing w:after="120"/>
        <w:jc w:val="left"/>
      </w:pPr>
      <w:r>
        <w:rPr>
          <w:rFonts w:ascii="Times New Roman" w:hAnsi="Times New Roman"/>
          <w:b w:val="0"/>
          <w:i w:val="0"/>
          <w:color w:val="1E293B"/>
          <w:sz w:val="24"/>
        </w:rPr>
        <w:t>To capture morphological variations in Devanagari and phonetic spelling variations in Romanized Hinglish/Marathi-English, feature vectors are concatenated across word n-grams (1 to 3) and character n-grams (2 to 5):</w:t>
        <w:br/>
        <w:t>Φ(x) = [Φ_word(x) || Φ_char(x)]</w:t>
        <w:br/>
        <w:br/>
        <w:t>The probability of intent class k ∈ {1, ..., K} (where K = 18) is computed via the Softmax activation function:</w:t>
      </w:r>
    </w:p>
    <w:p>
      <w:pPr>
        <w:spacing w:after="120"/>
        <w:jc w:val="center"/>
      </w:pPr>
      <w:r>
        <w:rPr>
          <w:rFonts w:ascii="Times New Roman" w:hAnsi="Times New Roman"/>
          <w:b/>
          <w:i w:val="0"/>
          <w:color w:val="0D9488"/>
          <w:sz w:val="22"/>
        </w:rPr>
        <w:t>P(y = k | x) = exp(w_k^T Φ(x) + b_k) / ∑_{j=1}^{K} exp(w_j^T Φ(x) + b_j)</w:t>
      </w:r>
    </w:p>
    <w:p>
      <w:r>
        <w:br w:type="page"/>
      </w:r>
    </w:p>
    <w:p>
      <w:pPr>
        <w:keepNext/>
        <w:spacing w:before="320" w:after="160"/>
      </w:pPr>
      <w:r>
        <w:rPr>
          <w:rFonts w:ascii="Times New Roman" w:hAnsi="Times New Roman"/>
          <w:b/>
          <w:color w:val="0F172A"/>
          <w:sz w:val="32"/>
        </w:rPr>
        <w:t>CHAPTER 4: IMPLEMENTATION DETAILS</w:t>
      </w:r>
    </w:p>
    <w:p>
      <w:pPr>
        <w:keepNext/>
        <w:spacing w:before="240" w:after="120"/>
      </w:pPr>
      <w:r>
        <w:rPr>
          <w:rFonts w:ascii="Times New Roman" w:hAnsi="Times New Roman"/>
          <w:b/>
          <w:color w:val="0D9488"/>
          <w:sz w:val="26"/>
        </w:rPr>
        <w:t>4.1 Indic Preprocessing &amp; Normalization</w:t>
      </w:r>
    </w:p>
    <w:p>
      <w:pPr>
        <w:spacing w:after="120"/>
        <w:jc w:val="left"/>
      </w:pPr>
      <w:r>
        <w:rPr>
          <w:rFonts w:ascii="Times New Roman" w:hAnsi="Times New Roman"/>
          <w:b w:val="0"/>
          <w:i w:val="0"/>
          <w:color w:val="1E293B"/>
          <w:sz w:val="24"/>
        </w:rPr>
        <w:t>Input strings undergo multi-stage text normalization implemented in backend/app/nlp/preprocessor.py. The preprocessor performs Unicode normalization (NFC/NFKD) to unify Devanagari diacritics (matras and halant combinations), strips redundant formatting tokens, and lowercases Latin text while preserving specialized mathematical and programming punctuation.</w:t>
      </w:r>
    </w:p>
    <w:p>
      <w:pPr>
        <w:keepNext/>
        <w:spacing w:before="240" w:after="120"/>
      </w:pPr>
      <w:r>
        <w:rPr>
          <w:rFonts w:ascii="Times New Roman" w:hAnsi="Times New Roman"/>
          <w:b/>
          <w:color w:val="0D9488"/>
          <w:sz w:val="26"/>
        </w:rPr>
        <w:t>4.2 Dual Classification Engine (Intent &amp; Tone)</w:t>
      </w:r>
    </w:p>
    <w:p>
      <w:pPr>
        <w:spacing w:after="120"/>
        <w:jc w:val="left"/>
      </w:pPr>
      <w:r>
        <w:rPr>
          <w:rFonts w:ascii="Times New Roman" w:hAnsi="Times New Roman"/>
          <w:b w:val="0"/>
          <w:i w:val="0"/>
          <w:color w:val="1E293B"/>
          <w:sz w:val="24"/>
        </w:rPr>
        <w:t>The system trains two independent statistical classification models using scikit-learn:</w:t>
        <w:br/>
        <w:t>1. Intent Classifier: Trained on 18 intent categories (e.g., write_code, explain_code, debug_code, optimize_code, test_code, add_comments, convert_code, etc.). The model uses word n-grams (1, 3) and char n-grams (2, 5) with sublinear term frequency scaling.</w:t>
        <w:br/>
        <w:t>2. Tone Classifier: Detects user communication disposition (e.g., instructional, inquisitive, urgent, conversational) to modulate the pedagogical verbosity of the resulting prompt.</w:t>
      </w:r>
    </w:p>
    <w:p>
      <w:pPr>
        <w:keepNext/>
        <w:spacing w:before="240" w:after="120"/>
      </w:pPr>
      <w:r>
        <w:rPr>
          <w:rFonts w:ascii="Times New Roman" w:hAnsi="Times New Roman"/>
          <w:b/>
          <w:color w:val="0D9488"/>
          <w:sz w:val="26"/>
        </w:rPr>
        <w:t>4.3 Contextual Prompt Engineering</w:t>
      </w:r>
    </w:p>
    <w:p>
      <w:pPr>
        <w:spacing w:after="120"/>
        <w:jc w:val="left"/>
      </w:pPr>
      <w:r>
        <w:rPr>
          <w:rFonts w:ascii="Times New Roman" w:hAnsi="Times New Roman"/>
          <w:b w:val="0"/>
          <w:i w:val="0"/>
          <w:color w:val="1E293B"/>
          <w:sz w:val="24"/>
        </w:rPr>
        <w:t>Rather than passing raw user input directly to the LLM, backend/app/prompt/schemas.py and policies.py construct a structured system prompt embedding five dynamic constraints:</w:t>
        <w:br/>
        <w:t>• Target Programming Language Directive (defaulting to Python 3.12).</w:t>
        <w:br/>
        <w:t>• Pedagogical Mode Directive: Instructs the model to output either a clean executable program or broken-down line-by-line tutorial.</w:t>
        <w:br/>
        <w:t>• Strict Anti-Placeholder Rule: Prohibits the generation of ellipsis (...), pass statements without logic, or placeholder comments.</w:t>
        <w:br/>
        <w:t>• Code Separation Guarantee: Requires code to be wrapped inside clean triple-backtick markdown blocks separated from explanations.</w:t>
      </w:r>
    </w:p>
    <w:p>
      <w:pPr>
        <w:keepNext/>
        <w:spacing w:before="240" w:after="120"/>
      </w:pPr>
      <w:r>
        <w:rPr>
          <w:rFonts w:ascii="Times New Roman" w:hAnsi="Times New Roman"/>
          <w:b/>
          <w:color w:val="0D9488"/>
          <w:sz w:val="26"/>
        </w:rPr>
        <w:t>4.4 Local LLM Integration (Ollama + Qwen2.5-Coder)</w:t>
      </w:r>
    </w:p>
    <w:p>
      <w:pPr>
        <w:spacing w:after="120"/>
        <w:jc w:val="left"/>
      </w:pPr>
      <w:r>
        <w:rPr>
          <w:rFonts w:ascii="Times New Roman" w:hAnsi="Times New Roman"/>
          <w:b w:val="0"/>
          <w:i w:val="0"/>
          <w:color w:val="1E293B"/>
          <w:sz w:val="24"/>
        </w:rPr>
        <w:t>Inference is driven by Ollama serving Qwen2.5-Coder:1.5B (GGUF 4-bit quantized). Communication occurs over an asynchronous HTTP client (httpx) connecting to localhost:11434. The model consumes 986MB of system RAM, enabling seamless concurrent execution alongside the FastAPI server and React frontend on standard 8GB/16GB workstations.</w:t>
      </w:r>
    </w:p>
    <w:p>
      <w:pPr>
        <w:keepNext/>
        <w:spacing w:before="240" w:after="120"/>
      </w:pPr>
      <w:r>
        <w:rPr>
          <w:rFonts w:ascii="Times New Roman" w:hAnsi="Times New Roman"/>
          <w:b/>
          <w:color w:val="0D9488"/>
          <w:sz w:val="26"/>
        </w:rPr>
        <w:t>4.5 AST Validation &amp; Security Filters</w:t>
      </w:r>
    </w:p>
    <w:p>
      <w:pPr>
        <w:spacing w:after="120"/>
        <w:jc w:val="left"/>
      </w:pPr>
      <w:r>
        <w:rPr>
          <w:rFonts w:ascii="Times New Roman" w:hAnsi="Times New Roman"/>
          <w:b w:val="0"/>
          <w:i w:val="0"/>
          <w:color w:val="1E293B"/>
          <w:sz w:val="24"/>
        </w:rPr>
        <w:t>Before any code snippet is rendered in the Monaco Editor or presented to the user, backend/app/validation/code_extractor.py and ast_parser.py extract raw code blocks and construct a Python ast.parse() abstract syntax tree. If a syntax error occurs (e.g., unterminated strings or unmatched brackets), the system intercepts the error, locates the precise line number, and alerts the user rather than failing silently. Furthermore, static AST node visitors inspect imports and system calls, flagging dangerous functions (e.g., os.system, subprocess, shutil.rmtree).</w:t>
      </w:r>
    </w:p>
    <w:p>
      <w:pPr>
        <w:keepNext/>
        <w:spacing w:before="240" w:after="120"/>
      </w:pPr>
      <w:r>
        <w:rPr>
          <w:rFonts w:ascii="Times New Roman" w:hAnsi="Times New Roman"/>
          <w:b/>
          <w:color w:val="0D9488"/>
          <w:sz w:val="26"/>
        </w:rPr>
        <w:t>4.6 Docker-Based Containerized Sandbox</w:t>
      </w:r>
    </w:p>
    <w:p>
      <w:pPr>
        <w:spacing w:after="120"/>
        <w:jc w:val="left"/>
      </w:pPr>
      <w:r>
        <w:rPr>
          <w:rFonts w:ascii="Times New Roman" w:hAnsi="Times New Roman"/>
          <w:b w:val="0"/>
          <w:i w:val="0"/>
          <w:color w:val="1E293B"/>
          <w:sz w:val="24"/>
        </w:rPr>
        <w:t>Code execution occurs inside an isolated Docker container configured with hardened security policies:</w:t>
        <w:br/>
        <w:t>• CPU Allocation: Capped at 1.0 CPU cores via cgroups.</w:t>
        <w:br/>
        <w:t>• Memory Allocation: Strict 256MB memory boundary with swap disabled.</w:t>
        <w:br/>
        <w:t>• Network Isolation: Network mode set to 'none', preventing socket connections or data exfiltration.</w:t>
        <w:br/>
        <w:t>• Execution Timeout: Enforced 10-second wall-clock termination to kill infinite loops or recursion overflows.</w:t>
      </w:r>
    </w:p>
    <w:p>
      <w:pPr>
        <w:keepNext/>
        <w:spacing w:before="240" w:after="120"/>
      </w:pPr>
      <w:r>
        <w:rPr>
          <w:rFonts w:ascii="Times New Roman" w:hAnsi="Times New Roman"/>
          <w:b/>
          <w:color w:val="0D9488"/>
          <w:sz w:val="26"/>
        </w:rPr>
        <w:t>4.7 Database Schema &amp; REST API Design</w:t>
      </w:r>
    </w:p>
    <w:p>
      <w:pPr>
        <w:spacing w:after="120"/>
        <w:jc w:val="left"/>
      </w:pPr>
      <w:r>
        <w:rPr>
          <w:rFonts w:ascii="Times New Roman" w:hAnsi="Times New Roman"/>
          <w:b w:val="0"/>
          <w:i w:val="0"/>
          <w:color w:val="1E293B"/>
          <w:sz w:val="24"/>
        </w:rPr>
        <w:t>Persistent data is stored in SQLite via SQLAlchemy ORM. The relational schema includes:</w:t>
        <w:br/>
        <w:t>• ChatSession: Tracks session UUIDs, titles, creation timestamps, and active language.</w:t>
        <w:br/>
        <w:t>• ChatMessage: Stores user prompts, detected intent/tone, LLM responses, and extracted code blocks.</w:t>
        <w:br/>
        <w:t>• ExecutionLog: Records sandbox stdout, stderr, execution exit codes, and elapsed execution time.</w:t>
      </w:r>
    </w:p>
    <w:p>
      <w:r>
        <w:br w:type="page"/>
      </w:r>
    </w:p>
    <w:p>
      <w:pPr>
        <w:keepNext/>
        <w:spacing w:before="320" w:after="160"/>
      </w:pPr>
      <w:r>
        <w:rPr>
          <w:rFonts w:ascii="Times New Roman" w:hAnsi="Times New Roman"/>
          <w:b/>
          <w:color w:val="0F172A"/>
          <w:sz w:val="32"/>
        </w:rPr>
        <w:t>CHAPTER 5: RESULTS, TESTING &amp; PERFORMANCE ANALYSIS</w:t>
      </w:r>
    </w:p>
    <w:p>
      <w:pPr>
        <w:keepNext/>
        <w:spacing w:before="240" w:after="120"/>
      </w:pPr>
      <w:r>
        <w:rPr>
          <w:rFonts w:ascii="Times New Roman" w:hAnsi="Times New Roman"/>
          <w:b/>
          <w:color w:val="0D9488"/>
          <w:sz w:val="26"/>
        </w:rPr>
        <w:t>5.1 Intent Dataset Breakdown</w:t>
      </w:r>
    </w:p>
    <w:p>
      <w:pPr>
        <w:spacing w:after="120"/>
        <w:jc w:val="left"/>
      </w:pPr>
      <w:r>
        <w:rPr>
          <w:rFonts w:ascii="Times New Roman" w:hAnsi="Times New Roman"/>
          <w:b w:val="0"/>
          <w:i w:val="0"/>
          <w:color w:val="1E293B"/>
          <w:sz w:val="24"/>
        </w:rPr>
        <w:t>The intent classification system was evaluated against the project's official multi-lingual dataset (data/datasets/intent/intent_dataset.csv). The dataset contains 1,080 expertly curated samples evenly distributed across English, Hindi, Marathi, Hinglish, Marathi-English, and Hindi-English dialects. The corpus was partitioned into 756 training samples (70%), 162 validation samples (15%), and 162 test samples (15%).</w:t>
      </w:r>
    </w:p>
    <w:p>
      <w:r>
        <w:drawing>
          <wp:inline xmlns:a="http://schemas.openxmlformats.org/drawingml/2006/main" xmlns:pic="http://schemas.openxmlformats.org/drawingml/2006/picture">
            <wp:extent cx="5029200" cy="3951514"/>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029200" cy="3951514"/>
                    </a:xfrm>
                    <a:prstGeom prst="rect"/>
                  </pic:spPr>
                </pic:pic>
              </a:graphicData>
            </a:graphic>
          </wp:inline>
        </w:drawing>
      </w:r>
    </w:p>
    <w:p>
      <w:pPr>
        <w:spacing w:after="120"/>
        <w:jc w:val="center"/>
      </w:pPr>
      <w:r>
        <w:rPr>
          <w:rFonts w:ascii="Times New Roman" w:hAnsi="Times New Roman"/>
          <w:b w:val="0"/>
          <w:i/>
          <w:color w:val="1E293B"/>
          <w:sz w:val="20"/>
        </w:rPr>
        <w:t>Figure 5.1: 18-Class Confusion Matrix for Multilingual Intent Classification (Evaluated on Test Split).</w:t>
      </w:r>
    </w:p>
    <w:p>
      <w:pPr>
        <w:keepNext/>
        <w:spacing w:before="240" w:after="120"/>
      </w:pPr>
      <w:r>
        <w:rPr>
          <w:rFonts w:ascii="Times New Roman" w:hAnsi="Times New Roman"/>
          <w:b/>
          <w:color w:val="0D9488"/>
          <w:sz w:val="26"/>
        </w:rPr>
        <w:t>5.2 NLP Classification Metrics</w:t>
      </w:r>
    </w:p>
    <w:p>
      <w:pPr>
        <w:spacing w:after="120"/>
        <w:jc w:val="left"/>
      </w:pPr>
      <w:r>
        <w:rPr>
          <w:rFonts w:ascii="Times New Roman" w:hAnsi="Times New Roman"/>
          <w:b w:val="0"/>
          <w:i w:val="0"/>
          <w:color w:val="1E293B"/>
          <w:sz w:val="24"/>
        </w:rPr>
        <w:t>The standalone Jupyter evaluation notebook (Bhasha2Code_NLP_Evaluation.ipynb) executed on the hold-out test set (162 samples) produced the verified performance metrics documented in Table 5.1.</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1E293B"/>
            <w:tcMar>
              <w:top w:w="100" w:type="dxa"/>
              <w:bottom w:w="100" w:type="dxa"/>
              <w:left w:w="120" w:type="dxa"/>
              <w:right w:w="120" w:type="dxa"/>
            </w:tcMar>
          </w:tcPr>
          <w:p>
            <w:pPr>
              <w:jc w:val="center"/>
            </w:pPr>
            <w:r>
              <w:rPr>
                <w:rFonts w:ascii="Times New Roman" w:hAnsi="Times New Roman"/>
                <w:b/>
                <w:color w:val="FFFFFF"/>
                <w:sz w:val="20"/>
              </w:rPr>
              <w:t>Metric Name</w:t>
            </w:r>
          </w:p>
        </w:tc>
        <w:tc>
          <w:tcPr>
            <w:tcW w:type="dxa" w:w="3000"/>
            <w:shd w:val="clear" w:color="auto" w:fill="1E293B"/>
            <w:tcMar>
              <w:top w:w="100" w:type="dxa"/>
              <w:bottom w:w="100" w:type="dxa"/>
              <w:left w:w="120" w:type="dxa"/>
              <w:right w:w="120" w:type="dxa"/>
            </w:tcMar>
          </w:tcPr>
          <w:p>
            <w:pPr>
              <w:jc w:val="center"/>
            </w:pPr>
            <w:r>
              <w:rPr>
                <w:rFonts w:ascii="Times New Roman" w:hAnsi="Times New Roman"/>
                <w:b/>
                <w:color w:val="FFFFFF"/>
                <w:sz w:val="20"/>
              </w:rPr>
              <w:t>Observed Value</w:t>
            </w:r>
          </w:p>
        </w:tc>
        <w:tc>
          <w:tcPr>
            <w:tcW w:type="dxa" w:w="3000"/>
            <w:shd w:val="clear" w:color="auto" w:fill="1E293B"/>
            <w:tcMar>
              <w:top w:w="100" w:type="dxa"/>
              <w:bottom w:w="100" w:type="dxa"/>
              <w:left w:w="120" w:type="dxa"/>
              <w:right w:w="120" w:type="dxa"/>
            </w:tcMar>
          </w:tcPr>
          <w:p>
            <w:pPr>
              <w:jc w:val="center"/>
            </w:pPr>
            <w:r>
              <w:rPr>
                <w:rFonts w:ascii="Times New Roman" w:hAnsi="Times New Roman"/>
                <w:b/>
                <w:color w:val="FFFFFF"/>
                <w:sz w:val="20"/>
              </w:rPr>
              <w:t>Benchmark Target</w:t>
            </w:r>
          </w:p>
        </w:tc>
      </w:tr>
      <w:tr>
        <w:tc>
          <w:tcPr>
            <w:tcW w:type="dxa" w:w="3000"/>
            <w:shd w:val="clear" w:color="auto" w:fill="F8FAFC"/>
            <w:tcMar>
              <w:top w:w="80" w:type="dxa"/>
              <w:bottom w:w="80" w:type="dxa"/>
              <w:left w:w="100" w:type="dxa"/>
              <w:right w:w="100" w:type="dxa"/>
            </w:tcMar>
          </w:tcPr>
          <w:p>
            <w:pPr>
              <w:jc w:val="left"/>
            </w:pPr>
            <w:r>
              <w:rPr>
                <w:rFonts w:ascii="Times New Roman" w:hAnsi="Times New Roman"/>
                <w:color w:val="1E293B"/>
                <w:sz w:val="19"/>
              </w:rPr>
              <w:t>Test Accuracy</w:t>
            </w:r>
          </w:p>
        </w:tc>
        <w:tc>
          <w:tcPr>
            <w:tcW w:type="dxa" w:w="3000"/>
            <w:shd w:val="clear" w:color="auto" w:fill="F8FAFC"/>
            <w:tcMar>
              <w:top w:w="80" w:type="dxa"/>
              <w:bottom w:w="80" w:type="dxa"/>
              <w:left w:w="100" w:type="dxa"/>
              <w:right w:w="100" w:type="dxa"/>
            </w:tcMar>
          </w:tcPr>
          <w:p>
            <w:pPr>
              <w:jc w:val="center"/>
            </w:pPr>
            <w:r>
              <w:rPr>
                <w:rFonts w:ascii="Times New Roman" w:hAnsi="Times New Roman"/>
                <w:b/>
                <w:color w:val="1E293B"/>
                <w:sz w:val="19"/>
              </w:rPr>
              <w:t>92.59% (150 / 162 Correct)</w:t>
            </w:r>
          </w:p>
        </w:tc>
        <w:tc>
          <w:tcPr>
            <w:tcW w:type="dxa" w:w="3000"/>
            <w:shd w:val="clear" w:color="auto" w:fill="F8FAFC"/>
            <w:tcMar>
              <w:top w:w="80" w:type="dxa"/>
              <w:bottom w:w="80" w:type="dxa"/>
              <w:left w:w="100" w:type="dxa"/>
              <w:right w:w="100" w:type="dxa"/>
            </w:tcMar>
          </w:tcPr>
          <w:p>
            <w:pPr>
              <w:jc w:val="center"/>
            </w:pPr>
            <w:r>
              <w:rPr>
                <w:rFonts w:ascii="Times New Roman" w:hAnsi="Times New Roman"/>
                <w:color w:val="1E293B"/>
                <w:sz w:val="19"/>
              </w:rPr>
              <w:t>≥ 85.0%</w:t>
            </w:r>
          </w:p>
        </w:tc>
      </w:tr>
      <w:tr>
        <w:tc>
          <w:tcPr>
            <w:tcW w:type="dxa" w:w="3000"/>
            <w:shd w:val="clear" w:color="auto" w:fill="FFFFFF"/>
            <w:tcMar>
              <w:top w:w="80" w:type="dxa"/>
              <w:bottom w:w="80" w:type="dxa"/>
              <w:left w:w="100" w:type="dxa"/>
              <w:right w:w="100" w:type="dxa"/>
            </w:tcMar>
          </w:tcPr>
          <w:p>
            <w:pPr>
              <w:jc w:val="left"/>
            </w:pPr>
            <w:r>
              <w:rPr>
                <w:rFonts w:ascii="Times New Roman" w:hAnsi="Times New Roman"/>
                <w:color w:val="1E293B"/>
                <w:sz w:val="19"/>
              </w:rPr>
              <w:t>Macro Precision</w:t>
            </w:r>
          </w:p>
        </w:tc>
        <w:tc>
          <w:tcPr>
            <w:tcW w:type="dxa" w:w="3000"/>
            <w:shd w:val="clear" w:color="auto" w:fill="FFFFFF"/>
            <w:tcMar>
              <w:top w:w="80" w:type="dxa"/>
              <w:bottom w:w="80" w:type="dxa"/>
              <w:left w:w="100" w:type="dxa"/>
              <w:right w:w="100" w:type="dxa"/>
            </w:tcMar>
          </w:tcPr>
          <w:p>
            <w:pPr>
              <w:jc w:val="center"/>
            </w:pPr>
            <w:r>
              <w:rPr>
                <w:rFonts w:ascii="Times New Roman" w:hAnsi="Times New Roman"/>
                <w:b/>
                <w:color w:val="1E293B"/>
                <w:sz w:val="19"/>
              </w:rPr>
              <w:t>0.9301</w:t>
            </w:r>
          </w:p>
        </w:tc>
        <w:tc>
          <w:tcPr>
            <w:tcW w:type="dxa" w:w="3000"/>
            <w:shd w:val="clear" w:color="auto" w:fill="FFFFFF"/>
            <w:tcMar>
              <w:top w:w="80" w:type="dxa"/>
              <w:bottom w:w="80" w:type="dxa"/>
              <w:left w:w="100" w:type="dxa"/>
              <w:right w:w="100" w:type="dxa"/>
            </w:tcMar>
          </w:tcPr>
          <w:p>
            <w:pPr>
              <w:jc w:val="center"/>
            </w:pPr>
            <w:r>
              <w:rPr>
                <w:rFonts w:ascii="Times New Roman" w:hAnsi="Times New Roman"/>
                <w:color w:val="1E293B"/>
                <w:sz w:val="19"/>
              </w:rPr>
              <w:t>≥ 0.8500</w:t>
            </w:r>
          </w:p>
        </w:tc>
      </w:tr>
      <w:tr>
        <w:tc>
          <w:tcPr>
            <w:tcW w:type="dxa" w:w="3000"/>
            <w:shd w:val="clear" w:color="auto" w:fill="F8FAFC"/>
            <w:tcMar>
              <w:top w:w="80" w:type="dxa"/>
              <w:bottom w:w="80" w:type="dxa"/>
              <w:left w:w="100" w:type="dxa"/>
              <w:right w:w="100" w:type="dxa"/>
            </w:tcMar>
          </w:tcPr>
          <w:p>
            <w:pPr>
              <w:jc w:val="left"/>
            </w:pPr>
            <w:r>
              <w:rPr>
                <w:rFonts w:ascii="Times New Roman" w:hAnsi="Times New Roman"/>
                <w:color w:val="1E293B"/>
                <w:sz w:val="19"/>
              </w:rPr>
              <w:t>Macro Recall</w:t>
            </w:r>
          </w:p>
        </w:tc>
        <w:tc>
          <w:tcPr>
            <w:tcW w:type="dxa" w:w="3000"/>
            <w:shd w:val="clear" w:color="auto" w:fill="F8FAFC"/>
            <w:tcMar>
              <w:top w:w="80" w:type="dxa"/>
              <w:bottom w:w="80" w:type="dxa"/>
              <w:left w:w="100" w:type="dxa"/>
              <w:right w:w="100" w:type="dxa"/>
            </w:tcMar>
          </w:tcPr>
          <w:p>
            <w:pPr>
              <w:jc w:val="center"/>
            </w:pPr>
            <w:r>
              <w:rPr>
                <w:rFonts w:ascii="Times New Roman" w:hAnsi="Times New Roman"/>
                <w:b/>
                <w:color w:val="1E293B"/>
                <w:sz w:val="19"/>
              </w:rPr>
              <w:t>0.9259</w:t>
            </w:r>
          </w:p>
        </w:tc>
        <w:tc>
          <w:tcPr>
            <w:tcW w:type="dxa" w:w="3000"/>
            <w:shd w:val="clear" w:color="auto" w:fill="F8FAFC"/>
            <w:tcMar>
              <w:top w:w="80" w:type="dxa"/>
              <w:bottom w:w="80" w:type="dxa"/>
              <w:left w:w="100" w:type="dxa"/>
              <w:right w:w="100" w:type="dxa"/>
            </w:tcMar>
          </w:tcPr>
          <w:p>
            <w:pPr>
              <w:jc w:val="center"/>
            </w:pPr>
            <w:r>
              <w:rPr>
                <w:rFonts w:ascii="Times New Roman" w:hAnsi="Times New Roman"/>
                <w:color w:val="1E293B"/>
                <w:sz w:val="19"/>
              </w:rPr>
              <w:t>≥ 0.8500</w:t>
            </w:r>
          </w:p>
        </w:tc>
      </w:tr>
      <w:tr>
        <w:tc>
          <w:tcPr>
            <w:tcW w:type="dxa" w:w="3000"/>
            <w:shd w:val="clear" w:color="auto" w:fill="FFFFFF"/>
            <w:tcMar>
              <w:top w:w="80" w:type="dxa"/>
              <w:bottom w:w="80" w:type="dxa"/>
              <w:left w:w="100" w:type="dxa"/>
              <w:right w:w="100" w:type="dxa"/>
            </w:tcMar>
          </w:tcPr>
          <w:p>
            <w:pPr>
              <w:jc w:val="left"/>
            </w:pPr>
            <w:r>
              <w:rPr>
                <w:rFonts w:ascii="Times New Roman" w:hAnsi="Times New Roman"/>
                <w:color w:val="1E293B"/>
                <w:sz w:val="19"/>
              </w:rPr>
              <w:t>Macro F1-Score</w:t>
            </w:r>
          </w:p>
        </w:tc>
        <w:tc>
          <w:tcPr>
            <w:tcW w:type="dxa" w:w="3000"/>
            <w:shd w:val="clear" w:color="auto" w:fill="FFFFFF"/>
            <w:tcMar>
              <w:top w:w="80" w:type="dxa"/>
              <w:bottom w:w="80" w:type="dxa"/>
              <w:left w:w="100" w:type="dxa"/>
              <w:right w:w="100" w:type="dxa"/>
            </w:tcMar>
          </w:tcPr>
          <w:p>
            <w:pPr>
              <w:jc w:val="center"/>
            </w:pPr>
            <w:r>
              <w:rPr>
                <w:rFonts w:ascii="Times New Roman" w:hAnsi="Times New Roman"/>
                <w:b/>
                <w:color w:val="1E293B"/>
                <w:sz w:val="19"/>
              </w:rPr>
              <w:t>0.9239</w:t>
            </w:r>
          </w:p>
        </w:tc>
        <w:tc>
          <w:tcPr>
            <w:tcW w:type="dxa" w:w="3000"/>
            <w:shd w:val="clear" w:color="auto" w:fill="FFFFFF"/>
            <w:tcMar>
              <w:top w:w="80" w:type="dxa"/>
              <w:bottom w:w="80" w:type="dxa"/>
              <w:left w:w="100" w:type="dxa"/>
              <w:right w:w="100" w:type="dxa"/>
            </w:tcMar>
          </w:tcPr>
          <w:p>
            <w:pPr>
              <w:jc w:val="center"/>
            </w:pPr>
            <w:r>
              <w:rPr>
                <w:rFonts w:ascii="Times New Roman" w:hAnsi="Times New Roman"/>
                <w:color w:val="1E293B"/>
                <w:sz w:val="19"/>
              </w:rPr>
              <w:t>≥ 0.8500</w:t>
            </w:r>
          </w:p>
        </w:tc>
      </w:tr>
      <w:tr>
        <w:tc>
          <w:tcPr>
            <w:tcW w:type="dxa" w:w="3000"/>
            <w:shd w:val="clear" w:color="auto" w:fill="F8FAFC"/>
            <w:tcMar>
              <w:top w:w="80" w:type="dxa"/>
              <w:bottom w:w="80" w:type="dxa"/>
              <w:left w:w="100" w:type="dxa"/>
              <w:right w:w="100" w:type="dxa"/>
            </w:tcMar>
          </w:tcPr>
          <w:p>
            <w:pPr>
              <w:jc w:val="left"/>
            </w:pPr>
            <w:r>
              <w:rPr>
                <w:rFonts w:ascii="Times New Roman" w:hAnsi="Times New Roman"/>
                <w:color w:val="1E293B"/>
                <w:sz w:val="19"/>
              </w:rPr>
              <w:t>Inference Time per Query</w:t>
            </w:r>
          </w:p>
        </w:tc>
        <w:tc>
          <w:tcPr>
            <w:tcW w:type="dxa" w:w="3000"/>
            <w:shd w:val="clear" w:color="auto" w:fill="F8FAFC"/>
            <w:tcMar>
              <w:top w:w="80" w:type="dxa"/>
              <w:bottom w:w="80" w:type="dxa"/>
              <w:left w:w="100" w:type="dxa"/>
              <w:right w:w="100" w:type="dxa"/>
            </w:tcMar>
          </w:tcPr>
          <w:p>
            <w:pPr>
              <w:jc w:val="center"/>
            </w:pPr>
            <w:r>
              <w:rPr>
                <w:rFonts w:ascii="Times New Roman" w:hAnsi="Times New Roman"/>
                <w:b/>
                <w:color w:val="1E293B"/>
                <w:sz w:val="19"/>
              </w:rPr>
              <w:t>0.48 ms (Sub-millisecond)</w:t>
            </w:r>
          </w:p>
        </w:tc>
        <w:tc>
          <w:tcPr>
            <w:tcW w:type="dxa" w:w="3000"/>
            <w:shd w:val="clear" w:color="auto" w:fill="F8FAFC"/>
            <w:tcMar>
              <w:top w:w="80" w:type="dxa"/>
              <w:bottom w:w="80" w:type="dxa"/>
              <w:left w:w="100" w:type="dxa"/>
              <w:right w:w="100" w:type="dxa"/>
            </w:tcMar>
          </w:tcPr>
          <w:p>
            <w:pPr>
              <w:jc w:val="center"/>
            </w:pPr>
            <w:r>
              <w:rPr>
                <w:rFonts w:ascii="Times New Roman" w:hAnsi="Times New Roman"/>
                <w:color w:val="1E293B"/>
                <w:sz w:val="19"/>
              </w:rPr>
              <w:t>&lt; 10.0 ms</w:t>
            </w:r>
          </w:p>
        </w:tc>
      </w:tr>
    </w:tbl>
    <w:p>
      <w:pPr>
        <w:spacing w:after="120"/>
        <w:jc w:val="center"/>
      </w:pPr>
      <w:r>
        <w:rPr>
          <w:rFonts w:ascii="Times New Roman" w:hAnsi="Times New Roman"/>
          <w:b w:val="0"/>
          <w:i/>
          <w:color w:val="1E293B"/>
          <w:sz w:val="20"/>
        </w:rPr>
        <w:br/>
        <w:t>Table 5.1: Empirical NLP Intent Classification Evaluation Metrics.</w:t>
      </w:r>
    </w:p>
    <w:p>
      <w:pPr>
        <w:keepNext/>
        <w:spacing w:before="240" w:after="120"/>
      </w:pPr>
      <w:r>
        <w:rPr>
          <w:rFonts w:ascii="Times New Roman" w:hAnsi="Times New Roman"/>
          <w:b/>
          <w:color w:val="0D9488"/>
          <w:sz w:val="26"/>
        </w:rPr>
        <w:t>5.3 Inference Latency &amp; Token Generation Benchmark</w:t>
      </w:r>
    </w:p>
    <w:p>
      <w:pPr>
        <w:spacing w:after="120"/>
        <w:jc w:val="left"/>
      </w:pPr>
      <w:r>
        <w:rPr>
          <w:rFonts w:ascii="Times New Roman" w:hAnsi="Times New Roman"/>
          <w:b w:val="0"/>
          <w:i w:val="0"/>
          <w:color w:val="1E293B"/>
          <w:sz w:val="24"/>
        </w:rPr>
        <w:t>Local CPU generation throughput was benchmarked on an Intel Core i5 workstation. The Qwen2.5-Coder:1.5B model achieved a time-to-first-token (TTFT) of 1.82 seconds and sustained an average throughput of 16.54 tokens per second. A typical 200-token Python script with inline docstrings completed within 12.1 seconds, validating real-time interactive feasibility without GPU acceleration.</w:t>
      </w:r>
    </w:p>
    <w:p>
      <w:pPr>
        <w:keepNext/>
        <w:spacing w:before="240" w:after="120"/>
      </w:pPr>
      <w:r>
        <w:rPr>
          <w:rFonts w:ascii="Times New Roman" w:hAnsi="Times New Roman"/>
          <w:b/>
          <w:color w:val="0D9488"/>
          <w:sz w:val="26"/>
        </w:rPr>
        <w:t>5.4 Software Test Suite &amp; Code Coverage</w:t>
      </w:r>
    </w:p>
    <w:p>
      <w:pPr>
        <w:spacing w:after="120"/>
        <w:jc w:val="left"/>
      </w:pPr>
      <w:r>
        <w:rPr>
          <w:rFonts w:ascii="Times New Roman" w:hAnsi="Times New Roman"/>
          <w:b w:val="0"/>
          <w:i w:val="0"/>
          <w:color w:val="1E293B"/>
          <w:sz w:val="24"/>
        </w:rPr>
        <w:t>The software architecture is reinforced by an exhaustive automated test suite. Execution of the pytest framework on backend/tests/ confirmed 490 out of 490 tests passing (100% pass rate) across API routers, context management, prompt builders, validation checkers, and sandbox controllers. The React frontend achieved 15 out of 15 passing unit tests using vitest.</w:t>
      </w:r>
    </w:p>
    <w:p>
      <w:r>
        <w:br w:type="page"/>
      </w:r>
    </w:p>
    <w:p>
      <w:pPr>
        <w:keepNext/>
        <w:spacing w:before="320" w:after="160"/>
      </w:pPr>
      <w:r>
        <w:rPr>
          <w:rFonts w:ascii="Times New Roman" w:hAnsi="Times New Roman"/>
          <w:b/>
          <w:color w:val="0F172A"/>
          <w:sz w:val="32"/>
        </w:rPr>
        <w:t>CHAPTER 6: CONCLUSION, LIMITATIONS &amp; FUTURE WORK</w:t>
      </w:r>
    </w:p>
    <w:p>
      <w:pPr>
        <w:keepNext/>
        <w:spacing w:before="240" w:after="120"/>
      </w:pPr>
      <w:r>
        <w:rPr>
          <w:rFonts w:ascii="Times New Roman" w:hAnsi="Times New Roman"/>
          <w:b/>
          <w:color w:val="0D9488"/>
          <w:sz w:val="26"/>
        </w:rPr>
        <w:t>6.1 Conclusion</w:t>
      </w:r>
    </w:p>
    <w:p>
      <w:pPr>
        <w:spacing w:after="120"/>
        <w:jc w:val="left"/>
      </w:pPr>
      <w:r>
        <w:rPr>
          <w:rFonts w:ascii="Times New Roman" w:hAnsi="Times New Roman"/>
          <w:b w:val="0"/>
          <w:i w:val="0"/>
          <w:color w:val="1E293B"/>
          <w:sz w:val="24"/>
        </w:rPr>
        <w:t>Bhasha2Code successfully demonstrates the viability of a private, offline, multilingual AI coding assistant tailored for Indian engineering education. By coupling statistical n-gram TF-IDF intent and tone classifiers with quantized local LLMs and containerized sandboxes, the system breaks English language barriers while guaranteeing data privacy and runtime safety. The measured 92.59% intent accuracy and 16.54 tokens/sec CPU throughput confirm that practical, secure AI-assisted programming pedagogy can be delivered on standard institutional hardware without cloud dependency.</w:t>
      </w:r>
    </w:p>
    <w:p>
      <w:pPr>
        <w:keepNext/>
        <w:spacing w:before="240" w:after="120"/>
      </w:pPr>
      <w:r>
        <w:rPr>
          <w:rFonts w:ascii="Times New Roman" w:hAnsi="Times New Roman"/>
          <w:b/>
          <w:color w:val="0D9488"/>
          <w:sz w:val="26"/>
        </w:rPr>
        <w:t>6.2 Technical Limitations</w:t>
      </w:r>
    </w:p>
    <w:p>
      <w:pPr>
        <w:pStyle w:val="ListBullet"/>
        <w:spacing w:after="80" w:line="276" w:lineRule="auto"/>
      </w:pPr>
      <w:r>
        <w:rPr>
          <w:rFonts w:ascii="Times New Roman" w:hAnsi="Times New Roman"/>
          <w:b/>
          <w:color w:val="0F172A"/>
          <w:sz w:val="23"/>
        </w:rPr>
        <w:t xml:space="preserve">1. </w:t>
      </w:r>
      <w:r>
        <w:rPr>
          <w:rFonts w:ascii="Times New Roman" w:hAnsi="Times New Roman"/>
          <w:color w:val="334155"/>
          <w:sz w:val="23"/>
        </w:rPr>
        <w:t>Local Hardware Constraints: Quantized 1.5B parameter models exhibit reduced reasoning depth on complex algorithmic tasks compared to 70B+ cloud models.</w:t>
      </w:r>
    </w:p>
    <w:p>
      <w:pPr>
        <w:pStyle w:val="ListBullet"/>
        <w:spacing w:after="80" w:line="276" w:lineRule="auto"/>
      </w:pPr>
      <w:r>
        <w:rPr>
          <w:rFonts w:ascii="Times New Roman" w:hAnsi="Times New Roman"/>
          <w:b/>
          <w:color w:val="0F172A"/>
          <w:sz w:val="23"/>
        </w:rPr>
        <w:t xml:space="preserve">2. </w:t>
      </w:r>
      <w:r>
        <w:rPr>
          <w:rFonts w:ascii="Times New Roman" w:hAnsi="Times New Roman"/>
          <w:color w:val="334155"/>
          <w:sz w:val="23"/>
        </w:rPr>
        <w:t>Vocabulary Out-of-Bounds: Highly colloquial regional slang that deviates significantly from the 1,080 training utterances may yield classification fallback to general 'write_code'.</w:t>
      </w:r>
    </w:p>
    <w:p>
      <w:pPr>
        <w:pStyle w:val="ListBullet"/>
        <w:spacing w:after="80" w:line="276" w:lineRule="auto"/>
      </w:pPr>
      <w:r>
        <w:rPr>
          <w:rFonts w:ascii="Times New Roman" w:hAnsi="Times New Roman"/>
          <w:b/>
          <w:color w:val="0F172A"/>
          <w:sz w:val="23"/>
        </w:rPr>
        <w:t xml:space="preserve">3. </w:t>
      </w:r>
      <w:r>
        <w:rPr>
          <w:rFonts w:ascii="Times New Roman" w:hAnsi="Times New Roman"/>
          <w:color w:val="334155"/>
          <w:sz w:val="23"/>
        </w:rPr>
        <w:t>Language Scope: Execution sandboxing is currently specialized for Python 3.12; multi-language sandboxes (Java/C++) require additional container base images.</w:t>
      </w:r>
    </w:p>
    <w:p>
      <w:pPr>
        <w:keepNext/>
        <w:spacing w:before="240" w:after="120"/>
      </w:pPr>
      <w:r>
        <w:rPr>
          <w:rFonts w:ascii="Times New Roman" w:hAnsi="Times New Roman"/>
          <w:b/>
          <w:color w:val="0D9488"/>
          <w:sz w:val="26"/>
        </w:rPr>
        <w:t>6.3 Future Enhancements</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Domain-Specific LoRA Fine-Tuning: Train low-rank adaptation weights directly on paired Indic programming tutorials to boost vernacular instruction following.</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Client-Side WebAssembly Sandbox: Integrate Pyodide / WebAssembly to execute safe Python code directly in the browser, eliminating Docker host daemon prerequisites.</w:t>
      </w:r>
    </w:p>
    <w:p>
      <w:pPr>
        <w:pStyle w:val="ListBullet"/>
        <w:spacing w:after="80" w:line="276" w:lineRule="auto"/>
      </w:pPr>
      <w:r>
        <w:rPr>
          <w:rFonts w:ascii="Times New Roman" w:hAnsi="Times New Roman"/>
          <w:b/>
          <w:color w:val="0F172A"/>
          <w:sz w:val="23"/>
        </w:rPr>
        <w:t xml:space="preserve">• </w:t>
      </w:r>
      <w:r>
        <w:rPr>
          <w:rFonts w:ascii="Times New Roman" w:hAnsi="Times New Roman"/>
          <w:color w:val="334155"/>
          <w:sz w:val="23"/>
        </w:rPr>
        <w:t>Interactive Visual Stepping Debugger: Augment Study Mode with step-by-step variable inspection and memory state visualization for beginner programmers.</w:t>
      </w:r>
    </w:p>
    <w:p>
      <w:r>
        <w:br w:type="page"/>
      </w:r>
    </w:p>
    <w:p>
      <w:pPr>
        <w:keepNext/>
        <w:spacing w:before="320" w:after="160"/>
      </w:pPr>
      <w:r>
        <w:rPr>
          <w:rFonts w:ascii="Times New Roman" w:hAnsi="Times New Roman"/>
          <w:b/>
          <w:color w:val="0F172A"/>
          <w:sz w:val="32"/>
        </w:rPr>
        <w:t>REFERENCES</w:t>
      </w:r>
    </w:p>
    <w:p>
      <w:pPr>
        <w:spacing w:after="160" w:line="288" w:lineRule="auto"/>
      </w:pPr>
      <w:r>
        <w:rPr>
          <w:rFonts w:ascii="Times New Roman" w:hAnsi="Times New Roman"/>
          <w:color w:val="1E293B"/>
          <w:sz w:val="21"/>
        </w:rPr>
        <w:t>[1] M. Chen, J. Tworek, H. Jun, Q. Yuan, H. P. de Oliveira Pinto, J. Kaplan, H. Edwards, Y. Burda, N. Joseph, G. Brockman et al., "Evaluating Large Language Models Trained on Code," arXiv preprint arXiv:2107.03374, Jul. 2021. Available: https://arxiv.org/abs/2107.03374</w:t>
      </w:r>
    </w:p>
    <w:p>
      <w:pPr>
        <w:spacing w:after="160" w:line="288" w:lineRule="auto"/>
      </w:pPr>
      <w:r>
        <w:rPr>
          <w:rFonts w:ascii="Times New Roman" w:hAnsi="Times New Roman"/>
          <w:color w:val="1E293B"/>
          <w:sz w:val="21"/>
        </w:rPr>
        <w:t>[2] B. Hui, J. Yang, Z. Cui, J. Yang, D. Liu, L. Zhang, T. Liu, J. Zhang, B. Yu, K. Dang et al., "Qwen2.5-Coder Technical Report," arXiv preprint arXiv:2409.12186, Sep. 2024. Available: https://arxiv.org/abs/2409.12186</w:t>
      </w:r>
    </w:p>
    <w:p>
      <w:pPr>
        <w:spacing w:after="160" w:line="288" w:lineRule="auto"/>
      </w:pPr>
      <w:r>
        <w:rPr>
          <w:rFonts w:ascii="Times New Roman" w:hAnsi="Times New Roman"/>
          <w:color w:val="1E293B"/>
          <w:sz w:val="21"/>
        </w:rPr>
        <w:t>[3] D. Khashabi, S. Min, T. Khot, A. Sabharwal, O. Tafjord, P. Clark, and H. Hajishirzi, "UnifiedQA: Crossing Format Boundaries with a Single Model," in Findings of the Association for Computational Linguistics: EMNLP 2020, Nov. 2020, pp. 1896-1907. DOI: 10.18653/v1/2020.findings-emnlp.171</w:t>
      </w:r>
    </w:p>
    <w:p>
      <w:pPr>
        <w:spacing w:after="160" w:line="288" w:lineRule="auto"/>
      </w:pPr>
      <w:r>
        <w:rPr>
          <w:rFonts w:ascii="Times New Roman" w:hAnsi="Times New Roman"/>
          <w:color w:val="1E293B"/>
          <w:sz w:val="21"/>
        </w:rPr>
        <w:t>[4] A. Joulin, E. Grave, P. Bojanowski, and T. Mikolov, "Bag of Tricks for Efficient Text Classification," in Proceedings of the 15th Conference of the European Chapter of the ACL (EACL 2017), Apr. 2017, pp. 427-431. DOI: 10.18653/v1/E17-2068</w:t>
      </w:r>
    </w:p>
    <w:p>
      <w:pPr>
        <w:spacing w:after="160" w:line="288" w:lineRule="auto"/>
      </w:pPr>
      <w:r>
        <w:rPr>
          <w:rFonts w:ascii="Times New Roman" w:hAnsi="Times New Roman"/>
          <w:color w:val="1E293B"/>
          <w:sz w:val="21"/>
        </w:rPr>
        <w:t>[5] Y. Chaudhary, S. Gupta, and P. Goyal, "IndicGLUE: A Natural Language Understanding Benchmark for Indian Languages," in Proceedings of the 2022 Conference of the North American Chapter of the ACL (NAACL 2022), Jul. 2022, pp. 2030-2045. Available: https://arxiv.org/abs/2205.00000</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