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23B5D"/>
          <w:sz w:val="54"/>
        </w:rPr>
        <w:t>NASA C-MAPSS RUL</w:t>
        <w:br/>
        <w:t>Implementation Roadmap</w:t>
      </w:r>
    </w:p>
    <w:p>
      <w:pPr>
        <w:jc w:val="center"/>
      </w:pPr>
      <w:r>
        <w:rPr>
          <w:color w:val="087E8B"/>
          <w:sz w:val="22"/>
        </w:rPr>
        <w:t>Research-led plan • Evaluation audit • Controlled experiments • End-to-end demo</w:t>
      </w:r>
    </w:p>
    <w:p>
      <w:pPr>
        <w:jc w:val="center"/>
      </w:pPr>
      <w:r>
        <w:rPr>
          <w:i/>
          <w:color w:val="5F7080"/>
          <w:sz w:val="19"/>
        </w:rPr>
        <w:t>Based on current FD001 model results and the TELIPORT Case Study 1 requirements</w:t>
      </w:r>
    </w:p>
    <w:p/>
    <w:p>
      <w:pPr>
        <w:pStyle w:val="Heading1"/>
      </w:pPr>
      <w:r>
        <w:t>Executive recommendation</w:t>
      </w:r>
    </w:p>
    <w:p>
      <w:r>
        <w:rPr>
          <w:b/>
        </w:rPr>
        <w:t xml:space="preserve">Do not jump straight to a large Transformer or replace every model. </w:t>
      </w:r>
      <w:r>
        <w:t>First reproduce and audit the current baseline, especially the target construction, test-engine alignment and reported “NASA mean” metric. Then tune HistGradientBoosting/Random Forest and run controlled feature/label ablations. The next research implementation should be the 2023 1D-CNN-LSTM + sensor-difference + change-point-labeling study, implemented in stages so each improvement can be measured.</w:t>
      </w:r>
    </w:p>
    <w:p>
      <w:pPr>
        <w:pStyle w:val="Heading1"/>
      </w:pPr>
      <w:r>
        <w:t>1. Current results and what they imply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c>
          <w:tcPr>
            <w:tcW w:type="dxa" w:w="3384"/>
            <w:vAlign w:val="center"/>
            <w:shd w:fill="123B5D"/>
          </w:tcPr>
          <w:p>
            <w:pPr>
              <w:spacing w:after="0" w:before="0"/>
            </w:pPr>
            <w:r/>
            <w:r>
              <w:rPr>
                <w:rFonts w:ascii="Aptos" w:hAnsi="Aptos"/>
                <w:b/>
                <w:color w:val="FFFFFF"/>
                <w:sz w:val="16"/>
              </w:rPr>
              <w:t>Model</w:t>
            </w:r>
          </w:p>
        </w:tc>
        <w:tc>
          <w:tcPr>
            <w:tcW w:type="dxa" w:w="1195"/>
            <w:vAlign w:val="center"/>
            <w:shd w:fill="123B5D"/>
          </w:tcPr>
          <w:p>
            <w:pPr>
              <w:spacing w:after="0" w:before="0"/>
            </w:pPr>
            <w:r/>
            <w:r>
              <w:rPr>
                <w:rFonts w:ascii="Aptos" w:hAnsi="Aptos"/>
                <w:b/>
                <w:color w:val="FFFFFF"/>
                <w:sz w:val="16"/>
              </w:rPr>
              <w:t>RMSE ↓</w:t>
            </w:r>
          </w:p>
        </w:tc>
        <w:tc>
          <w:tcPr>
            <w:tcW w:type="dxa" w:w="1195"/>
            <w:vAlign w:val="center"/>
            <w:shd w:fill="123B5D"/>
          </w:tcPr>
          <w:p>
            <w:pPr>
              <w:spacing w:after="0" w:before="0"/>
            </w:pPr>
            <w:r/>
            <w:r>
              <w:rPr>
                <w:rFonts w:ascii="Aptos" w:hAnsi="Aptos"/>
                <w:b/>
                <w:color w:val="FFFFFF"/>
                <w:sz w:val="16"/>
              </w:rPr>
              <w:t>MAE ↓</w:t>
            </w:r>
          </w:p>
        </w:tc>
        <w:tc>
          <w:tcPr>
            <w:tcW w:type="dxa" w:w="1037"/>
            <w:vAlign w:val="center"/>
            <w:shd w:fill="123B5D"/>
          </w:tcPr>
          <w:p>
            <w:pPr>
              <w:spacing w:after="0" w:before="0"/>
            </w:pPr>
            <w:r/>
            <w:r>
              <w:rPr>
                <w:rFonts w:ascii="Aptos" w:hAnsi="Aptos"/>
                <w:b/>
                <w:color w:val="FFFFFF"/>
                <w:sz w:val="16"/>
              </w:rPr>
              <w:t>R² ↑</w:t>
            </w:r>
          </w:p>
        </w:tc>
        <w:tc>
          <w:tcPr>
            <w:tcW w:type="dxa" w:w="2045"/>
            <w:vAlign w:val="center"/>
            <w:shd w:fill="123B5D"/>
          </w:tcPr>
          <w:p>
            <w:pPr>
              <w:spacing w:after="0" w:before="0"/>
            </w:pPr>
            <w:r/>
            <w:r>
              <w:rPr>
                <w:rFonts w:ascii="Aptos" w:hAnsi="Aptos"/>
                <w:b/>
                <w:color w:val="FFFFFF"/>
                <w:sz w:val="16"/>
              </w:rPr>
              <w:t>Reported NASA value ↓</w:t>
            </w:r>
          </w:p>
        </w:tc>
      </w:tr>
      <w:tr>
        <w:tc>
          <w:tcPr>
            <w:tcW w:type="dxa" w:w="3384"/>
            <w:vAlign w:val="center"/>
          </w:tcPr>
          <w:p>
            <w:pPr>
              <w:spacing w:after="0" w:before="0"/>
            </w:pPr>
            <w:r/>
            <w:r>
              <w:rPr>
                <w:rFonts w:ascii="Aptos" w:hAnsi="Aptos"/>
                <w:b w:val="0"/>
                <w:sz w:val="16"/>
              </w:rPr>
              <w:t>HistGradientBoosting</w:t>
            </w:r>
          </w:p>
        </w:tc>
        <w:tc>
          <w:tcPr>
            <w:tcW w:type="dxa" w:w="1195"/>
            <w:vAlign w:val="center"/>
          </w:tcPr>
          <w:p>
            <w:pPr>
              <w:spacing w:after="0" w:before="0"/>
            </w:pPr>
            <w:r/>
            <w:r>
              <w:rPr>
                <w:rFonts w:ascii="Aptos" w:hAnsi="Aptos"/>
                <w:b w:val="0"/>
                <w:sz w:val="16"/>
              </w:rPr>
              <w:t>24.050</w:t>
            </w:r>
          </w:p>
        </w:tc>
        <w:tc>
          <w:tcPr>
            <w:tcW w:type="dxa" w:w="1195"/>
            <w:vAlign w:val="center"/>
          </w:tcPr>
          <w:p>
            <w:pPr>
              <w:spacing w:after="0" w:before="0"/>
            </w:pPr>
            <w:r/>
            <w:r>
              <w:rPr>
                <w:rFonts w:ascii="Aptos" w:hAnsi="Aptos"/>
                <w:b w:val="0"/>
                <w:sz w:val="16"/>
              </w:rPr>
              <w:t>16.885</w:t>
            </w:r>
          </w:p>
        </w:tc>
        <w:tc>
          <w:tcPr>
            <w:tcW w:type="dxa" w:w="1037"/>
            <w:vAlign w:val="center"/>
          </w:tcPr>
          <w:p>
            <w:pPr>
              <w:spacing w:after="0" w:before="0"/>
            </w:pPr>
            <w:r/>
            <w:r>
              <w:rPr>
                <w:rFonts w:ascii="Aptos" w:hAnsi="Aptos"/>
                <w:b w:val="0"/>
                <w:sz w:val="16"/>
              </w:rPr>
              <w:t>0.665</w:t>
            </w:r>
          </w:p>
        </w:tc>
        <w:tc>
          <w:tcPr>
            <w:tcW w:type="dxa" w:w="2045"/>
            <w:vAlign w:val="center"/>
          </w:tcPr>
          <w:p>
            <w:pPr>
              <w:spacing w:after="0" w:before="0"/>
            </w:pPr>
            <w:r/>
            <w:r>
              <w:rPr>
                <w:rFonts w:ascii="Aptos" w:hAnsi="Aptos"/>
                <w:b w:val="0"/>
                <w:sz w:val="16"/>
              </w:rPr>
              <w:t>336.047</w:t>
            </w:r>
          </w:p>
        </w:tc>
      </w:tr>
      <w:tr>
        <w:tc>
          <w:tcPr>
            <w:tcW w:type="dxa" w:w="3384"/>
            <w:vAlign w:val="center"/>
            <w:shd w:fill="F0F5F8"/>
          </w:tcPr>
          <w:p>
            <w:pPr>
              <w:spacing w:after="0" w:before="0"/>
            </w:pPr>
            <w:r/>
            <w:r>
              <w:rPr>
                <w:rFonts w:ascii="Aptos" w:hAnsi="Aptos"/>
                <w:b w:val="0"/>
                <w:sz w:val="16"/>
              </w:rPr>
              <w:t>Random Forest</w:t>
            </w:r>
          </w:p>
        </w:tc>
        <w:tc>
          <w:tcPr>
            <w:tcW w:type="dxa" w:w="1195"/>
            <w:vAlign w:val="center"/>
            <w:shd w:fill="F0F5F8"/>
          </w:tcPr>
          <w:p>
            <w:pPr>
              <w:spacing w:after="0" w:before="0"/>
            </w:pPr>
            <w:r/>
            <w:r>
              <w:rPr>
                <w:rFonts w:ascii="Aptos" w:hAnsi="Aptos"/>
                <w:b w:val="0"/>
                <w:sz w:val="16"/>
              </w:rPr>
              <w:t>24.142</w:t>
            </w:r>
          </w:p>
        </w:tc>
        <w:tc>
          <w:tcPr>
            <w:tcW w:type="dxa" w:w="1195"/>
            <w:vAlign w:val="center"/>
            <w:shd w:fill="F0F5F8"/>
          </w:tcPr>
          <w:p>
            <w:pPr>
              <w:spacing w:after="0" w:before="0"/>
            </w:pPr>
            <w:r/>
            <w:r>
              <w:rPr>
                <w:rFonts w:ascii="Aptos" w:hAnsi="Aptos"/>
                <w:b w:val="0"/>
                <w:sz w:val="16"/>
              </w:rPr>
              <w:t>16.357</w:t>
            </w:r>
          </w:p>
        </w:tc>
        <w:tc>
          <w:tcPr>
            <w:tcW w:type="dxa" w:w="1037"/>
            <w:vAlign w:val="center"/>
            <w:shd w:fill="F0F5F8"/>
          </w:tcPr>
          <w:p>
            <w:pPr>
              <w:spacing w:after="0" w:before="0"/>
            </w:pPr>
            <w:r/>
            <w:r>
              <w:rPr>
                <w:rFonts w:ascii="Aptos" w:hAnsi="Aptos"/>
                <w:b w:val="0"/>
                <w:sz w:val="16"/>
              </w:rPr>
              <w:t>0.662</w:t>
            </w:r>
          </w:p>
        </w:tc>
        <w:tc>
          <w:tcPr>
            <w:tcW w:type="dxa" w:w="2045"/>
            <w:vAlign w:val="center"/>
            <w:shd w:fill="F0F5F8"/>
          </w:tcPr>
          <w:p>
            <w:pPr>
              <w:spacing w:after="0" w:before="0"/>
            </w:pPr>
            <w:r/>
            <w:r>
              <w:rPr>
                <w:rFonts w:ascii="Aptos" w:hAnsi="Aptos"/>
                <w:b w:val="0"/>
                <w:sz w:val="16"/>
              </w:rPr>
              <w:t>448.807</w:t>
            </w:r>
          </w:p>
        </w:tc>
      </w:tr>
      <w:tr>
        <w:tc>
          <w:tcPr>
            <w:tcW w:type="dxa" w:w="3384"/>
            <w:vAlign w:val="center"/>
          </w:tcPr>
          <w:p>
            <w:pPr>
              <w:spacing w:after="0" w:before="0"/>
            </w:pPr>
            <w:r/>
            <w:r>
              <w:rPr>
                <w:rFonts w:ascii="Aptos" w:hAnsi="Aptos"/>
                <w:b w:val="0"/>
                <w:sz w:val="16"/>
              </w:rPr>
              <w:t>TinyML RUL</w:t>
            </w:r>
          </w:p>
        </w:tc>
        <w:tc>
          <w:tcPr>
            <w:tcW w:type="dxa" w:w="1195"/>
            <w:vAlign w:val="center"/>
          </w:tcPr>
          <w:p>
            <w:pPr>
              <w:spacing w:after="0" w:before="0"/>
            </w:pPr>
            <w:r/>
            <w:r>
              <w:rPr>
                <w:rFonts w:ascii="Aptos" w:hAnsi="Aptos"/>
                <w:b w:val="0"/>
                <w:sz w:val="16"/>
              </w:rPr>
              <w:t>24.806</w:t>
            </w:r>
          </w:p>
        </w:tc>
        <w:tc>
          <w:tcPr>
            <w:tcW w:type="dxa" w:w="1195"/>
            <w:vAlign w:val="center"/>
          </w:tcPr>
          <w:p>
            <w:pPr>
              <w:spacing w:after="0" w:before="0"/>
            </w:pPr>
            <w:r/>
            <w:r>
              <w:rPr>
                <w:rFonts w:ascii="Aptos" w:hAnsi="Aptos"/>
                <w:b w:val="0"/>
                <w:sz w:val="16"/>
              </w:rPr>
              <w:t>17.755</w:t>
            </w:r>
          </w:p>
        </w:tc>
        <w:tc>
          <w:tcPr>
            <w:tcW w:type="dxa" w:w="1037"/>
            <w:vAlign w:val="center"/>
          </w:tcPr>
          <w:p>
            <w:pPr>
              <w:spacing w:after="0" w:before="0"/>
            </w:pPr>
            <w:r/>
            <w:r>
              <w:rPr>
                <w:rFonts w:ascii="Aptos" w:hAnsi="Aptos"/>
                <w:b w:val="0"/>
                <w:sz w:val="16"/>
              </w:rPr>
              <w:t>0.644</w:t>
            </w:r>
          </w:p>
        </w:tc>
        <w:tc>
          <w:tcPr>
            <w:tcW w:type="dxa" w:w="2045"/>
            <w:vAlign w:val="center"/>
          </w:tcPr>
          <w:p>
            <w:pPr>
              <w:spacing w:after="0" w:before="0"/>
            </w:pPr>
            <w:r/>
            <w:r>
              <w:rPr>
                <w:rFonts w:ascii="Aptos" w:hAnsi="Aptos"/>
                <w:b w:val="0"/>
                <w:sz w:val="16"/>
              </w:rPr>
              <w:t>76.179</w:t>
            </w:r>
          </w:p>
        </w:tc>
      </w:tr>
      <w:tr>
        <w:tc>
          <w:tcPr>
            <w:tcW w:type="dxa" w:w="3384"/>
            <w:vAlign w:val="center"/>
            <w:shd w:fill="F0F5F8"/>
          </w:tcPr>
          <w:p>
            <w:pPr>
              <w:spacing w:after="0" w:before="0"/>
            </w:pPr>
            <w:r/>
            <w:r>
              <w:rPr>
                <w:rFonts w:ascii="Aptos" w:hAnsi="Aptos"/>
                <w:b w:val="0"/>
                <w:sz w:val="16"/>
              </w:rPr>
              <w:t>Hybrid TinyML + Autoencoder</w:t>
            </w:r>
          </w:p>
        </w:tc>
        <w:tc>
          <w:tcPr>
            <w:tcW w:type="dxa" w:w="1195"/>
            <w:vAlign w:val="center"/>
            <w:shd w:fill="F0F5F8"/>
          </w:tcPr>
          <w:p>
            <w:pPr>
              <w:spacing w:after="0" w:before="0"/>
            </w:pPr>
            <w:r/>
            <w:r>
              <w:rPr>
                <w:rFonts w:ascii="Aptos" w:hAnsi="Aptos"/>
                <w:b w:val="0"/>
                <w:sz w:val="16"/>
              </w:rPr>
              <w:t>27.316</w:t>
            </w:r>
          </w:p>
        </w:tc>
        <w:tc>
          <w:tcPr>
            <w:tcW w:type="dxa" w:w="1195"/>
            <w:vAlign w:val="center"/>
            <w:shd w:fill="F0F5F8"/>
          </w:tcPr>
          <w:p>
            <w:pPr>
              <w:spacing w:after="0" w:before="0"/>
            </w:pPr>
            <w:r/>
            <w:r>
              <w:rPr>
                <w:rFonts w:ascii="Aptos" w:hAnsi="Aptos"/>
                <w:b w:val="0"/>
                <w:sz w:val="16"/>
              </w:rPr>
              <w:t>19.095</w:t>
            </w:r>
          </w:p>
        </w:tc>
        <w:tc>
          <w:tcPr>
            <w:tcW w:type="dxa" w:w="1037"/>
            <w:vAlign w:val="center"/>
            <w:shd w:fill="F0F5F8"/>
          </w:tcPr>
          <w:p>
            <w:pPr>
              <w:spacing w:after="0" w:before="0"/>
            </w:pPr>
            <w:r/>
            <w:r>
              <w:rPr>
                <w:rFonts w:ascii="Aptos" w:hAnsi="Aptos"/>
                <w:b w:val="0"/>
                <w:sz w:val="16"/>
              </w:rPr>
              <w:t>0.568</w:t>
            </w:r>
          </w:p>
        </w:tc>
        <w:tc>
          <w:tcPr>
            <w:tcW w:type="dxa" w:w="2045"/>
            <w:vAlign w:val="center"/>
            <w:shd w:fill="F0F5F8"/>
          </w:tcPr>
          <w:p>
            <w:pPr>
              <w:spacing w:after="0" w:before="0"/>
            </w:pPr>
            <w:r/>
            <w:r>
              <w:rPr>
                <w:rFonts w:ascii="Aptos" w:hAnsi="Aptos"/>
                <w:b w:val="0"/>
                <w:sz w:val="16"/>
              </w:rPr>
              <w:t>160.383</w:t>
            </w:r>
          </w:p>
        </w:tc>
      </w:tr>
      <w:tr>
        <w:tc>
          <w:tcPr>
            <w:tcW w:type="dxa" w:w="3384"/>
            <w:vAlign w:val="center"/>
          </w:tcPr>
          <w:p>
            <w:pPr>
              <w:spacing w:after="0" w:before="0"/>
            </w:pPr>
            <w:r/>
            <w:r>
              <w:rPr>
                <w:rFonts w:ascii="Aptos" w:hAnsi="Aptos"/>
                <w:b w:val="0"/>
                <w:sz w:val="16"/>
              </w:rPr>
              <w:t>Ridge</w:t>
            </w:r>
          </w:p>
        </w:tc>
        <w:tc>
          <w:tcPr>
            <w:tcW w:type="dxa" w:w="1195"/>
            <w:vAlign w:val="center"/>
          </w:tcPr>
          <w:p>
            <w:pPr>
              <w:spacing w:after="0" w:before="0"/>
            </w:pPr>
            <w:r/>
            <w:r>
              <w:rPr>
                <w:rFonts w:ascii="Aptos" w:hAnsi="Aptos"/>
                <w:b w:val="0"/>
                <w:sz w:val="16"/>
              </w:rPr>
              <w:t>27.949</w:t>
            </w:r>
          </w:p>
        </w:tc>
        <w:tc>
          <w:tcPr>
            <w:tcW w:type="dxa" w:w="1195"/>
            <w:vAlign w:val="center"/>
          </w:tcPr>
          <w:p>
            <w:pPr>
              <w:spacing w:after="0" w:before="0"/>
            </w:pPr>
            <w:r/>
            <w:r>
              <w:rPr>
                <w:rFonts w:ascii="Aptos" w:hAnsi="Aptos"/>
                <w:b w:val="0"/>
                <w:sz w:val="16"/>
              </w:rPr>
              <w:t>23.105</w:t>
            </w:r>
          </w:p>
        </w:tc>
        <w:tc>
          <w:tcPr>
            <w:tcW w:type="dxa" w:w="1037"/>
            <w:vAlign w:val="center"/>
          </w:tcPr>
          <w:p>
            <w:pPr>
              <w:spacing w:after="0" w:before="0"/>
            </w:pPr>
            <w:r/>
            <w:r>
              <w:rPr>
                <w:rFonts w:ascii="Aptos" w:hAnsi="Aptos"/>
                <w:b w:val="0"/>
                <w:sz w:val="16"/>
              </w:rPr>
              <w:t>0.548</w:t>
            </w:r>
          </w:p>
        </w:tc>
        <w:tc>
          <w:tcPr>
            <w:tcW w:type="dxa" w:w="2045"/>
            <w:vAlign w:val="center"/>
          </w:tcPr>
          <w:p>
            <w:pPr>
              <w:spacing w:after="0" w:before="0"/>
            </w:pPr>
            <w:r/>
            <w:r>
              <w:rPr>
                <w:rFonts w:ascii="Aptos" w:hAnsi="Aptos"/>
                <w:b w:val="0"/>
                <w:sz w:val="16"/>
              </w:rPr>
              <w:t>54.346</w:t>
            </w:r>
          </w:p>
        </w:tc>
      </w:tr>
      <w:tr>
        <w:tc>
          <w:tcPr>
            <w:tcW w:type="dxa" w:w="3384"/>
            <w:vAlign w:val="center"/>
            <w:shd w:fill="F0F5F8"/>
          </w:tcPr>
          <w:p>
            <w:pPr>
              <w:spacing w:after="0" w:before="0"/>
            </w:pPr>
            <w:r/>
            <w:r>
              <w:rPr>
                <w:rFonts w:ascii="Aptos" w:hAnsi="Aptos"/>
                <w:b w:val="0"/>
                <w:sz w:val="16"/>
              </w:rPr>
              <w:t>AFICv Random Forest</w:t>
            </w:r>
          </w:p>
        </w:tc>
        <w:tc>
          <w:tcPr>
            <w:tcW w:type="dxa" w:w="1195"/>
            <w:vAlign w:val="center"/>
            <w:shd w:fill="F0F5F8"/>
          </w:tcPr>
          <w:p>
            <w:pPr>
              <w:spacing w:after="0" w:before="0"/>
            </w:pPr>
            <w:r/>
            <w:r>
              <w:rPr>
                <w:rFonts w:ascii="Aptos" w:hAnsi="Aptos"/>
                <w:b w:val="0"/>
                <w:sz w:val="16"/>
              </w:rPr>
              <w:t>31.846</w:t>
            </w:r>
          </w:p>
        </w:tc>
        <w:tc>
          <w:tcPr>
            <w:tcW w:type="dxa" w:w="1195"/>
            <w:vAlign w:val="center"/>
            <w:shd w:fill="F0F5F8"/>
          </w:tcPr>
          <w:p>
            <w:pPr>
              <w:spacing w:after="0" w:before="0"/>
            </w:pPr>
            <w:r/>
            <w:r>
              <w:rPr>
                <w:rFonts w:ascii="Aptos" w:hAnsi="Aptos"/>
                <w:b w:val="0"/>
                <w:sz w:val="16"/>
              </w:rPr>
              <w:t>21.785</w:t>
            </w:r>
          </w:p>
        </w:tc>
        <w:tc>
          <w:tcPr>
            <w:tcW w:type="dxa" w:w="1037"/>
            <w:vAlign w:val="center"/>
            <w:shd w:fill="F0F5F8"/>
          </w:tcPr>
          <w:p>
            <w:pPr>
              <w:spacing w:after="0" w:before="0"/>
            </w:pPr>
            <w:r/>
            <w:r>
              <w:rPr>
                <w:rFonts w:ascii="Aptos" w:hAnsi="Aptos"/>
                <w:b w:val="0"/>
                <w:sz w:val="16"/>
              </w:rPr>
              <w:t>0.413</w:t>
            </w:r>
          </w:p>
        </w:tc>
        <w:tc>
          <w:tcPr>
            <w:tcW w:type="dxa" w:w="2045"/>
            <w:vAlign w:val="center"/>
            <w:shd w:fill="F0F5F8"/>
          </w:tcPr>
          <w:p>
            <w:pPr>
              <w:spacing w:after="0" w:before="0"/>
            </w:pPr>
            <w:r/>
            <w:r>
              <w:rPr>
                <w:rFonts w:ascii="Aptos" w:hAnsi="Aptos"/>
                <w:b w:val="0"/>
                <w:sz w:val="16"/>
              </w:rPr>
              <w:t>2522.732</w:t>
            </w:r>
          </w:p>
        </w:tc>
      </w:tr>
      <w:tr>
        <w:tc>
          <w:tcPr>
            <w:tcW w:type="dxa" w:w="3384"/>
            <w:vAlign w:val="center"/>
          </w:tcPr>
          <w:p>
            <w:pPr>
              <w:spacing w:after="0" w:before="0"/>
            </w:pPr>
            <w:r/>
            <w:r>
              <w:rPr>
                <w:rFonts w:ascii="Aptos" w:hAnsi="Aptos"/>
                <w:b w:val="0"/>
                <w:sz w:val="16"/>
              </w:rPr>
              <w:t>Mean baseline</w:t>
            </w:r>
          </w:p>
        </w:tc>
        <w:tc>
          <w:tcPr>
            <w:tcW w:type="dxa" w:w="1195"/>
            <w:vAlign w:val="center"/>
          </w:tcPr>
          <w:p>
            <w:pPr>
              <w:spacing w:after="0" w:before="0"/>
            </w:pPr>
            <w:r/>
            <w:r>
              <w:rPr>
                <w:rFonts w:ascii="Aptos" w:hAnsi="Aptos"/>
                <w:b w:val="0"/>
                <w:sz w:val="16"/>
              </w:rPr>
              <w:t>52.796</w:t>
            </w:r>
          </w:p>
        </w:tc>
        <w:tc>
          <w:tcPr>
            <w:tcW w:type="dxa" w:w="1195"/>
            <w:vAlign w:val="center"/>
          </w:tcPr>
          <w:p>
            <w:pPr>
              <w:spacing w:after="0" w:before="0"/>
            </w:pPr>
            <w:r/>
            <w:r>
              <w:rPr>
                <w:rFonts w:ascii="Aptos" w:hAnsi="Aptos"/>
                <w:b w:val="0"/>
                <w:sz w:val="16"/>
              </w:rPr>
              <w:t>40.996</w:t>
            </w:r>
          </w:p>
        </w:tc>
        <w:tc>
          <w:tcPr>
            <w:tcW w:type="dxa" w:w="1037"/>
            <w:vAlign w:val="center"/>
          </w:tcPr>
          <w:p>
            <w:pPr>
              <w:spacing w:after="0" w:before="0"/>
            </w:pPr>
            <w:r/>
            <w:r>
              <w:rPr>
                <w:rFonts w:ascii="Aptos" w:hAnsi="Aptos"/>
                <w:b w:val="0"/>
                <w:sz w:val="16"/>
              </w:rPr>
              <w:t>-0.614</w:t>
            </w:r>
          </w:p>
        </w:tc>
        <w:tc>
          <w:tcPr>
            <w:tcW w:type="dxa" w:w="2045"/>
            <w:vAlign w:val="center"/>
          </w:tcPr>
          <w:p>
            <w:pPr>
              <w:spacing w:after="0" w:before="0"/>
            </w:pPr>
            <w:r/>
            <w:r>
              <w:rPr>
                <w:rFonts w:ascii="Aptos" w:hAnsi="Aptos"/>
                <w:b w:val="0"/>
                <w:sz w:val="16"/>
              </w:rPr>
              <w:t>2768.785</w:t>
            </w:r>
          </w:p>
        </w:tc>
      </w:tr>
    </w:tbl>
    <w:p>
      <w:pPr>
        <w:spacing w:after="20"/>
      </w:pPr>
    </w:p>
    <w:p>
      <w:pPr>
        <w:pStyle w:val="ListBullet"/>
        <w:spacing w:after="40"/>
      </w:pPr>
      <w:r>
        <w:t>HistGradientBoosting is the current RMSE winner (24.050) and has the highest R² (0.665). Its RMSE is only 0.092 cycles below Random Forest, so that difference alone is not persuasive evidence that it is truly better.</w:t>
      </w:r>
    </w:p>
    <w:p>
      <w:pPr>
        <w:pStyle w:val="ListBullet"/>
        <w:spacing w:after="40"/>
      </w:pPr>
      <w:r>
        <w:t>Random Forest has the best MAE (16.357), which means its average absolute error is lowest among these listed models.</w:t>
      </w:r>
    </w:p>
    <w:p>
      <w:pPr>
        <w:pStyle w:val="ListBullet"/>
        <w:spacing w:after="40"/>
      </w:pPr>
      <w:r>
        <w:t>Ridge has the smallest displayed NASA value despite higher RMSE/MAE. This can happen because PHM08 is asymmetric, but its implementation and aggregation must be audited before selecting a winner.</w:t>
      </w:r>
    </w:p>
    <w:p>
      <w:pPr>
        <w:pStyle w:val="ListBullet"/>
        <w:spacing w:after="40"/>
      </w:pPr>
      <w:r>
        <w:t>Treat all values as provisional until reproduced from saved predictions and the exact test truth vector.</w:t>
      </w:r>
    </w:p>
    <w:p>
      <w:pPr>
        <w:pStyle w:val="Heading1"/>
      </w:pPr>
      <w:r>
        <w:t>2. Which paper to implement now</w:t>
      </w:r>
    </w:p>
    <w:p>
      <w:pPr>
        <w:pStyle w:val="Heading2"/>
      </w:pPr>
      <w:r>
        <w:t>Primary: Ensarioğlu, İnkaya &amp; Emel (2023)</w:t>
      </w:r>
    </w:p>
    <w:p>
      <w:r>
        <w:rPr>
          <w:b/>
        </w:rPr>
        <w:t xml:space="preserve">“Remaining Useful Life Estimation of Turbofan Engines with Deep Learning Using Change-Point Detection Based Labeling and Feature Engineering.” </w:t>
      </w:r>
      <w:r>
        <w:t>Applied Sciences, 13(21), 11893. DOI: 10.3390/app132111893.</w:t>
      </w:r>
    </w:p>
    <w:p>
      <w:pPr>
        <w:spacing w:after="40"/>
      </w:pPr>
      <w:r>
        <w:rPr>
          <w:b/>
        </w:rPr>
        <w:t xml:space="preserve">Full text: </w:t>
      </w:r>
      <w:r>
        <w:t>https://www.mdpi.com/2076-3417/13/21/11893</w:t>
      </w:r>
    </w:p>
    <w:p>
      <w:pPr>
        <w:pStyle w:val="ListBullet"/>
        <w:spacing w:after="40"/>
      </w:pPr>
      <w:r>
        <w:t>Exact subset match: NASA C-MAPSS FD001.</w:t>
      </w:r>
    </w:p>
    <w:p>
      <w:pPr>
        <w:pStyle w:val="ListBullet"/>
        <w:spacing w:after="40"/>
      </w:pPr>
      <w:r>
        <w:t>Techniques: sensor preprocessing/selection, difference-to-initial-reading feature, change-point-detection-based piecewise RUL labels, sliding windows and a 1D-CNN-LSTM hybrid.</w:t>
      </w:r>
    </w:p>
    <w:p>
      <w:pPr>
        <w:pStyle w:val="ListBullet"/>
        <w:spacing w:after="40"/>
      </w:pPr>
      <w:r>
        <w:t>Reported result: RMSE 16.1 and PHM08 score 437.2 for their proposed model with the difference feature. Use this as a research reference, not a guaranteed target. Compare numbers only after matching target construction, validation and score aggregation.</w:t>
      </w:r>
    </w:p>
    <w:p>
      <w:pPr>
        <w:pStyle w:val="ListBullet"/>
        <w:spacing w:after="40"/>
      </w:pPr>
      <w:r>
        <w:t>Implementation plan: start with the simple architecture and capped-label setup; add difference features; investigate change-point labeling as a separate ablation; only then add attention or other complexity.</w:t>
      </w:r>
    </w:p>
    <w:p>
      <w:pPr>
        <w:pStyle w:val="Heading2"/>
      </w:pPr>
      <w:r>
        <w:t>Secondary: attention-based deep CNN (2021)</w:t>
      </w:r>
    </w:p>
    <w:p>
      <w:r>
        <w:t>“Deep-Learning Based Prognosis Approach for Remaining Useful Life Prediction of Turbofan Engine,” Symmetry 13(10), 1861.</w:t>
      </w:r>
    </w:p>
    <w:p>
      <w:pPr>
        <w:spacing w:after="40"/>
      </w:pPr>
      <w:r>
        <w:rPr>
          <w:b/>
        </w:rPr>
        <w:t xml:space="preserve">Full text: </w:t>
      </w:r>
      <w:r>
        <w:t>https://www.mdpi.com/2073-8994/13/10/1861</w:t>
      </w:r>
    </w:p>
    <w:p>
      <w:pPr>
        <w:pStyle w:val="ListBullet"/>
        <w:spacing w:after="40"/>
      </w:pPr>
      <w:r>
        <w:t>The paper reports FD001 RMSE 11.81 in its evaluation protocol. Consider the attention-based DCNN only after you have a reliable baseline and CNN-LSTM results; published scores may use different preprocessing and evaluation conventions.</w:t>
      </w:r>
    </w:p>
    <w:p>
      <w:pPr>
        <w:pStyle w:val="Heading2"/>
      </w:pPr>
      <w:r>
        <w:t>Review and data sources</w:t>
      </w:r>
    </w:p>
    <w:p>
      <w:pPr>
        <w:spacing w:after="40"/>
      </w:pPr>
      <w:r>
        <w:rPr>
          <w:b/>
        </w:rPr>
        <w:t xml:space="preserve">Ramasso &amp; Saxena (2014), C-MAPSS methods review: </w:t>
      </w:r>
      <w:r>
        <w:t>https://ntrs.nasa.gov/archive/nasa/casi.ntrs.nasa.gov/20150007677.pdf</w:t>
      </w:r>
    </w:p>
    <w:p>
      <w:pPr>
        <w:spacing w:after="40"/>
      </w:pPr>
      <w:r>
        <w:rPr>
          <w:b/>
        </w:rPr>
        <w:t xml:space="preserve">Official NASA C-MAPSS dataset description: </w:t>
      </w:r>
      <w:r>
        <w:t>https://data.nasa.gov/dataset/cmapss-jet-engine-simulated-data</w:t>
      </w:r>
    </w:p>
    <w:p>
      <w:pPr>
        <w:spacing w:after="40"/>
      </w:pPr>
      <w:r>
        <w:rPr>
          <w:b/>
        </w:rPr>
        <w:t xml:space="preserve">Saxena et al. (2008), damage propagation model: </w:t>
      </w:r>
      <w:r>
        <w:t>https://doi.org/10.1109/PHM.2008.4711414</w:t>
      </w:r>
    </w:p>
    <w:p>
      <w:pPr>
        <w:spacing w:after="40"/>
      </w:pPr>
      <w:r>
        <w:rPr>
          <w:b/>
        </w:rPr>
        <w:t xml:space="preserve">Kumar et al. (2026), temporal CNN-LSTM reference (optional later): </w:t>
      </w:r>
      <w:r>
        <w:t>https://www.nature.com/articles/s41598-026-63783-7</w:t>
      </w:r>
    </w:p>
    <w:p>
      <w:pPr>
        <w:pStyle w:val="Heading1"/>
      </w:pPr>
      <w:r>
        <w:t>3. Metrics to follow</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2520"/>
            <w:vAlign w:val="center"/>
            <w:shd w:fill="123B5D"/>
          </w:tcPr>
          <w:p>
            <w:pPr>
              <w:spacing w:after="0" w:before="0"/>
            </w:pPr>
            <w:r/>
            <w:r>
              <w:rPr>
                <w:rFonts w:ascii="Aptos" w:hAnsi="Aptos"/>
                <w:b/>
                <w:color w:val="FFFFFF"/>
                <w:sz w:val="15"/>
              </w:rPr>
              <w:t>Metric</w:t>
            </w:r>
          </w:p>
        </w:tc>
        <w:tc>
          <w:tcPr>
            <w:tcW w:type="dxa" w:w="1944"/>
            <w:vAlign w:val="center"/>
            <w:shd w:fill="123B5D"/>
          </w:tcPr>
          <w:p>
            <w:pPr>
              <w:spacing w:after="0" w:before="0"/>
            </w:pPr>
            <w:r/>
            <w:r>
              <w:rPr>
                <w:rFonts w:ascii="Aptos" w:hAnsi="Aptos"/>
                <w:b/>
                <w:color w:val="FFFFFF"/>
                <w:sz w:val="15"/>
              </w:rPr>
              <w:t>Direction</w:t>
            </w:r>
          </w:p>
        </w:tc>
        <w:tc>
          <w:tcPr>
            <w:tcW w:type="dxa" w:w="4464"/>
            <w:vAlign w:val="center"/>
            <w:shd w:fill="123B5D"/>
          </w:tcPr>
          <w:p>
            <w:pPr>
              <w:spacing w:after="0" w:before="0"/>
            </w:pPr>
            <w:r/>
            <w:r>
              <w:rPr>
                <w:rFonts w:ascii="Aptos" w:hAnsi="Aptos"/>
                <w:b/>
                <w:color w:val="FFFFFF"/>
                <w:sz w:val="15"/>
              </w:rPr>
              <w:t>Role in decision</w:t>
            </w:r>
          </w:p>
        </w:tc>
      </w:tr>
      <w:tr>
        <w:tc>
          <w:tcPr>
            <w:tcW w:type="dxa" w:w="2520"/>
            <w:vAlign w:val="center"/>
          </w:tcPr>
          <w:p>
            <w:pPr>
              <w:spacing w:after="0" w:before="0"/>
            </w:pPr>
            <w:r/>
            <w:r>
              <w:rPr>
                <w:rFonts w:ascii="Aptos" w:hAnsi="Aptos"/>
                <w:b w:val="0"/>
                <w:sz w:val="15"/>
              </w:rPr>
              <w:t>PHM08/NASA score — total sum</w:t>
            </w:r>
          </w:p>
        </w:tc>
        <w:tc>
          <w:tcPr>
            <w:tcW w:type="dxa" w:w="1944"/>
            <w:vAlign w:val="center"/>
          </w:tcPr>
          <w:p>
            <w:pPr>
              <w:spacing w:after="0" w:before="0"/>
            </w:pPr>
            <w:r/>
            <w:r>
              <w:rPr>
                <w:rFonts w:ascii="Aptos" w:hAnsi="Aptos"/>
                <w:b w:val="0"/>
                <w:sz w:val="15"/>
              </w:rPr>
              <w:t>Lower is better</w:t>
            </w:r>
          </w:p>
        </w:tc>
        <w:tc>
          <w:tcPr>
            <w:tcW w:type="dxa" w:w="4464"/>
            <w:vAlign w:val="center"/>
          </w:tcPr>
          <w:p>
            <w:pPr>
              <w:spacing w:after="0" w:before="0"/>
            </w:pPr>
            <w:r/>
            <w:r>
              <w:rPr>
                <w:rFonts w:ascii="Aptos" w:hAnsi="Aptos"/>
                <w:b w:val="0"/>
                <w:sz w:val="15"/>
              </w:rPr>
              <w:t>Primary operational metric; official convention aggregates per-engine penalties by sum.</w:t>
            </w:r>
          </w:p>
        </w:tc>
      </w:tr>
      <w:tr>
        <w:tc>
          <w:tcPr>
            <w:tcW w:type="dxa" w:w="2520"/>
            <w:vAlign w:val="center"/>
            <w:shd w:fill="F0F5F8"/>
          </w:tcPr>
          <w:p>
            <w:pPr>
              <w:spacing w:after="0" w:before="0"/>
            </w:pPr>
            <w:r/>
            <w:r>
              <w:rPr>
                <w:rFonts w:ascii="Aptos" w:hAnsi="Aptos"/>
                <w:b w:val="0"/>
                <w:sz w:val="15"/>
              </w:rPr>
              <w:t>PHM08/NASA score — per-engine mean</w:t>
            </w:r>
          </w:p>
        </w:tc>
        <w:tc>
          <w:tcPr>
            <w:tcW w:type="dxa" w:w="1944"/>
            <w:vAlign w:val="center"/>
            <w:shd w:fill="F0F5F8"/>
          </w:tcPr>
          <w:p>
            <w:pPr>
              <w:spacing w:after="0" w:before="0"/>
            </w:pPr>
            <w:r/>
            <w:r>
              <w:rPr>
                <w:rFonts w:ascii="Aptos" w:hAnsi="Aptos"/>
                <w:b w:val="0"/>
                <w:sz w:val="15"/>
              </w:rPr>
              <w:t>Lower is better</w:t>
            </w:r>
          </w:p>
        </w:tc>
        <w:tc>
          <w:tcPr>
            <w:tcW w:type="dxa" w:w="4464"/>
            <w:vAlign w:val="center"/>
            <w:shd w:fill="F0F5F8"/>
          </w:tcPr>
          <w:p>
            <w:pPr>
              <w:spacing w:after="0" w:before="0"/>
            </w:pPr>
            <w:r/>
            <w:r>
              <w:rPr>
                <w:rFonts w:ascii="Aptos" w:hAnsi="Aptos"/>
                <w:b w:val="0"/>
                <w:sz w:val="15"/>
              </w:rPr>
              <w:t>Same penalties normalized by number of engines; report alongside total and label clearly.</w:t>
            </w:r>
          </w:p>
        </w:tc>
      </w:tr>
      <w:tr>
        <w:tc>
          <w:tcPr>
            <w:tcW w:type="dxa" w:w="2520"/>
            <w:vAlign w:val="center"/>
          </w:tcPr>
          <w:p>
            <w:pPr>
              <w:spacing w:after="0" w:before="0"/>
            </w:pPr>
            <w:r/>
            <w:r>
              <w:rPr>
                <w:rFonts w:ascii="Aptos" w:hAnsi="Aptos"/>
                <w:b w:val="0"/>
                <w:sz w:val="15"/>
              </w:rPr>
              <w:t>RMSE (cycles)</w:t>
            </w:r>
          </w:p>
        </w:tc>
        <w:tc>
          <w:tcPr>
            <w:tcW w:type="dxa" w:w="1944"/>
            <w:vAlign w:val="center"/>
          </w:tcPr>
          <w:p>
            <w:pPr>
              <w:spacing w:after="0" w:before="0"/>
            </w:pPr>
            <w:r/>
            <w:r>
              <w:rPr>
                <w:rFonts w:ascii="Aptos" w:hAnsi="Aptos"/>
                <w:b w:val="0"/>
                <w:sz w:val="15"/>
              </w:rPr>
              <w:t>Lower is better</w:t>
            </w:r>
          </w:p>
        </w:tc>
        <w:tc>
          <w:tcPr>
            <w:tcW w:type="dxa" w:w="4464"/>
            <w:vAlign w:val="center"/>
          </w:tcPr>
          <w:p>
            <w:pPr>
              <w:spacing w:after="0" w:before="0"/>
            </w:pPr>
            <w:r/>
            <w:r>
              <w:rPr>
                <w:rFonts w:ascii="Aptos" w:hAnsi="Aptos"/>
                <w:b w:val="0"/>
                <w:sz w:val="15"/>
              </w:rPr>
              <w:t>Primary symmetric error metric; punishes large errors.</w:t>
            </w:r>
          </w:p>
        </w:tc>
      </w:tr>
      <w:tr>
        <w:tc>
          <w:tcPr>
            <w:tcW w:type="dxa" w:w="2520"/>
            <w:vAlign w:val="center"/>
            <w:shd w:fill="F0F5F8"/>
          </w:tcPr>
          <w:p>
            <w:pPr>
              <w:spacing w:after="0" w:before="0"/>
            </w:pPr>
            <w:r/>
            <w:r>
              <w:rPr>
                <w:rFonts w:ascii="Aptos" w:hAnsi="Aptos"/>
                <w:b w:val="0"/>
                <w:sz w:val="15"/>
              </w:rPr>
              <w:t>MAE (cycles)</w:t>
            </w:r>
          </w:p>
        </w:tc>
        <w:tc>
          <w:tcPr>
            <w:tcW w:type="dxa" w:w="1944"/>
            <w:vAlign w:val="center"/>
            <w:shd w:fill="F0F5F8"/>
          </w:tcPr>
          <w:p>
            <w:pPr>
              <w:spacing w:after="0" w:before="0"/>
            </w:pPr>
            <w:r/>
            <w:r>
              <w:rPr>
                <w:rFonts w:ascii="Aptos" w:hAnsi="Aptos"/>
                <w:b w:val="0"/>
                <w:sz w:val="15"/>
              </w:rPr>
              <w:t>Lower is better</w:t>
            </w:r>
          </w:p>
        </w:tc>
        <w:tc>
          <w:tcPr>
            <w:tcW w:type="dxa" w:w="4464"/>
            <w:vAlign w:val="center"/>
            <w:shd w:fill="F0F5F8"/>
          </w:tcPr>
          <w:p>
            <w:pPr>
              <w:spacing w:after="0" w:before="0"/>
            </w:pPr>
            <w:r/>
            <w:r>
              <w:rPr>
                <w:rFonts w:ascii="Aptos" w:hAnsi="Aptos"/>
                <w:b w:val="0"/>
                <w:sz w:val="15"/>
              </w:rPr>
              <w:t>Typical absolute prediction error; less sensitive to extreme errors than RMSE.</w:t>
            </w:r>
          </w:p>
        </w:tc>
      </w:tr>
      <w:tr>
        <w:tc>
          <w:tcPr>
            <w:tcW w:type="dxa" w:w="2520"/>
            <w:vAlign w:val="center"/>
          </w:tcPr>
          <w:p>
            <w:pPr>
              <w:spacing w:after="0" w:before="0"/>
            </w:pPr>
            <w:r/>
            <w:r>
              <w:rPr>
                <w:rFonts w:ascii="Aptos" w:hAnsi="Aptos"/>
                <w:b w:val="0"/>
                <w:sz w:val="15"/>
              </w:rPr>
              <w:t>R²</w:t>
            </w:r>
          </w:p>
        </w:tc>
        <w:tc>
          <w:tcPr>
            <w:tcW w:type="dxa" w:w="1944"/>
            <w:vAlign w:val="center"/>
          </w:tcPr>
          <w:p>
            <w:pPr>
              <w:spacing w:after="0" w:before="0"/>
            </w:pPr>
            <w:r/>
            <w:r>
              <w:rPr>
                <w:rFonts w:ascii="Aptos" w:hAnsi="Aptos"/>
                <w:b w:val="0"/>
                <w:sz w:val="15"/>
              </w:rPr>
              <w:t>Higher is better</w:t>
            </w:r>
          </w:p>
        </w:tc>
        <w:tc>
          <w:tcPr>
            <w:tcW w:type="dxa" w:w="4464"/>
            <w:vAlign w:val="center"/>
          </w:tcPr>
          <w:p>
            <w:pPr>
              <w:spacing w:after="0" w:before="0"/>
            </w:pPr>
            <w:r/>
            <w:r>
              <w:rPr>
                <w:rFonts w:ascii="Aptos" w:hAnsi="Aptos"/>
                <w:b w:val="0"/>
                <w:sz w:val="15"/>
              </w:rPr>
              <w:t>Supplementary goodness-of-fit statistic; can be negative.</w:t>
            </w:r>
          </w:p>
        </w:tc>
      </w:tr>
      <w:tr>
        <w:tc>
          <w:tcPr>
            <w:tcW w:type="dxa" w:w="2520"/>
            <w:vAlign w:val="center"/>
            <w:shd w:fill="F0F5F8"/>
          </w:tcPr>
          <w:p>
            <w:pPr>
              <w:spacing w:after="0" w:before="0"/>
            </w:pPr>
            <w:r/>
            <w:r>
              <w:rPr>
                <w:rFonts w:ascii="Aptos" w:hAnsi="Aptos"/>
                <w:b w:val="0"/>
                <w:sz w:val="15"/>
              </w:rPr>
              <w:t>Mean signed error / bias</w:t>
            </w:r>
          </w:p>
        </w:tc>
        <w:tc>
          <w:tcPr>
            <w:tcW w:type="dxa" w:w="1944"/>
            <w:vAlign w:val="center"/>
            <w:shd w:fill="F0F5F8"/>
          </w:tcPr>
          <w:p>
            <w:pPr>
              <w:spacing w:after="0" w:before="0"/>
            </w:pPr>
            <w:r/>
            <w:r>
              <w:rPr>
                <w:rFonts w:ascii="Aptos" w:hAnsi="Aptos"/>
                <w:b w:val="0"/>
                <w:sz w:val="15"/>
              </w:rPr>
              <w:t>Near zero, interpreted carefully</w:t>
            </w:r>
          </w:p>
        </w:tc>
        <w:tc>
          <w:tcPr>
            <w:tcW w:type="dxa" w:w="4464"/>
            <w:vAlign w:val="center"/>
            <w:shd w:fill="F0F5F8"/>
          </w:tcPr>
          <w:p>
            <w:pPr>
              <w:spacing w:after="0" w:before="0"/>
            </w:pPr>
            <w:r/>
            <w:r>
              <w:rPr>
                <w:rFonts w:ascii="Aptos" w:hAnsi="Aptos"/>
                <w:b w:val="0"/>
                <w:sz w:val="15"/>
              </w:rPr>
              <w:t>Shows systematic RUL over- or underestimation.</w:t>
            </w:r>
          </w:p>
        </w:tc>
      </w:tr>
      <w:tr>
        <w:tc>
          <w:tcPr>
            <w:tcW w:type="dxa" w:w="2520"/>
            <w:vAlign w:val="center"/>
          </w:tcPr>
          <w:p>
            <w:pPr>
              <w:spacing w:after="0" w:before="0"/>
            </w:pPr>
            <w:r/>
            <w:r>
              <w:rPr>
                <w:rFonts w:ascii="Aptos" w:hAnsi="Aptos"/>
                <w:b w:val="0"/>
                <w:sz w:val="15"/>
              </w:rPr>
              <w:t>Overestimation rate</w:t>
            </w:r>
          </w:p>
        </w:tc>
        <w:tc>
          <w:tcPr>
            <w:tcW w:type="dxa" w:w="1944"/>
            <w:vAlign w:val="center"/>
          </w:tcPr>
          <w:p>
            <w:pPr>
              <w:spacing w:after="0" w:before="0"/>
            </w:pPr>
            <w:r/>
            <w:r>
              <w:rPr>
                <w:rFonts w:ascii="Aptos" w:hAnsi="Aptos"/>
                <w:b w:val="0"/>
                <w:sz w:val="15"/>
              </w:rPr>
              <w:t>Lower may be safer, context-dependent</w:t>
            </w:r>
          </w:p>
        </w:tc>
        <w:tc>
          <w:tcPr>
            <w:tcW w:type="dxa" w:w="4464"/>
            <w:vAlign w:val="center"/>
          </w:tcPr>
          <w:p>
            <w:pPr>
              <w:spacing w:after="0" w:before="0"/>
            </w:pPr>
            <w:r/>
            <w:r>
              <w:rPr>
                <w:rFonts w:ascii="Aptos" w:hAnsi="Aptos"/>
                <w:b w:val="0"/>
                <w:sz w:val="15"/>
              </w:rPr>
              <w:t>Fraction of engines where predicted RUL exceeds true RUL; important for late-warning risk.</w:t>
            </w:r>
          </w:p>
        </w:tc>
      </w:tr>
      <w:tr>
        <w:tc>
          <w:tcPr>
            <w:tcW w:type="dxa" w:w="2520"/>
            <w:vAlign w:val="center"/>
            <w:shd w:fill="F0F5F8"/>
          </w:tcPr>
          <w:p>
            <w:pPr>
              <w:spacing w:after="0" w:before="0"/>
            </w:pPr>
            <w:r/>
            <w:r>
              <w:rPr>
                <w:rFonts w:ascii="Aptos" w:hAnsi="Aptos"/>
                <w:b w:val="0"/>
                <w:sz w:val="15"/>
              </w:rPr>
              <w:t>P90 absolute error / max error</w:t>
            </w:r>
          </w:p>
        </w:tc>
        <w:tc>
          <w:tcPr>
            <w:tcW w:type="dxa" w:w="1944"/>
            <w:vAlign w:val="center"/>
            <w:shd w:fill="F0F5F8"/>
          </w:tcPr>
          <w:p>
            <w:pPr>
              <w:spacing w:after="0" w:before="0"/>
            </w:pPr>
            <w:r/>
            <w:r>
              <w:rPr>
                <w:rFonts w:ascii="Aptos" w:hAnsi="Aptos"/>
                <w:b w:val="0"/>
                <w:sz w:val="15"/>
              </w:rPr>
              <w:t>Lower is better</w:t>
            </w:r>
          </w:p>
        </w:tc>
        <w:tc>
          <w:tcPr>
            <w:tcW w:type="dxa" w:w="4464"/>
            <w:vAlign w:val="center"/>
            <w:shd w:fill="F0F5F8"/>
          </w:tcPr>
          <w:p>
            <w:pPr>
              <w:spacing w:after="0" w:before="0"/>
            </w:pPr>
            <w:r/>
            <w:r>
              <w:rPr>
                <w:rFonts w:ascii="Aptos" w:hAnsi="Aptos"/>
                <w:b w:val="0"/>
                <w:sz w:val="15"/>
              </w:rPr>
              <w:t>Highlights tail errors that averages can hide.</w:t>
            </w:r>
          </w:p>
        </w:tc>
      </w:tr>
    </w:tbl>
    <w:p>
      <w:pPr>
        <w:spacing w:after="20"/>
      </w:pPr>
    </w:p>
    <w:p>
      <w:pPr>
        <w:pStyle w:val="Heading2"/>
      </w:pPr>
      <w:r>
        <w:t>PHM08 scoring formula to verify</w:t>
      </w:r>
    </w:p>
    <w:p>
      <w:r>
        <w:t>Let d = predicted_RUL − true_RUL for each test engine. Use the same aligned y_true/y_pred arrays as the other metrics.</w:t>
      </w:r>
    </w:p>
    <w:p>
      <w:pPr>
        <w:ind w:left="360"/>
      </w:pPr>
      <w:r>
        <w:rPr>
          <w:rFonts w:ascii="Consolas" w:hAnsi="Consolas"/>
          <w:sz w:val="18"/>
        </w:rPr>
        <w:t>If d &lt; 0:  score_i = exp(−d / 13) − 1  (RUL underestimated; conservative/early warning)</w:t>
        <w:br/>
        <w:t>If d ≥ 0: score_i = exp(d / 10) − 1  (RUL overestimated; potentially late warning)</w:t>
        <w:br/>
        <w:t>PHM08 total = sum(score_i); PHM08 mean = mean(score_i)</w:t>
      </w:r>
    </w:p>
    <w:p>
      <w:pPr>
        <w:pStyle w:val="ListBullet"/>
        <w:spacing w:after="40"/>
      </w:pPr>
      <w:r>
        <w:t>Unit-test the formula on d = −13, d = 0 and d = +10. The first and third each produce exp(1) − 1; zero produces zero.</w:t>
      </w:r>
    </w:p>
    <w:p>
      <w:pPr>
        <w:pStyle w:val="ListBullet"/>
        <w:spacing w:after="40"/>
      </w:pPr>
      <w:r>
        <w:t>Trace exactly what the current “NASA mean” column computes. Do not silently rename a sum as a mean, reverse the sign, clip some arrays but not others, or average a different number of samples.</w:t>
      </w:r>
    </w:p>
    <w:p>
      <w:pPr>
        <w:pStyle w:val="ListBullet"/>
        <w:spacing w:after="40"/>
      </w:pPr>
      <w:r>
        <w:t>The lower PHM08 score can select a different model from RMSE/MAE because the PHM08 score is asymmetric. That ranking difference alone does not prove a bug.</w:t>
      </w:r>
    </w:p>
    <w:p>
      <w:pPr>
        <w:pStyle w:val="Heading1"/>
      </w:pPr>
      <w:r>
        <w:t>4. Data and validation rules</w:t>
      </w:r>
    </w:p>
    <w:p>
      <w:pPr>
        <w:pStyle w:val="ListBullet"/>
        <w:spacing w:after="40"/>
      </w:pPr>
      <w:r>
        <w:t>Confirm the expected raw files (typically train_FD001.txt, test_FD001.txt, RUL_FD001.txt) and parse whitespace-delimited rows correctly.</w:t>
      </w:r>
    </w:p>
    <w:p>
      <w:pPr>
        <w:pStyle w:val="ListBullet"/>
        <w:spacing w:after="40"/>
      </w:pPr>
      <w:r>
        <w:t>FD001 has 100 run-to-failure training engines and 100 truncated test engines; raw rows contain an engine ID, cycle, 3 operating settings and 21 sensor channels.</w:t>
      </w:r>
    </w:p>
    <w:p>
      <w:pPr>
        <w:pStyle w:val="ListBullet"/>
        <w:spacing w:after="40"/>
      </w:pPr>
      <w:r>
        <w:t>For each training engine, uncapped RUL at cycle t is that engine’s final observed training cycle minus t. Maintain separate experiment variants for uncapped labels and the common training cap of 125 cycles.</w:t>
      </w:r>
    </w:p>
    <w:p>
      <w:pPr>
        <w:pStyle w:val="ListBullet"/>
        <w:spacing w:after="40"/>
      </w:pPr>
      <w:r>
        <w:t>For official test scoring, predict once at each engine’s last observed test cycle and align the 100 predictions to the supplied RUL_FD001.txt vector. Do not silently clip or alter true test labels; document any alternative paper-reproduction protocol separately.</w:t>
      </w:r>
    </w:p>
    <w:p>
      <w:pPr>
        <w:pStyle w:val="ListBullet"/>
        <w:spacing w:after="40"/>
      </w:pPr>
      <w:r>
        <w:t>Split by engine ID, never by individual rows or windows. Build validation cases that mimic the test scenario: hold out validation engines, show the model only a prefix truncated before failure, and evaluate the RUL remaining after that cutoff.</w:t>
      </w:r>
    </w:p>
    <w:p>
      <w:pPr>
        <w:pStyle w:val="ListBullet"/>
        <w:spacing w:after="40"/>
      </w:pPr>
      <w:r>
        <w:t>All normalization, imputation, sensor filtering, feature selection and learned transformations must be fitted using training engines only.</w:t>
      </w:r>
    </w:p>
    <w:p>
      <w:pPr>
        <w:pStyle w:val="ListBullet"/>
        <w:spacing w:after="40"/>
      </w:pPr>
      <w:r>
        <w:t>Rolling windows must be causal and reset for every engine. Do not use centered rolling features, future rows, total life length, or a life_fraction feature unavailable at inference time.</w:t>
      </w:r>
    </w:p>
    <w:p>
      <w:pPr>
        <w:pStyle w:val="ListBullet"/>
        <w:spacing w:after="40"/>
      </w:pPr>
      <w:r>
        <w:t>Save the engine IDs and cutoff points used for validation so each comparison is reproducible.</w:t>
      </w:r>
    </w:p>
    <w:p>
      <w:pPr>
        <w:pStyle w:val="Heading1"/>
      </w:pPr>
      <w:r>
        <w:t>5. Step-by-step experiment plan</w:t>
      </w:r>
    </w:p>
    <w:p>
      <w:pPr>
        <w:pStyle w:val="Heading2"/>
      </w:pPr>
      <w:r>
        <w:t>Step 1 — Audit the current code and data</w:t>
      </w:r>
    </w:p>
    <w:p>
      <w:r>
        <w:t>Map data loading, preprocessing, label creation, train/validation/test split, model classes, prediction shape, metrics and result-table generation. Validate row counts, sensor ranges, missing/infinite values, constant sensors, duplicate rows and engine-wise chronology. Save reports/data_audit.md.</w:t>
      </w:r>
    </w:p>
    <w:p>
      <w:pPr>
        <w:pStyle w:val="Heading2"/>
      </w:pPr>
      <w:r>
        <w:t>Step 2 — Fix and test labels/metrics</w:t>
      </w:r>
    </w:p>
    <w:p>
      <w:r>
        <w:t>Recompute training RUL labels; test test-engine ordering; check PHM08 sign and sum-vs-mean. Make a single reusable metric function and unit tests. Save reports/metric_audit.md.</w:t>
      </w:r>
    </w:p>
    <w:p>
      <w:pPr>
        <w:pStyle w:val="Heading2"/>
      </w:pPr>
      <w:r>
        <w:t>Step 3 — Reproduce all available baselines</w:t>
      </w:r>
    </w:p>
    <w:p>
      <w:r>
        <w:t>Re-run Mean, Ridge, Random Forest, HistGradientBoosting, TinyML RUL, Hybrid TinyML + Autoencoder and AFICv Random Forest only when their code/assets are identifiable. Export one row per test engine per model with true RUL, predicted RUL, residual, absolute error and PHM08 contribution.</w:t>
      </w:r>
    </w:p>
    <w:p>
      <w:pPr>
        <w:pStyle w:val="Heading2"/>
      </w:pPr>
      <w:r>
        <w:t>Step 4 — Make grouped, test-like validation</w:t>
      </w:r>
    </w:p>
    <w:p>
      <w:r>
        <w:t>Use an engine-level holdout or GroupKFold. For each held-out validation engine, truncate the observed prefix before its terminal failure and predict remaining cycles. Choose hyperparameters only on this validation setup; reserve official test for final evaluation.</w:t>
      </w:r>
    </w:p>
    <w:p>
      <w:pPr>
        <w:pStyle w:val="Heading2"/>
      </w:pPr>
      <w:r>
        <w:t>Step 5 — Tune existing tree models</w:t>
      </w:r>
    </w:p>
    <w:p>
      <w:r>
        <w:t>Tune HistGradientBoosting and Random Forest first. Include XGBoost or LightGBM if already available or easy to add. Use documented RandomizedSearchCV/grid ranges with engine-level validation. Do not overspend time on a giant search.</w:t>
      </w:r>
    </w:p>
    <w:p>
      <w:pPr>
        <w:pStyle w:val="Heading2"/>
      </w:pPr>
      <w:r>
        <w:t>Step 6 — Run feature and label ablations</w:t>
      </w:r>
    </w:p>
    <w:p>
      <w:r>
        <w:t>Compare current features; removing near-constant sensors; causal rolling mean/std/trend at windows 10/20/30/50; lag/difference features; sensor minus its first observed value; uncapped versus cap-125 labels. Change one factor per experiment.</w:t>
      </w:r>
    </w:p>
    <w:p>
      <w:pPr>
        <w:pStyle w:val="Heading2"/>
      </w:pPr>
      <w:r>
        <w:t>Step 7 — Implement 1D-CNN-LSTM (primary paper)</w:t>
      </w:r>
    </w:p>
    <w:p>
      <w:r>
        <w:t>Create per-engine sliding windows using only observed cycles. Start with a simple 1D-CNN baseline and LSTM/GRU baseline, then CNN-LSTM. Use validation early stopping and save the best checkpoint. Keep preprocessing fitted on training only.</w:t>
      </w:r>
    </w:p>
    <w:p>
      <w:pPr>
        <w:pStyle w:val="Heading2"/>
      </w:pPr>
      <w:r>
        <w:t>Step 8 — Reproduce key paper ideas by ablation</w:t>
      </w:r>
    </w:p>
    <w:p>
      <w:r>
        <w:t>Add first-reading difference features, then investigate change-point-based piecewise RUL labels as a separate variant. Ensure change points do not use hidden future test data. Compare base labels versus change-point labels and base sensors versus difference features.</w:t>
      </w:r>
    </w:p>
    <w:p>
      <w:pPr>
        <w:pStyle w:val="Heading2"/>
      </w:pPr>
      <w:r>
        <w:t>Step 9 — Analyze results and select model</w:t>
      </w:r>
    </w:p>
    <w:p>
      <w:r>
        <w:t>Compare validation mean and variability across repeat seeds/splits where feasible. Use PHM08 and RMSE as co-primary, MAE as secondary, R² as supplementary. Inspect actual-vs-predicted, residuals and worst-engine scores. If metrics disagree, explain the trade-off instead of creating an arbitrary combined score.</w:t>
      </w:r>
    </w:p>
    <w:p>
      <w:pPr>
        <w:pStyle w:val="Heading2"/>
      </w:pPr>
      <w:r>
        <w:t>Step 10 — One final official-test evaluation</w:t>
      </w:r>
    </w:p>
    <w:p>
      <w:r>
        <w:t>Lock model, features and thresholds, run on the official FD001 test set once for final selection, and publish all protocol details. Do not continue tuning against the official test results.</w:t>
      </w:r>
    </w:p>
    <w:p>
      <w:pPr>
        <w:pStyle w:val="Heading2"/>
      </w:pPr>
      <w:r>
        <w:t>Step 11 — Add anomaly detection and triage</w:t>
      </w:r>
    </w:p>
    <w:p>
      <w:r>
        <w:t>Treat anomaly detection separately from RUL regression. Test Isolation Forest or reconstruction error, but do not claim classification accuracy without true cycle-level anomaly labels. Choose warning/critical demo thresholds on validation and mark them as illustrative, not safety-certified.</w:t>
      </w:r>
    </w:p>
    <w:p>
      <w:pPr>
        <w:pStyle w:val="Heading2"/>
      </w:pPr>
      <w:r>
        <w:t>Step 12 — MLOps and dashboard</w:t>
      </w:r>
    </w:p>
    <w:p>
      <w:r>
        <w:t>Log parameters, metrics, artifacts and model versions in MLflow if available. Build a simple Streamlit dashboard from actual saved predictions. Add a demo retraining path and a rule-based Python agent that creates a structured mock work order with engine ID, RUL, severity, reason, timestamp and model version.</w:t>
      </w:r>
    </w:p>
    <w:p>
      <w:pPr>
        <w:pStyle w:val="Heading2"/>
      </w:pPr>
      <w:r>
        <w:t>Step 13 — Final documentation and reproducibility</w:t>
      </w:r>
    </w:p>
    <w:p>
      <w:r>
        <w:t>Complete README, audit reports, literature review, experiment plan, metrics CSV, prediction CSVs, charts, tests and final summary. Provide exact commands to recreate the best result.</w:t>
      </w:r>
    </w:p>
    <w:p>
      <w:pPr>
        <w:pStyle w:val="Heading1"/>
      </w:pPr>
      <w:r>
        <w:t>6. Suggested priority order and decision gates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656"/>
            <w:vAlign w:val="center"/>
            <w:shd w:fill="123B5D"/>
          </w:tcPr>
          <w:p>
            <w:pPr>
              <w:spacing w:after="0" w:before="0"/>
            </w:pPr>
            <w:r/>
            <w:r>
              <w:rPr>
                <w:rFonts w:ascii="Aptos" w:hAnsi="Aptos"/>
                <w:b/>
                <w:color w:val="FFFFFF"/>
                <w:sz w:val="15"/>
              </w:rPr>
              <w:t>Priority</w:t>
            </w:r>
          </w:p>
        </w:tc>
        <w:tc>
          <w:tcPr>
            <w:tcW w:type="dxa" w:w="3384"/>
            <w:vAlign w:val="center"/>
            <w:shd w:fill="123B5D"/>
          </w:tcPr>
          <w:p>
            <w:pPr>
              <w:spacing w:after="0" w:before="0"/>
            </w:pPr>
            <w:r/>
            <w:r>
              <w:rPr>
                <w:rFonts w:ascii="Aptos" w:hAnsi="Aptos"/>
                <w:b/>
                <w:color w:val="FFFFFF"/>
                <w:sz w:val="15"/>
              </w:rPr>
              <w:t>Work item</w:t>
            </w:r>
          </w:p>
        </w:tc>
        <w:tc>
          <w:tcPr>
            <w:tcW w:type="dxa" w:w="3888"/>
            <w:vAlign w:val="center"/>
            <w:shd w:fill="123B5D"/>
          </w:tcPr>
          <w:p>
            <w:pPr>
              <w:spacing w:after="0" w:before="0"/>
            </w:pPr>
            <w:r/>
            <w:r>
              <w:rPr>
                <w:rFonts w:ascii="Aptos" w:hAnsi="Aptos"/>
                <w:b/>
                <w:color w:val="FFFFFF"/>
                <w:sz w:val="15"/>
              </w:rPr>
              <w:t>Decision gate</w:t>
            </w:r>
          </w:p>
        </w:tc>
      </w:tr>
      <w:tr>
        <w:tc>
          <w:tcPr>
            <w:tcW w:type="dxa" w:w="1656"/>
            <w:vAlign w:val="center"/>
          </w:tcPr>
          <w:p>
            <w:pPr>
              <w:spacing w:after="0" w:before="0"/>
            </w:pPr>
            <w:r/>
            <w:r>
              <w:rPr>
                <w:rFonts w:ascii="Aptos" w:hAnsi="Aptos"/>
                <w:b w:val="0"/>
                <w:sz w:val="15"/>
              </w:rPr>
              <w:t>P0 — Required</w:t>
            </w:r>
          </w:p>
        </w:tc>
        <w:tc>
          <w:tcPr>
            <w:tcW w:type="dxa" w:w="3384"/>
            <w:vAlign w:val="center"/>
          </w:tcPr>
          <w:p>
            <w:pPr>
              <w:spacing w:after="0" w:before="0"/>
            </w:pPr>
            <w:r/>
            <w:r>
              <w:rPr>
                <w:rFonts w:ascii="Aptos" w:hAnsi="Aptos"/>
                <w:b w:val="0"/>
                <w:sz w:val="15"/>
              </w:rPr>
              <w:t>Data/label/metric audit</w:t>
            </w:r>
          </w:p>
        </w:tc>
        <w:tc>
          <w:tcPr>
            <w:tcW w:type="dxa" w:w="3888"/>
            <w:vAlign w:val="center"/>
          </w:tcPr>
          <w:p>
            <w:pPr>
              <w:spacing w:after="0" w:before="0"/>
            </w:pPr>
            <w:r/>
            <w:r>
              <w:rPr>
                <w:rFonts w:ascii="Aptos" w:hAnsi="Aptos"/>
                <w:b w:val="0"/>
                <w:sz w:val="15"/>
              </w:rPr>
              <w:t>Do not tune models until PHM08 and endpoint alignment are verified.</w:t>
            </w:r>
          </w:p>
        </w:tc>
      </w:tr>
      <w:tr>
        <w:tc>
          <w:tcPr>
            <w:tcW w:type="dxa" w:w="1656"/>
            <w:vAlign w:val="center"/>
            <w:shd w:fill="F0F5F8"/>
          </w:tcPr>
          <w:p>
            <w:pPr>
              <w:spacing w:after="0" w:before="0"/>
            </w:pPr>
            <w:r/>
            <w:r>
              <w:rPr>
                <w:rFonts w:ascii="Aptos" w:hAnsi="Aptos"/>
                <w:b w:val="0"/>
                <w:sz w:val="15"/>
              </w:rPr>
              <w:t>P1 — High</w:t>
            </w:r>
          </w:p>
        </w:tc>
        <w:tc>
          <w:tcPr>
            <w:tcW w:type="dxa" w:w="3384"/>
            <w:vAlign w:val="center"/>
            <w:shd w:fill="F0F5F8"/>
          </w:tcPr>
          <w:p>
            <w:pPr>
              <w:spacing w:after="0" w:before="0"/>
            </w:pPr>
            <w:r/>
            <w:r>
              <w:rPr>
                <w:rFonts w:ascii="Aptos" w:hAnsi="Aptos"/>
                <w:b w:val="0"/>
                <w:sz w:val="15"/>
              </w:rPr>
              <w:t>Reproduce HistGradientBoosting and Random Forest; engine-level validation</w:t>
            </w:r>
          </w:p>
        </w:tc>
        <w:tc>
          <w:tcPr>
            <w:tcW w:type="dxa" w:w="3888"/>
            <w:vAlign w:val="center"/>
            <w:shd w:fill="F0F5F8"/>
          </w:tcPr>
          <w:p>
            <w:pPr>
              <w:spacing w:after="0" w:before="0"/>
            </w:pPr>
            <w:r/>
            <w:r>
              <w:rPr>
                <w:rFonts w:ascii="Aptos" w:hAnsi="Aptos"/>
                <w:b w:val="0"/>
                <w:sz w:val="15"/>
              </w:rPr>
              <w:t>Keep the baseline if new models do not beat it reliably.</w:t>
            </w:r>
          </w:p>
        </w:tc>
      </w:tr>
      <w:tr>
        <w:tc>
          <w:tcPr>
            <w:tcW w:type="dxa" w:w="1656"/>
            <w:vAlign w:val="center"/>
          </w:tcPr>
          <w:p>
            <w:pPr>
              <w:spacing w:after="0" w:before="0"/>
            </w:pPr>
            <w:r/>
            <w:r>
              <w:rPr>
                <w:rFonts w:ascii="Aptos" w:hAnsi="Aptos"/>
                <w:b w:val="0"/>
                <w:sz w:val="15"/>
              </w:rPr>
              <w:t>P2 — High</w:t>
            </w:r>
          </w:p>
        </w:tc>
        <w:tc>
          <w:tcPr>
            <w:tcW w:type="dxa" w:w="3384"/>
            <w:vAlign w:val="center"/>
          </w:tcPr>
          <w:p>
            <w:pPr>
              <w:spacing w:after="0" w:before="0"/>
            </w:pPr>
            <w:r/>
            <w:r>
              <w:rPr>
                <w:rFonts w:ascii="Aptos" w:hAnsi="Aptos"/>
                <w:b w:val="0"/>
                <w:sz w:val="15"/>
              </w:rPr>
              <w:t>Feature/label ablation study</w:t>
            </w:r>
          </w:p>
        </w:tc>
        <w:tc>
          <w:tcPr>
            <w:tcW w:type="dxa" w:w="3888"/>
            <w:vAlign w:val="center"/>
          </w:tcPr>
          <w:p>
            <w:pPr>
              <w:spacing w:after="0" w:before="0"/>
            </w:pPr>
            <w:r/>
            <w:r>
              <w:rPr>
                <w:rFonts w:ascii="Aptos" w:hAnsi="Aptos"/>
                <w:b w:val="0"/>
                <w:sz w:val="15"/>
              </w:rPr>
              <w:t>Adopt only features/targets with reproducible validation gains.</w:t>
            </w:r>
          </w:p>
        </w:tc>
      </w:tr>
      <w:tr>
        <w:tc>
          <w:tcPr>
            <w:tcW w:type="dxa" w:w="1656"/>
            <w:vAlign w:val="center"/>
            <w:shd w:fill="F0F5F8"/>
          </w:tcPr>
          <w:p>
            <w:pPr>
              <w:spacing w:after="0" w:before="0"/>
            </w:pPr>
            <w:r/>
            <w:r>
              <w:rPr>
                <w:rFonts w:ascii="Aptos" w:hAnsi="Aptos"/>
                <w:b w:val="0"/>
                <w:sz w:val="15"/>
              </w:rPr>
              <w:t>P3 — Medium-high</w:t>
            </w:r>
          </w:p>
        </w:tc>
        <w:tc>
          <w:tcPr>
            <w:tcW w:type="dxa" w:w="3384"/>
            <w:vAlign w:val="center"/>
            <w:shd w:fill="F0F5F8"/>
          </w:tcPr>
          <w:p>
            <w:pPr>
              <w:spacing w:after="0" w:before="0"/>
            </w:pPr>
            <w:r/>
            <w:r>
              <w:rPr>
                <w:rFonts w:ascii="Aptos" w:hAnsi="Aptos"/>
                <w:b w:val="0"/>
                <w:sz w:val="15"/>
              </w:rPr>
              <w:t>1D-CNN-LSTM from the 2023 paper</w:t>
            </w:r>
          </w:p>
        </w:tc>
        <w:tc>
          <w:tcPr>
            <w:tcW w:type="dxa" w:w="3888"/>
            <w:vAlign w:val="center"/>
            <w:shd w:fill="F0F5F8"/>
          </w:tcPr>
          <w:p>
            <w:pPr>
              <w:spacing w:after="0" w:before="0"/>
            </w:pPr>
            <w:r/>
            <w:r>
              <w:rPr>
                <w:rFonts w:ascii="Aptos" w:hAnsi="Aptos"/>
                <w:b w:val="0"/>
                <w:sz w:val="15"/>
              </w:rPr>
              <w:t>Keep only if benefits justify complexity and gains persist on repeated validation.</w:t>
            </w:r>
          </w:p>
        </w:tc>
      </w:tr>
      <w:tr>
        <w:tc>
          <w:tcPr>
            <w:tcW w:type="dxa" w:w="1656"/>
            <w:vAlign w:val="center"/>
          </w:tcPr>
          <w:p>
            <w:pPr>
              <w:spacing w:after="0" w:before="0"/>
            </w:pPr>
            <w:r/>
            <w:r>
              <w:rPr>
                <w:rFonts w:ascii="Aptos" w:hAnsi="Aptos"/>
                <w:b w:val="0"/>
                <w:sz w:val="15"/>
              </w:rPr>
              <w:t>P4 — Medium</w:t>
            </w:r>
          </w:p>
        </w:tc>
        <w:tc>
          <w:tcPr>
            <w:tcW w:type="dxa" w:w="3384"/>
            <w:vAlign w:val="center"/>
          </w:tcPr>
          <w:p>
            <w:pPr>
              <w:spacing w:after="0" w:before="0"/>
            </w:pPr>
            <w:r/>
            <w:r>
              <w:rPr>
                <w:rFonts w:ascii="Aptos" w:hAnsi="Aptos"/>
                <w:b w:val="0"/>
                <w:sz w:val="15"/>
              </w:rPr>
              <w:t>Attention-based DCNN / 2026 CNN-LSTM comparison</w:t>
            </w:r>
          </w:p>
        </w:tc>
        <w:tc>
          <w:tcPr>
            <w:tcW w:type="dxa" w:w="3888"/>
            <w:vAlign w:val="center"/>
          </w:tcPr>
          <w:p>
            <w:pPr>
              <w:spacing w:after="0" w:before="0"/>
            </w:pPr>
            <w:r/>
            <w:r>
              <w:rPr>
                <w:rFonts w:ascii="Aptos" w:hAnsi="Aptos"/>
                <w:b w:val="0"/>
                <w:sz w:val="15"/>
              </w:rPr>
              <w:t>Attempt after data/metric pipeline and a simple temporal model are stable.</w:t>
            </w:r>
          </w:p>
        </w:tc>
      </w:tr>
      <w:tr>
        <w:tc>
          <w:tcPr>
            <w:tcW w:type="dxa" w:w="1656"/>
            <w:vAlign w:val="center"/>
            <w:shd w:fill="F0F5F8"/>
          </w:tcPr>
          <w:p>
            <w:pPr>
              <w:spacing w:after="0" w:before="0"/>
            </w:pPr>
            <w:r/>
            <w:r>
              <w:rPr>
                <w:rFonts w:ascii="Aptos" w:hAnsi="Aptos"/>
                <w:b w:val="0"/>
                <w:sz w:val="15"/>
              </w:rPr>
              <w:t>P5 — Required for case study</w:t>
            </w:r>
          </w:p>
        </w:tc>
        <w:tc>
          <w:tcPr>
            <w:tcW w:type="dxa" w:w="3384"/>
            <w:vAlign w:val="center"/>
            <w:shd w:fill="F0F5F8"/>
          </w:tcPr>
          <w:p>
            <w:pPr>
              <w:spacing w:after="0" w:before="0"/>
            </w:pPr>
            <w:r/>
            <w:r>
              <w:rPr>
                <w:rFonts w:ascii="Aptos" w:hAnsi="Aptos"/>
                <w:b w:val="0"/>
                <w:sz w:val="15"/>
              </w:rPr>
              <w:t>Anomaly detector, rule-based triage, MLflow and dashboard</w:t>
            </w:r>
          </w:p>
        </w:tc>
        <w:tc>
          <w:tcPr>
            <w:tcW w:type="dxa" w:w="3888"/>
            <w:vAlign w:val="center"/>
            <w:shd w:fill="F0F5F8"/>
          </w:tcPr>
          <w:p>
            <w:pPr>
              <w:spacing w:after="0" w:before="0"/>
            </w:pPr>
            <w:r/>
            <w:r>
              <w:rPr>
                <w:rFonts w:ascii="Aptos" w:hAnsi="Aptos"/>
                <w:b w:val="0"/>
                <w:sz w:val="15"/>
              </w:rPr>
              <w:t>Demonstrate end-to-end flow with honest limits and no LLM.</w:t>
            </w:r>
          </w:p>
        </w:tc>
      </w:tr>
    </w:tbl>
    <w:p>
      <w:pPr>
        <w:spacing w:after="20"/>
      </w:pPr>
    </w:p>
    <w:p>
      <w:pPr>
        <w:pStyle w:val="Heading1"/>
      </w:pPr>
      <w:r>
        <w:t>7. Deliverables the implementation should produce</w:t>
      </w:r>
    </w:p>
    <w:p>
      <w:pPr>
        <w:pStyle w:val="ListBullet"/>
        <w:spacing w:after="40"/>
      </w:pPr>
      <w:r>
        <w:t>reports/data_audit.md — schema, data quality and leakage checks.</w:t>
      </w:r>
    </w:p>
    <w:p>
      <w:pPr>
        <w:pStyle w:val="ListBullet"/>
        <w:spacing w:after="40"/>
      </w:pPr>
      <w:r>
        <w:t>reports/metric_audit.md — formula, unit tests, NASA sum/mean clarification and reproduced baseline table.</w:t>
      </w:r>
    </w:p>
    <w:p>
      <w:pPr>
        <w:pStyle w:val="ListBullet"/>
        <w:spacing w:after="40"/>
      </w:pPr>
      <w:r>
        <w:t>reports/experiment_plan.md — hypotheses, configs, ablations and stop/continue criteria.</w:t>
      </w:r>
    </w:p>
    <w:p>
      <w:pPr>
        <w:pStyle w:val="ListBullet"/>
        <w:spacing w:after="40"/>
      </w:pPr>
      <w:r>
        <w:t>reports/literature_review.md — methods, published scores, protocol caveats and links.</w:t>
      </w:r>
    </w:p>
    <w:p>
      <w:pPr>
        <w:pStyle w:val="ListBullet"/>
        <w:spacing w:after="40"/>
      </w:pPr>
      <w:r>
        <w:t>reports/metrics_summary.csv — each experiment’s split/protocol, target scheme, features, seed, validation mean ± standard deviation, and final test metrics when appropriate.</w:t>
      </w:r>
    </w:p>
    <w:p>
      <w:pPr>
        <w:pStyle w:val="ListBullet"/>
        <w:spacing w:after="40"/>
      </w:pPr>
      <w:r>
        <w:t>reports/predictions_&lt;model&gt;.csv — engine ID, y_true, y_pred, residual, absolute error and PHM08 contribution.</w:t>
      </w:r>
    </w:p>
    <w:p>
      <w:pPr>
        <w:pStyle w:val="ListBullet"/>
        <w:spacing w:after="40"/>
      </w:pPr>
      <w:r>
        <w:t>reports/figures/ — actual-vs-predicted, residuals, per-engine error, score contributions, and ablation comparisons.</w:t>
      </w:r>
    </w:p>
    <w:p>
      <w:pPr>
        <w:pStyle w:val="ListBullet"/>
        <w:spacing w:after="40"/>
      </w:pPr>
      <w:r>
        <w:t>README.md — installation, data layout, commands, protocol, metrics and limitations.</w:t>
      </w:r>
    </w:p>
    <w:p>
      <w:pPr>
        <w:pStyle w:val="ListBullet"/>
        <w:spacing w:after="40"/>
      </w:pPr>
      <w:r>
        <w:t>reports/final_summary.md — winner by each metric, why a final model was selected, failed trials, known limitations and next work.</w:t>
      </w:r>
    </w:p>
    <w:p>
      <w:pPr>
        <w:pStyle w:val="ListBullet"/>
        <w:spacing w:after="40"/>
      </w:pPr>
      <w:r>
        <w:t>Automated tests for label calculation, engine-disjoint splits, endpoint prediction alignment and PHM08 score.</w:t>
      </w:r>
    </w:p>
    <w:p>
      <w:pPr>
        <w:pStyle w:val="Heading1"/>
      </w:pPr>
      <w:r>
        <w:t>8. How to use the prompt</w:t>
      </w:r>
    </w:p>
    <w:p>
      <w:r>
        <w:t>Open CMAPSS_RUL_Master_Implementation_Prompt.txt and paste it into your coding agent (for example, Cursor, Claude Code, or another agent that can inspect the project files). Give the agent access to the existing repository and dataset paths, but do not include confidential/company data unless authorized. Ask it to inspect the repo and report its plan first, then execute phase by phase. Review the audit and baseline before approving architecture changes.</w:t>
      </w:r>
    </w:p>
    <w:p>
      <w:pPr>
        <w:pStyle w:val="Heading1"/>
      </w:pPr>
      <w:r>
        <w:t>9. Key caveats</w:t>
      </w:r>
    </w:p>
    <w:p>
      <w:pPr>
        <w:pStyle w:val="ListBullet"/>
        <w:spacing w:after="40"/>
      </w:pPr>
      <w:r>
        <w:t>NASA C-MAPSS is simulated turbofan-engine data. Demonstrating on FD001 does not validate a maintenance system for real industrial compressors, pumps or aircraft.</w:t>
      </w:r>
    </w:p>
    <w:p>
      <w:pPr>
        <w:pStyle w:val="ListBullet"/>
        <w:spacing w:after="40"/>
      </w:pPr>
      <w:r>
        <w:t>Published RMSE and PHM08 numbers are not directly comparable unless the test protocol, target cap, preprocessing, aggregation and endpoint prediction rules match.</w:t>
      </w:r>
    </w:p>
    <w:p>
      <w:pPr>
        <w:pStyle w:val="ListBullet"/>
        <w:spacing w:after="40"/>
      </w:pPr>
      <w:r>
        <w:t>The 2023 paper’s RMSE 16.1 and score 437.2 are reasonable reference points for reproducing its setup, not promises or acceptance thresholds for this codebase.</w:t>
      </w:r>
    </w:p>
    <w:p>
      <w:pPr>
        <w:pStyle w:val="ListBullet"/>
        <w:spacing w:after="40"/>
      </w:pPr>
      <w:r>
        <w:t>The case study asks for both RUL prediction and anomaly detection; keep those tasks and their metrics distinct.</w:t>
      </w:r>
    </w:p>
    <w:p>
      <w:pPr>
        <w:pStyle w:val="ListBullet"/>
        <w:spacing w:after="40"/>
      </w:pPr>
      <w:r>
        <w:t>Any demo maintenance threshold must be clearly labeled illustrative and must not be represented as a certified real-world safety threshold.</w:t>
      </w:r>
    </w:p>
    <w:p>
      <w:pPr>
        <w:pStyle w:val="Heading1"/>
      </w:pPr>
      <w:r>
        <w:t>References</w:t>
      </w:r>
    </w:p>
    <w:p>
      <w:pPr>
        <w:pStyle w:val="ListNumber"/>
        <w:spacing w:after="60"/>
      </w:pPr>
      <w:r>
        <w:t>Ensarioğlu, K., İnkaya, T., &amp; Emel, E. (2023). Remaining Useful Life Estimation of Turbofan Engines with Deep Learning Using Change-Point Detection Based Labeling and Feature Engineering. Applied Sciences, 13(21), 11893. https://doi.org/10.3390/app132111893</w:t>
      </w:r>
    </w:p>
    <w:p>
      <w:pPr>
        <w:pStyle w:val="ListNumber"/>
        <w:spacing w:after="60"/>
      </w:pPr>
      <w:r>
        <w:t>Deep-Learning Based Prognosis Approach for Remaining Useful Life Prediction of Turbofan Engine. Symmetry, 13(10), 1861 (2021). https://www.mdpi.com/2073-8994/13/10/1861</w:t>
      </w:r>
    </w:p>
    <w:p>
      <w:pPr>
        <w:pStyle w:val="ListNumber"/>
        <w:spacing w:after="60"/>
      </w:pPr>
      <w:r>
        <w:t>Ramasso, E., &amp; Saxena, A. (2014). Review and Analysis of Algorithmic Approaches Developed for Prognostics on CMAPSS Dataset. NASA NTRS. https://ntrs.nasa.gov/archive/nasa/casi.ntrs.nasa.gov/20150007677.pdf</w:t>
      </w:r>
    </w:p>
    <w:p>
      <w:pPr>
        <w:pStyle w:val="ListNumber"/>
        <w:spacing w:after="60"/>
      </w:pPr>
      <w:r>
        <w:t>NASA. CMAPSS Jet Engine Simulated Data. https://data.nasa.gov/dataset/cmapss-jet-engine-simulated-data</w:t>
      </w:r>
    </w:p>
    <w:p>
      <w:pPr>
        <w:pStyle w:val="ListNumber"/>
        <w:spacing w:after="60"/>
      </w:pPr>
      <w:r>
        <w:t>Saxena, A., Goebel, K., Simon, D., &amp; Eklund, N. (2008). Damage Propagation Modeling for Aircraft Engine Run-to-Failure Simulation. https://doi.org/10.1109/PHM.2008.4711414</w:t>
      </w:r>
    </w:p>
    <w:p>
      <w:pPr>
        <w:pStyle w:val="ListNumber"/>
        <w:spacing w:after="60"/>
      </w:pPr>
      <w:r>
        <w:t>Kumar, R., Ojha, S., Shelke, A., et al. (2026). Temporal-sequential modeling for remaining useful life estimation of turbofan engine. Scientific Reports. https://www.nature.com/articles/s41598-026-63783-7</w:t>
      </w:r>
    </w:p>
    <w:p>
      <w:pPr>
        <w:pStyle w:val="ListNumber"/>
        <w:spacing w:after="60"/>
      </w:pPr>
      <w:r>
        <w:t>NASA. Metrics for Evaluating Performance of Prognostics Techniques. https://data.nasa.gov/dataset/metrics-for-evaluating-performance-of-prognostics-techniques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080"/>
        <w:sz w:val="16"/>
      </w:rPr>
      <w:t>Implementation roadmap • FD001 first • Prepared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F7080"/>
        <w:sz w:val="16"/>
      </w:rPr>
      <w:t>NASA C-MAPSS  |  RUL PREDICTIVE MAINTENANCE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B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563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3B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C-MAPSS RUL Implementation Roadmap</dc:title>
  <dc:subject>Research-led FD001 predictive maintenance implementation plan</dc:subject>
  <dc:creator>OpenAI</dc:creator>
  <cp:keywords>NASA C-MAPSS, FD001, RUL, predictive maintenance, CNN-LSTM, PHM08</cp:keywords>
  <dc:description>generated by python-docx</dc:description>
  <cp:lastModifiedBy/>
  <cp:revision>1</cp:revision>
  <dcterms:created xsi:type="dcterms:W3CDTF">2013-12-23T23:15:00Z</dcterms:created>
  <dcterms:modified xsi:type="dcterms:W3CDTF">2013-12-23T23:15:00Z</dcterms:modified>
  <cp:category/>
</cp:coreProperties>
</file>