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Display" w:hAnsi="Aptos Display"/>
          <w:b/>
          <w:color w:val="000000"/>
          <w:sz w:val="50"/>
        </w:rPr>
        <w:t>NASA C MAPSS FD001 Remaining Useful Life</w:t>
      </w:r>
    </w:p>
    <w:p>
      <w:pPr>
        <w:pStyle w:val="Subtitle"/>
        <w:spacing w:after="320"/>
      </w:pPr>
      <w:r>
        <w:rPr>
          <w:rFonts w:ascii="Aptos" w:hAnsi="Aptos"/>
          <w:color w:val="595959"/>
          <w:sz w:val="25"/>
        </w:rPr>
        <w:t>Final implementation, model comparison, and deployment assessment</w:t>
      </w:r>
    </w:p>
    <w:p>
      <w:pPr>
        <w:spacing w:after="280"/>
      </w:pPr>
      <w:r>
        <w:rPr>
          <w:rFonts w:ascii="Aptos" w:hAnsi="Aptos"/>
          <w:color w:val="595959"/>
          <w:sz w:val="19"/>
        </w:rPr>
        <w:t>Prepared 20 October 2026   |   CPU-bounded local study</w:t>
      </w:r>
    </w:p>
    <w:p>
      <w:pPr>
        <w:pStyle w:val="Heading1"/>
        <w:spacing w:before="240" w:after="100"/>
      </w:pPr>
      <w:r>
        <w:rPr>
          <w:rFonts w:ascii="Aptos Display" w:hAnsi="Aptos Display"/>
          <w:b/>
          <w:color w:val="000000"/>
          <w:sz w:val="30"/>
        </w:rPr>
        <w:t>Executive summary</w:t>
      </w:r>
    </w:p>
    <w:p>
      <w:pPr>
        <w:spacing w:after="140" w:line="269" w:lineRule="auto"/>
      </w:pPr>
      <w:r>
        <w:rPr>
          <w:rFonts w:ascii="Aptos" w:hAnsi="Aptos"/>
          <w:sz w:val="20"/>
        </w:rPr>
        <w:t>The selected production candidate is a Histogram Gradient Boosting regressor trained with RUL labels capped at 125 cycles and causal 10- and 30-cycle features. It was selected on held-out engine prefixes and then retrained on all FD001 training engines. Its single final official-test evaluation achieved RMSE 13.532, MAE 9.799, R² 0.894, and PHM08 mean 2.852.</w:t>
      </w:r>
    </w:p>
    <w:p>
      <w:pPr>
        <w:spacing w:after="140" w:line="269" w:lineRule="auto"/>
      </w:pPr>
      <w:r>
        <w:rPr>
          <w:rFonts w:ascii="Aptos" w:hAnsi="Aptos"/>
          <w:sz w:val="20"/>
        </w:rPr>
        <w:t>The study also implements compact CNN, LSTM, CNN-LSTM, TinyML-oriented, autoencoder, hybrid, random forest, ridge, and mean-baseline paths. The compact CNN-LSTM was the best neural candidate, but it did not outperform the selected tree model. The autoencoder is retained as an unlabeled early-life anomaly signal for triage rather than as a supervised RUL predictor.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8"/>
        <w:gridCol w:w="2028"/>
        <w:gridCol w:w="2028"/>
        <w:gridCol w:w="2028"/>
        <w:gridCol w:w="2028"/>
      </w:tblGrid>
      <w:tr>
        <w:trPr>
          <w:tblHeader w:val="true"/>
        </w:trPr>
        <w:tc>
          <w:tcPr>
            <w:tcW w:type="dxa" w:w="4025"/>
            <w:shd w:fill="17365D"/>
            <w:vAlign w:val="center"/>
            <w:tcMar>
              <w:top w:w="95" w:type="dxa"/>
              <w:start w:w="95" w:type="dxa"/>
              <w:bottom w:w="95" w:type="dxa"/>
              <w:end w:w="95" w:type="dxa"/>
            </w:tcMar>
          </w:tcPr>
          <w:p>
            <w:pPr>
              <w:spacing w:after="0" w:before="0"/>
              <w:jc w:val="center"/>
            </w:pPr>
            <w:r/>
            <w:r>
              <w:rPr>
                <w:rFonts w:ascii="Aptos" w:hAnsi="Aptos"/>
                <w:b/>
                <w:color w:val="FFFFFF"/>
                <w:sz w:val="17"/>
              </w:rPr>
              <w:t>Stage</w:t>
            </w:r>
          </w:p>
        </w:tc>
        <w:tc>
          <w:tcPr>
            <w:tcW w:type="dxa" w:w="1304"/>
            <w:shd w:fill="17365D"/>
            <w:vAlign w:val="center"/>
            <w:tcMar>
              <w:top w:w="95" w:type="dxa"/>
              <w:start w:w="95" w:type="dxa"/>
              <w:bottom w:w="95" w:type="dxa"/>
              <w:end w:w="95" w:type="dxa"/>
            </w:tcMar>
          </w:tcPr>
          <w:p>
            <w:pPr>
              <w:spacing w:after="0" w:before="0"/>
              <w:jc w:val="center"/>
            </w:pPr>
            <w:r/>
            <w:r>
              <w:rPr>
                <w:rFonts w:ascii="Aptos" w:hAnsi="Aptos"/>
                <w:b/>
                <w:color w:val="FFFFFF"/>
                <w:sz w:val="17"/>
              </w:rPr>
              <w:t>RMSE</w:t>
            </w:r>
          </w:p>
        </w:tc>
        <w:tc>
          <w:tcPr>
            <w:tcW w:type="dxa" w:w="1304"/>
            <w:shd w:fill="17365D"/>
            <w:vAlign w:val="center"/>
            <w:tcMar>
              <w:top w:w="95" w:type="dxa"/>
              <w:start w:w="95" w:type="dxa"/>
              <w:bottom w:w="95" w:type="dxa"/>
              <w:end w:w="95" w:type="dxa"/>
            </w:tcMar>
          </w:tcPr>
          <w:p>
            <w:pPr>
              <w:spacing w:after="0" w:before="0"/>
              <w:jc w:val="center"/>
            </w:pPr>
            <w:r/>
            <w:r>
              <w:rPr>
                <w:rFonts w:ascii="Aptos" w:hAnsi="Aptos"/>
                <w:b/>
                <w:color w:val="FFFFFF"/>
                <w:sz w:val="17"/>
              </w:rPr>
              <w:t>MAE</w:t>
            </w:r>
          </w:p>
        </w:tc>
        <w:tc>
          <w:tcPr>
            <w:tcW w:type="dxa" w:w="1134"/>
            <w:shd w:fill="17365D"/>
            <w:vAlign w:val="center"/>
            <w:tcMar>
              <w:top w:w="95" w:type="dxa"/>
              <w:start w:w="95" w:type="dxa"/>
              <w:bottom w:w="95" w:type="dxa"/>
              <w:end w:w="95" w:type="dxa"/>
            </w:tcMar>
          </w:tcPr>
          <w:p>
            <w:pPr>
              <w:spacing w:after="0" w:before="0"/>
              <w:jc w:val="center"/>
            </w:pPr>
            <w:r/>
            <w:r>
              <w:rPr>
                <w:rFonts w:ascii="Aptos" w:hAnsi="Aptos"/>
                <w:b/>
                <w:color w:val="FFFFFF"/>
                <w:sz w:val="17"/>
              </w:rPr>
              <w:t>R²</w:t>
            </w:r>
          </w:p>
        </w:tc>
        <w:tc>
          <w:tcPr>
            <w:tcW w:type="dxa" w:w="1587"/>
            <w:shd w:fill="17365D"/>
            <w:vAlign w:val="center"/>
            <w:tcMar>
              <w:top w:w="95" w:type="dxa"/>
              <w:start w:w="95" w:type="dxa"/>
              <w:bottom w:w="95" w:type="dxa"/>
              <w:end w:w="95" w:type="dxa"/>
            </w:tcMar>
          </w:tcPr>
          <w:p>
            <w:pPr>
              <w:spacing w:after="0" w:before="0"/>
              <w:jc w:val="center"/>
            </w:pPr>
            <w:r/>
            <w:r>
              <w:rPr>
                <w:rFonts w:ascii="Aptos" w:hAnsi="Aptos"/>
                <w:b/>
                <w:color w:val="FFFFFF"/>
                <w:sz w:val="17"/>
              </w:rPr>
              <w:t>PHM08 mean</w:t>
            </w:r>
          </w:p>
        </w:tc>
      </w:tr>
      <w:tr>
        <w:tc>
          <w:tcPr>
            <w:tcW w:type="dxa" w:w="4025"/>
            <w:vAlign w:val="center"/>
            <w:tcMar>
              <w:top w:w="95" w:type="dxa"/>
              <w:start w:w="95" w:type="dxa"/>
              <w:bottom w:w="95" w:type="dxa"/>
              <w:end w:w="95" w:type="dxa"/>
            </w:tcMar>
          </w:tcPr>
          <w:p>
            <w:pPr>
              <w:spacing w:after="0" w:before="0"/>
              <w:jc w:val="left"/>
            </w:pPr>
            <w:r/>
            <w:r>
              <w:rPr>
                <w:rFonts w:ascii="Aptos" w:hAnsi="Aptos"/>
                <w:b w:val="0"/>
                <w:color w:val="000000"/>
                <w:sz w:val="17"/>
              </w:rPr>
              <w:t>Validation selection split</w:t>
            </w:r>
          </w:p>
        </w:tc>
        <w:tc>
          <w:tcPr>
            <w:tcW w:type="dxa" w:w="1304"/>
            <w:vAlign w:val="center"/>
            <w:tcMar>
              <w:top w:w="95" w:type="dxa"/>
              <w:start w:w="95" w:type="dxa"/>
              <w:bottom w:w="95" w:type="dxa"/>
              <w:end w:w="95" w:type="dxa"/>
            </w:tcMar>
          </w:tcPr>
          <w:p>
            <w:pPr>
              <w:spacing w:after="0" w:before="0"/>
              <w:jc w:val="center"/>
            </w:pPr>
            <w:r/>
            <w:r>
              <w:rPr>
                <w:rFonts w:ascii="Aptos" w:hAnsi="Aptos"/>
                <w:b w:val="0"/>
                <w:color w:val="000000"/>
                <w:sz w:val="17"/>
              </w:rPr>
              <w:t>12.773</w:t>
            </w:r>
          </w:p>
        </w:tc>
        <w:tc>
          <w:tcPr>
            <w:tcW w:type="dxa" w:w="1304"/>
            <w:vAlign w:val="center"/>
            <w:tcMar>
              <w:top w:w="95" w:type="dxa"/>
              <w:start w:w="95" w:type="dxa"/>
              <w:bottom w:w="95" w:type="dxa"/>
              <w:end w:w="95" w:type="dxa"/>
            </w:tcMar>
          </w:tcPr>
          <w:p>
            <w:pPr>
              <w:spacing w:after="0" w:before="0"/>
              <w:jc w:val="center"/>
            </w:pPr>
            <w:r/>
            <w:r>
              <w:rPr>
                <w:rFonts w:ascii="Aptos" w:hAnsi="Aptos"/>
                <w:b w:val="0"/>
                <w:color w:val="000000"/>
                <w:sz w:val="17"/>
              </w:rPr>
              <w:t>8.609</w:t>
            </w:r>
          </w:p>
        </w:tc>
        <w:tc>
          <w:tcPr>
            <w:tcW w:type="dxa" w:w="1134"/>
            <w:vAlign w:val="center"/>
            <w:tcMar>
              <w:top w:w="95" w:type="dxa"/>
              <w:start w:w="95" w:type="dxa"/>
              <w:bottom w:w="95" w:type="dxa"/>
              <w:end w:w="95" w:type="dxa"/>
            </w:tcMar>
          </w:tcPr>
          <w:p>
            <w:pPr>
              <w:spacing w:after="0" w:before="0"/>
              <w:jc w:val="center"/>
            </w:pPr>
            <w:r/>
            <w:r>
              <w:rPr>
                <w:rFonts w:ascii="Aptos" w:hAnsi="Aptos"/>
                <w:b w:val="0"/>
                <w:color w:val="000000"/>
                <w:sz w:val="17"/>
              </w:rPr>
              <w:t>0.877</w:t>
            </w:r>
          </w:p>
        </w:tc>
        <w:tc>
          <w:tcPr>
            <w:tcW w:type="dxa" w:w="1587"/>
            <w:vAlign w:val="center"/>
            <w:tcMar>
              <w:top w:w="95" w:type="dxa"/>
              <w:start w:w="95" w:type="dxa"/>
              <w:bottom w:w="95" w:type="dxa"/>
              <w:end w:w="95" w:type="dxa"/>
            </w:tcMar>
          </w:tcPr>
          <w:p>
            <w:pPr>
              <w:spacing w:after="0" w:before="0"/>
              <w:jc w:val="center"/>
            </w:pPr>
            <w:r/>
            <w:r>
              <w:rPr>
                <w:rFonts w:ascii="Aptos" w:hAnsi="Aptos"/>
                <w:b w:val="0"/>
                <w:color w:val="000000"/>
                <w:sz w:val="17"/>
              </w:rPr>
              <w:t>2.832</w:t>
            </w:r>
          </w:p>
        </w:tc>
      </w:tr>
      <w:tr>
        <w:tc>
          <w:tcPr>
            <w:tcW w:type="dxa" w:w="4025"/>
            <w:shd w:fill="F4F7FA"/>
            <w:vAlign w:val="center"/>
            <w:tcMar>
              <w:top w:w="95" w:type="dxa"/>
              <w:start w:w="95" w:type="dxa"/>
              <w:bottom w:w="95" w:type="dxa"/>
              <w:end w:w="95" w:type="dxa"/>
            </w:tcMar>
          </w:tcPr>
          <w:p>
            <w:pPr>
              <w:spacing w:after="0" w:before="0"/>
              <w:jc w:val="left"/>
            </w:pPr>
            <w:r/>
            <w:r>
              <w:rPr>
                <w:rFonts w:ascii="Aptos" w:hAnsi="Aptos"/>
                <w:b w:val="0"/>
                <w:color w:val="000000"/>
                <w:sz w:val="17"/>
              </w:rPr>
              <w:t>Three-split validation mean ± SD</w:t>
            </w:r>
          </w:p>
        </w:tc>
        <w:tc>
          <w:tcPr>
            <w:tcW w:type="dxa" w:w="1304"/>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13.623 ± 1.724</w:t>
            </w:r>
          </w:p>
        </w:tc>
        <w:tc>
          <w:tcPr>
            <w:tcW w:type="dxa" w:w="1304"/>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8.802 ± 0.561</w:t>
            </w:r>
          </w:p>
        </w:tc>
        <w:tc>
          <w:tcPr>
            <w:tcW w:type="dxa" w:w="1134"/>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0.866 ± 0.025</w:t>
            </w:r>
          </w:p>
        </w:tc>
        <w:tc>
          <w:tcPr>
            <w:tcW w:type="dxa" w:w="1587"/>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3.471 ± 1.411</w:t>
            </w:r>
          </w:p>
        </w:tc>
      </w:tr>
      <w:tr>
        <w:tc>
          <w:tcPr>
            <w:tcW w:type="dxa" w:w="4025"/>
            <w:vAlign w:val="center"/>
            <w:tcMar>
              <w:top w:w="95" w:type="dxa"/>
              <w:start w:w="95" w:type="dxa"/>
              <w:bottom w:w="95" w:type="dxa"/>
              <w:end w:w="95" w:type="dxa"/>
            </w:tcMar>
          </w:tcPr>
          <w:p>
            <w:pPr>
              <w:spacing w:after="0" w:before="0"/>
              <w:jc w:val="left"/>
            </w:pPr>
            <w:r/>
            <w:r>
              <w:rPr>
                <w:rFonts w:ascii="Aptos" w:hAnsi="Aptos"/>
                <w:b w:val="0"/>
                <w:color w:val="000000"/>
                <w:sz w:val="17"/>
              </w:rPr>
              <w:t>Official FD001 test, one final evaluation</w:t>
            </w:r>
          </w:p>
        </w:tc>
        <w:tc>
          <w:tcPr>
            <w:tcW w:type="dxa" w:w="1304"/>
            <w:vAlign w:val="center"/>
            <w:tcMar>
              <w:top w:w="95" w:type="dxa"/>
              <w:start w:w="95" w:type="dxa"/>
              <w:bottom w:w="95" w:type="dxa"/>
              <w:end w:w="95" w:type="dxa"/>
            </w:tcMar>
          </w:tcPr>
          <w:p>
            <w:pPr>
              <w:spacing w:after="0" w:before="0"/>
              <w:jc w:val="center"/>
            </w:pPr>
            <w:r/>
            <w:r>
              <w:rPr>
                <w:rFonts w:ascii="Aptos" w:hAnsi="Aptos"/>
                <w:b w:val="0"/>
                <w:color w:val="000000"/>
                <w:sz w:val="17"/>
              </w:rPr>
              <w:t>13.532</w:t>
            </w:r>
          </w:p>
        </w:tc>
        <w:tc>
          <w:tcPr>
            <w:tcW w:type="dxa" w:w="1304"/>
            <w:vAlign w:val="center"/>
            <w:tcMar>
              <w:top w:w="95" w:type="dxa"/>
              <w:start w:w="95" w:type="dxa"/>
              <w:bottom w:w="95" w:type="dxa"/>
              <w:end w:w="95" w:type="dxa"/>
            </w:tcMar>
          </w:tcPr>
          <w:p>
            <w:pPr>
              <w:spacing w:after="0" w:before="0"/>
              <w:jc w:val="center"/>
            </w:pPr>
            <w:r/>
            <w:r>
              <w:rPr>
                <w:rFonts w:ascii="Aptos" w:hAnsi="Aptos"/>
                <w:b w:val="0"/>
                <w:color w:val="000000"/>
                <w:sz w:val="17"/>
              </w:rPr>
              <w:t>9.799</w:t>
            </w:r>
          </w:p>
        </w:tc>
        <w:tc>
          <w:tcPr>
            <w:tcW w:type="dxa" w:w="1134"/>
            <w:vAlign w:val="center"/>
            <w:tcMar>
              <w:top w:w="95" w:type="dxa"/>
              <w:start w:w="95" w:type="dxa"/>
              <w:bottom w:w="95" w:type="dxa"/>
              <w:end w:w="95" w:type="dxa"/>
            </w:tcMar>
          </w:tcPr>
          <w:p>
            <w:pPr>
              <w:spacing w:after="0" w:before="0"/>
              <w:jc w:val="center"/>
            </w:pPr>
            <w:r/>
            <w:r>
              <w:rPr>
                <w:rFonts w:ascii="Aptos" w:hAnsi="Aptos"/>
                <w:b w:val="0"/>
                <w:color w:val="000000"/>
                <w:sz w:val="17"/>
              </w:rPr>
              <w:t>0.894</w:t>
            </w:r>
          </w:p>
        </w:tc>
        <w:tc>
          <w:tcPr>
            <w:tcW w:type="dxa" w:w="1587"/>
            <w:vAlign w:val="center"/>
            <w:tcMar>
              <w:top w:w="95" w:type="dxa"/>
              <w:start w:w="95" w:type="dxa"/>
              <w:bottom w:w="95" w:type="dxa"/>
              <w:end w:w="95" w:type="dxa"/>
            </w:tcMar>
          </w:tcPr>
          <w:p>
            <w:pPr>
              <w:spacing w:after="0" w:before="0"/>
              <w:jc w:val="center"/>
            </w:pPr>
            <w:r/>
            <w:r>
              <w:rPr>
                <w:rFonts w:ascii="Aptos" w:hAnsi="Aptos"/>
                <w:b w:val="0"/>
                <w:color w:val="000000"/>
                <w:sz w:val="17"/>
              </w:rPr>
              <w:t>2.852</w:t>
            </w:r>
          </w:p>
        </w:tc>
      </w:tr>
    </w:tbl>
    <w:p>
      <w:pPr>
        <w:spacing w:after="20"/>
      </w:pPr>
    </w:p>
    <w:p>
      <w:pPr>
        <w:pStyle w:val="Heading1"/>
        <w:spacing w:before="240" w:after="100"/>
      </w:pPr>
      <w:r>
        <w:rPr>
          <w:rFonts w:ascii="Aptos Display" w:hAnsi="Aptos Display"/>
          <w:b/>
          <w:color w:val="000000"/>
          <w:sz w:val="30"/>
        </w:rPr>
        <w:t>1  Problem and data</w:t>
      </w:r>
    </w:p>
    <w:p>
      <w:pPr>
        <w:spacing w:after="140" w:line="269" w:lineRule="auto"/>
      </w:pPr>
      <w:r>
        <w:rPr>
          <w:rFonts w:ascii="Aptos" w:hAnsi="Aptos"/>
          <w:sz w:val="20"/>
        </w:rPr>
        <w:t>The task predicts remaining useful life from multivariate turbofan telemetry. The FD001 files contain a unit identifier, cycle, three operating settings, and 21 sensor channels. Training trajectories run to failure; test trajectories are right-censored and have one supplied RUL target for each engine endpoint.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8"/>
        <w:gridCol w:w="2028"/>
        <w:gridCol w:w="2028"/>
        <w:gridCol w:w="2028"/>
        <w:gridCol w:w="2028"/>
      </w:tblGrid>
      <w:tr>
        <w:trPr>
          <w:tblHeader w:val="true"/>
        </w:trPr>
        <w:tc>
          <w:tcPr>
            <w:tcW w:type="dxa" w:w="1701"/>
            <w:shd w:fill="17365D"/>
            <w:vAlign w:val="center"/>
            <w:tcMar>
              <w:top w:w="95" w:type="dxa"/>
              <w:start w:w="95" w:type="dxa"/>
              <w:bottom w:w="95" w:type="dxa"/>
              <w:end w:w="95" w:type="dxa"/>
            </w:tcMar>
          </w:tcPr>
          <w:p>
            <w:pPr>
              <w:spacing w:after="0" w:before="0"/>
              <w:jc w:val="center"/>
            </w:pPr>
            <w:r/>
            <w:r>
              <w:rPr>
                <w:rFonts w:ascii="Aptos" w:hAnsi="Aptos"/>
                <w:b/>
                <w:color w:val="FFFFFF"/>
                <w:sz w:val="17"/>
              </w:rPr>
              <w:t>Split</w:t>
            </w:r>
          </w:p>
        </w:tc>
        <w:tc>
          <w:tcPr>
            <w:tcW w:type="dxa" w:w="1134"/>
            <w:shd w:fill="17365D"/>
            <w:vAlign w:val="center"/>
            <w:tcMar>
              <w:top w:w="95" w:type="dxa"/>
              <w:start w:w="95" w:type="dxa"/>
              <w:bottom w:w="95" w:type="dxa"/>
              <w:end w:w="95" w:type="dxa"/>
            </w:tcMar>
          </w:tcPr>
          <w:p>
            <w:pPr>
              <w:spacing w:after="0" w:before="0"/>
              <w:jc w:val="center"/>
            </w:pPr>
            <w:r/>
            <w:r>
              <w:rPr>
                <w:rFonts w:ascii="Aptos" w:hAnsi="Aptos"/>
                <w:b/>
                <w:color w:val="FFFFFF"/>
                <w:sz w:val="17"/>
              </w:rPr>
              <w:t>Rows</w:t>
            </w:r>
          </w:p>
        </w:tc>
        <w:tc>
          <w:tcPr>
            <w:tcW w:type="dxa" w:w="1077"/>
            <w:shd w:fill="17365D"/>
            <w:vAlign w:val="center"/>
            <w:tcMar>
              <w:top w:w="95" w:type="dxa"/>
              <w:start w:w="95" w:type="dxa"/>
              <w:bottom w:w="95" w:type="dxa"/>
              <w:end w:w="95" w:type="dxa"/>
            </w:tcMar>
          </w:tcPr>
          <w:p>
            <w:pPr>
              <w:spacing w:after="0" w:before="0"/>
              <w:jc w:val="center"/>
            </w:pPr>
            <w:r/>
            <w:r>
              <w:rPr>
                <w:rFonts w:ascii="Aptos" w:hAnsi="Aptos"/>
                <w:b/>
                <w:color w:val="FFFFFF"/>
                <w:sz w:val="17"/>
              </w:rPr>
              <w:t>Engines</w:t>
            </w:r>
          </w:p>
        </w:tc>
        <w:tc>
          <w:tcPr>
            <w:tcW w:type="dxa" w:w="2438"/>
            <w:shd w:fill="17365D"/>
            <w:vAlign w:val="center"/>
            <w:tcMar>
              <w:top w:w="95" w:type="dxa"/>
              <w:start w:w="95" w:type="dxa"/>
              <w:bottom w:w="95" w:type="dxa"/>
              <w:end w:w="95" w:type="dxa"/>
            </w:tcMar>
          </w:tcPr>
          <w:p>
            <w:pPr>
              <w:spacing w:after="0" w:before="0"/>
              <w:jc w:val="center"/>
            </w:pPr>
            <w:r/>
            <w:r>
              <w:rPr>
                <w:rFonts w:ascii="Aptos" w:hAnsi="Aptos"/>
                <w:b/>
                <w:color w:val="FFFFFF"/>
                <w:sz w:val="17"/>
              </w:rPr>
              <w:t>Observed life / cycles</w:t>
            </w:r>
          </w:p>
        </w:tc>
        <w:tc>
          <w:tcPr>
            <w:tcW w:type="dxa" w:w="3005"/>
            <w:shd w:fill="17365D"/>
            <w:vAlign w:val="center"/>
            <w:tcMar>
              <w:top w:w="95" w:type="dxa"/>
              <w:start w:w="95" w:type="dxa"/>
              <w:bottom w:w="95" w:type="dxa"/>
              <w:end w:w="95" w:type="dxa"/>
            </w:tcMar>
          </w:tcPr>
          <w:p>
            <w:pPr>
              <w:spacing w:after="0" w:before="0"/>
              <w:jc w:val="center"/>
            </w:pPr>
            <w:r/>
            <w:r>
              <w:rPr>
                <w:rFonts w:ascii="Aptos" w:hAnsi="Aptos"/>
                <w:b/>
                <w:color w:val="FFFFFF"/>
                <w:sz w:val="17"/>
              </w:rPr>
              <w:t>Audit result</w:t>
            </w:r>
          </w:p>
        </w:tc>
      </w:tr>
      <w:tr>
        <w:tc>
          <w:tcPr>
            <w:tcW w:type="dxa" w:w="1701"/>
            <w:vAlign w:val="center"/>
            <w:tcMar>
              <w:top w:w="95" w:type="dxa"/>
              <w:start w:w="95" w:type="dxa"/>
              <w:bottom w:w="95" w:type="dxa"/>
              <w:end w:w="95" w:type="dxa"/>
            </w:tcMar>
          </w:tcPr>
          <w:p>
            <w:pPr>
              <w:spacing w:after="0" w:before="0"/>
              <w:jc w:val="left"/>
            </w:pPr>
            <w:r/>
            <w:r>
              <w:rPr>
                <w:rFonts w:ascii="Aptos" w:hAnsi="Aptos"/>
                <w:b w:val="0"/>
                <w:color w:val="000000"/>
                <w:sz w:val="17"/>
              </w:rPr>
              <w:t>Training</w:t>
            </w:r>
          </w:p>
        </w:tc>
        <w:tc>
          <w:tcPr>
            <w:tcW w:type="dxa" w:w="1134"/>
            <w:vAlign w:val="center"/>
            <w:tcMar>
              <w:top w:w="95" w:type="dxa"/>
              <w:start w:w="95" w:type="dxa"/>
              <w:bottom w:w="95" w:type="dxa"/>
              <w:end w:w="95" w:type="dxa"/>
            </w:tcMar>
          </w:tcPr>
          <w:p>
            <w:pPr>
              <w:spacing w:after="0" w:before="0"/>
              <w:jc w:val="center"/>
            </w:pPr>
            <w:r/>
            <w:r>
              <w:rPr>
                <w:rFonts w:ascii="Aptos" w:hAnsi="Aptos"/>
                <w:b w:val="0"/>
                <w:color w:val="000000"/>
                <w:sz w:val="17"/>
              </w:rPr>
              <w:t>20,631</w:t>
            </w:r>
          </w:p>
        </w:tc>
        <w:tc>
          <w:tcPr>
            <w:tcW w:type="dxa" w:w="1077"/>
            <w:vAlign w:val="center"/>
            <w:tcMar>
              <w:top w:w="95" w:type="dxa"/>
              <w:start w:w="95" w:type="dxa"/>
              <w:bottom w:w="95" w:type="dxa"/>
              <w:end w:w="95" w:type="dxa"/>
            </w:tcMar>
          </w:tcPr>
          <w:p>
            <w:pPr>
              <w:spacing w:after="0" w:before="0"/>
              <w:jc w:val="center"/>
            </w:pPr>
            <w:r/>
            <w:r>
              <w:rPr>
                <w:rFonts w:ascii="Aptos" w:hAnsi="Aptos"/>
                <w:b w:val="0"/>
                <w:color w:val="000000"/>
                <w:sz w:val="17"/>
              </w:rPr>
              <w:t>100</w:t>
            </w:r>
          </w:p>
        </w:tc>
        <w:tc>
          <w:tcPr>
            <w:tcW w:type="dxa" w:w="2438"/>
            <w:vAlign w:val="center"/>
            <w:tcMar>
              <w:top w:w="95" w:type="dxa"/>
              <w:start w:w="95" w:type="dxa"/>
              <w:bottom w:w="95" w:type="dxa"/>
              <w:end w:w="95" w:type="dxa"/>
            </w:tcMar>
          </w:tcPr>
          <w:p>
            <w:pPr>
              <w:spacing w:after="0" w:before="0"/>
              <w:jc w:val="center"/>
            </w:pPr>
            <w:r/>
            <w:r>
              <w:rPr>
                <w:rFonts w:ascii="Aptos" w:hAnsi="Aptos"/>
                <w:b w:val="0"/>
                <w:color w:val="000000"/>
                <w:sz w:val="17"/>
              </w:rPr>
              <w:t>128 to 362 cycles</w:t>
            </w:r>
          </w:p>
        </w:tc>
        <w:tc>
          <w:tcPr>
            <w:tcW w:type="dxa" w:w="3005"/>
            <w:vAlign w:val="center"/>
            <w:tcMar>
              <w:top w:w="95" w:type="dxa"/>
              <w:start w:w="95" w:type="dxa"/>
              <w:bottom w:w="95" w:type="dxa"/>
              <w:end w:w="95" w:type="dxa"/>
            </w:tcMar>
          </w:tcPr>
          <w:p>
            <w:pPr>
              <w:spacing w:after="0" w:before="0"/>
              <w:jc w:val="center"/>
            </w:pPr>
            <w:r/>
            <w:r>
              <w:rPr>
                <w:rFonts w:ascii="Aptos" w:hAnsi="Aptos"/>
                <w:b w:val="0"/>
                <w:color w:val="000000"/>
                <w:sz w:val="17"/>
              </w:rPr>
              <w:t>All quality checks passed</w:t>
            </w:r>
          </w:p>
        </w:tc>
      </w:tr>
      <w:tr>
        <w:tc>
          <w:tcPr>
            <w:tcW w:type="dxa" w:w="1701"/>
            <w:shd w:fill="F4F7FA"/>
            <w:vAlign w:val="center"/>
            <w:tcMar>
              <w:top w:w="95" w:type="dxa"/>
              <w:start w:w="95" w:type="dxa"/>
              <w:bottom w:w="95" w:type="dxa"/>
              <w:end w:w="95" w:type="dxa"/>
            </w:tcMar>
          </w:tcPr>
          <w:p>
            <w:pPr>
              <w:spacing w:after="0" w:before="0"/>
              <w:jc w:val="left"/>
            </w:pPr>
            <w:r/>
            <w:r>
              <w:rPr>
                <w:rFonts w:ascii="Aptos" w:hAnsi="Aptos"/>
                <w:b w:val="0"/>
                <w:color w:val="000000"/>
                <w:sz w:val="17"/>
              </w:rPr>
              <w:t>Test</w:t>
            </w:r>
          </w:p>
        </w:tc>
        <w:tc>
          <w:tcPr>
            <w:tcW w:type="dxa" w:w="1134"/>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13,096</w:t>
            </w:r>
          </w:p>
        </w:tc>
        <w:tc>
          <w:tcPr>
            <w:tcW w:type="dxa" w:w="1077"/>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100</w:t>
            </w:r>
          </w:p>
        </w:tc>
        <w:tc>
          <w:tcPr>
            <w:tcW w:type="dxa" w:w="2438"/>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31 to 303 observed cycles</w:t>
            </w:r>
          </w:p>
        </w:tc>
        <w:tc>
          <w:tcPr>
            <w:tcW w:type="dxa" w:w="3005"/>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All quality checks passed</w:t>
            </w:r>
          </w:p>
        </w:tc>
      </w:tr>
      <w:tr>
        <w:tc>
          <w:tcPr>
            <w:tcW w:type="dxa" w:w="1701"/>
            <w:vAlign w:val="center"/>
            <w:tcMar>
              <w:top w:w="95" w:type="dxa"/>
              <w:start w:w="95" w:type="dxa"/>
              <w:bottom w:w="95" w:type="dxa"/>
              <w:end w:w="95" w:type="dxa"/>
            </w:tcMar>
          </w:tcPr>
          <w:p>
            <w:pPr>
              <w:spacing w:after="0" w:before="0"/>
              <w:jc w:val="left"/>
            </w:pPr>
            <w:r/>
            <w:r>
              <w:rPr>
                <w:rFonts w:ascii="Aptos" w:hAnsi="Aptos"/>
                <w:b w:val="0"/>
                <w:color w:val="000000"/>
                <w:sz w:val="17"/>
              </w:rPr>
              <w:t>Test RUL vector</w:t>
            </w:r>
          </w:p>
        </w:tc>
        <w:tc>
          <w:tcPr>
            <w:tcW w:type="dxa" w:w="1134"/>
            <w:vAlign w:val="center"/>
            <w:tcMar>
              <w:top w:w="95" w:type="dxa"/>
              <w:start w:w="95" w:type="dxa"/>
              <w:bottom w:w="95" w:type="dxa"/>
              <w:end w:w="95" w:type="dxa"/>
            </w:tcMar>
          </w:tcPr>
          <w:p>
            <w:pPr>
              <w:spacing w:after="0" w:before="0"/>
              <w:jc w:val="center"/>
            </w:pPr>
            <w:r/>
            <w:r>
              <w:rPr>
                <w:rFonts w:ascii="Aptos" w:hAnsi="Aptos"/>
                <w:b w:val="0"/>
                <w:color w:val="000000"/>
                <w:sz w:val="17"/>
              </w:rPr>
              <w:t>100</w:t>
            </w:r>
          </w:p>
        </w:tc>
        <w:tc>
          <w:tcPr>
            <w:tcW w:type="dxa" w:w="1077"/>
            <w:vAlign w:val="center"/>
            <w:tcMar>
              <w:top w:w="95" w:type="dxa"/>
              <w:start w:w="95" w:type="dxa"/>
              <w:bottom w:w="95" w:type="dxa"/>
              <w:end w:w="95" w:type="dxa"/>
            </w:tcMar>
          </w:tcPr>
          <w:p>
            <w:pPr>
              <w:spacing w:after="0" w:before="0"/>
              <w:jc w:val="center"/>
            </w:pPr>
            <w:r/>
            <w:r>
              <w:rPr>
                <w:rFonts w:ascii="Aptos" w:hAnsi="Aptos"/>
                <w:b w:val="0"/>
                <w:color w:val="000000"/>
                <w:sz w:val="17"/>
              </w:rPr>
              <w:t>100</w:t>
            </w:r>
          </w:p>
        </w:tc>
        <w:tc>
          <w:tcPr>
            <w:tcW w:type="dxa" w:w="2438"/>
            <w:vAlign w:val="center"/>
            <w:tcMar>
              <w:top w:w="95" w:type="dxa"/>
              <w:start w:w="95" w:type="dxa"/>
              <w:bottom w:w="95" w:type="dxa"/>
              <w:end w:w="95" w:type="dxa"/>
            </w:tcMar>
          </w:tcPr>
          <w:p>
            <w:pPr>
              <w:spacing w:after="0" w:before="0"/>
              <w:jc w:val="center"/>
            </w:pPr>
            <w:r/>
            <w:r>
              <w:rPr>
                <w:rFonts w:ascii="Aptos" w:hAnsi="Aptos"/>
                <w:b w:val="0"/>
                <w:color w:val="000000"/>
                <w:sz w:val="17"/>
              </w:rPr>
              <w:t>7 to 145 cycles</w:t>
            </w:r>
          </w:p>
        </w:tc>
        <w:tc>
          <w:tcPr>
            <w:tcW w:type="dxa" w:w="3005"/>
            <w:vAlign w:val="center"/>
            <w:tcMar>
              <w:top w:w="95" w:type="dxa"/>
              <w:start w:w="95" w:type="dxa"/>
              <w:bottom w:w="95" w:type="dxa"/>
              <w:end w:w="95" w:type="dxa"/>
            </w:tcMar>
          </w:tcPr>
          <w:p>
            <w:pPr>
              <w:spacing w:after="0" w:before="0"/>
              <w:jc w:val="center"/>
            </w:pPr>
            <w:r/>
            <w:r>
              <w:rPr>
                <w:rFonts w:ascii="Aptos" w:hAnsi="Aptos"/>
                <w:b w:val="0"/>
                <w:color w:val="000000"/>
                <w:sz w:val="17"/>
              </w:rPr>
              <w:t>Aligned to sorted engine IDs</w:t>
            </w:r>
          </w:p>
        </w:tc>
      </w:tr>
    </w:tbl>
    <w:p>
      <w:pPr>
        <w:spacing w:after="20"/>
      </w:pPr>
    </w:p>
    <w:p>
      <w:pPr>
        <w:spacing w:after="140" w:line="269" w:lineRule="auto"/>
      </w:pPr>
      <w:r>
        <w:rPr>
          <w:rFonts w:ascii="Aptos" w:hAnsi="Aptos"/>
          <w:sz w:val="20"/>
        </w:rPr>
        <w:t>No missing or non-finite values, duplicate unit-cycle rows, cycle gaps, invalid IDs, or ordering faults were found. Seven near-constant sensors were screened in an ablation, but removing them did not improve the selected result.</w:t>
      </w:r>
    </w:p>
    <w:p>
      <w:pPr>
        <w:pStyle w:val="Heading1"/>
        <w:spacing w:before="240" w:after="100"/>
      </w:pPr>
      <w:r>
        <w:rPr>
          <w:rFonts w:ascii="Aptos Display" w:hAnsi="Aptos Display"/>
          <w:b/>
          <w:color w:val="000000"/>
          <w:sz w:val="30"/>
        </w:rPr>
        <w:t>2  Evaluation protocol and safeguards</w:t>
      </w:r>
    </w:p>
    <w:p>
      <w:pPr>
        <w:pStyle w:val="ListBullet"/>
        <w:spacing w:after="60"/>
      </w:pPr>
      <w:r>
        <w:rPr>
          <w:rFonts w:ascii="Aptos" w:hAnsi="Aptos"/>
          <w:sz w:val="19"/>
        </w:rPr>
        <w:t>Engines, rather than individual rows, are split into 80 development and 20 validation engines.</w:t>
      </w:r>
    </w:p>
    <w:p>
      <w:pPr>
        <w:pStyle w:val="ListBullet"/>
        <w:spacing w:after="60"/>
      </w:pPr>
      <w:r>
        <w:rPr>
          <w:rFonts w:ascii="Aptos" w:hAnsi="Aptos"/>
          <w:sz w:val="19"/>
        </w:rPr>
        <w:t>Validation evaluates 50%, 70%, and 90% prefixes of held-out trajectories, creating 60 test-like endpoint cases without exposing future cycles as features.</w:t>
      </w:r>
    </w:p>
    <w:p>
      <w:pPr>
        <w:pStyle w:val="ListBullet"/>
        <w:spacing w:after="60"/>
      </w:pPr>
      <w:r>
        <w:rPr>
          <w:rFonts w:ascii="Aptos" w:hAnsi="Aptos"/>
          <w:sz w:val="19"/>
        </w:rPr>
        <w:t>Features are causal and reset at each engine boundary. Difference-to-initial-reading features use only the first observed point for that engine.</w:t>
      </w:r>
    </w:p>
    <w:p>
      <w:pPr>
        <w:pStyle w:val="ListBullet"/>
        <w:spacing w:after="60"/>
      </w:pPr>
      <w:r>
        <w:rPr>
          <w:rFonts w:ascii="Aptos" w:hAnsi="Aptos"/>
          <w:sz w:val="19"/>
        </w:rPr>
        <w:t>Model selection ran without opening test_FD001.txt or RUL_FD001.txt. The selected model was then scored once on official endpoints.</w:t>
      </w:r>
    </w:p>
    <w:p>
      <w:pPr>
        <w:pStyle w:val="ListBullet"/>
        <w:spacing w:after="60"/>
      </w:pPr>
      <w:r>
        <w:rPr>
          <w:rFonts w:ascii="Aptos" w:hAnsi="Aptos"/>
          <w:sz w:val="19"/>
        </w:rPr>
        <w:t>PHM08 is reported alongside RMSE, MAE, R², bias, and error-percentile measures. Its asymmetric penalty is stricter for RUL overprediction.</w:t>
      </w:r>
    </w:p>
    <w:p>
      <w:pPr>
        <w:pStyle w:val="Heading1"/>
        <w:spacing w:before="240" w:after="100"/>
      </w:pPr>
      <w:r>
        <w:rPr>
          <w:rFonts w:ascii="Aptos Display" w:hAnsi="Aptos Display"/>
          <w:b/>
          <w:color w:val="000000"/>
          <w:sz w:val="30"/>
        </w:rPr>
        <w:t>3  Models implemented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1"/>
        <w:gridCol w:w="3381"/>
        <w:gridCol w:w="3381"/>
      </w:tblGrid>
      <w:tr>
        <w:trPr>
          <w:tblHeader w:val="true"/>
        </w:trPr>
        <w:tc>
          <w:tcPr>
            <w:tcW w:type="dxa" w:w="2381"/>
            <w:shd w:fill="17365D"/>
            <w:vAlign w:val="center"/>
            <w:tcMar>
              <w:top w:w="95" w:type="dxa"/>
              <w:start w:w="95" w:type="dxa"/>
              <w:bottom w:w="95" w:type="dxa"/>
              <w:end w:w="95" w:type="dxa"/>
            </w:tcMar>
          </w:tcPr>
          <w:p>
            <w:pPr>
              <w:spacing w:after="0" w:before="0"/>
              <w:jc w:val="center"/>
            </w:pPr>
            <w:r/>
            <w:r>
              <w:rPr>
                <w:rFonts w:ascii="Aptos" w:hAnsi="Aptos"/>
                <w:b/>
                <w:color w:val="FFFFFF"/>
                <w:sz w:val="17"/>
              </w:rPr>
              <w:t>Family</w:t>
            </w:r>
          </w:p>
        </w:tc>
        <w:tc>
          <w:tcPr>
            <w:tcW w:type="dxa" w:w="3685"/>
            <w:shd w:fill="17365D"/>
            <w:vAlign w:val="center"/>
            <w:tcMar>
              <w:top w:w="95" w:type="dxa"/>
              <w:start w:w="95" w:type="dxa"/>
              <w:bottom w:w="95" w:type="dxa"/>
              <w:end w:w="95" w:type="dxa"/>
            </w:tcMar>
          </w:tcPr>
          <w:p>
            <w:pPr>
              <w:spacing w:after="0" w:before="0"/>
              <w:jc w:val="center"/>
            </w:pPr>
            <w:r/>
            <w:r>
              <w:rPr>
                <w:rFonts w:ascii="Aptos" w:hAnsi="Aptos"/>
                <w:b/>
                <w:color w:val="FFFFFF"/>
                <w:sz w:val="17"/>
              </w:rPr>
              <w:t>Role in study</w:t>
            </w:r>
          </w:p>
        </w:tc>
        <w:tc>
          <w:tcPr>
            <w:tcW w:type="dxa" w:w="3288"/>
            <w:shd w:fill="17365D"/>
            <w:vAlign w:val="center"/>
            <w:tcMar>
              <w:top w:w="95" w:type="dxa"/>
              <w:start w:w="95" w:type="dxa"/>
              <w:bottom w:w="95" w:type="dxa"/>
              <w:end w:w="95" w:type="dxa"/>
            </w:tcMar>
          </w:tcPr>
          <w:p>
            <w:pPr>
              <w:spacing w:after="0" w:before="0"/>
              <w:jc w:val="center"/>
            </w:pPr>
            <w:r/>
            <w:r>
              <w:rPr>
                <w:rFonts w:ascii="Aptos" w:hAnsi="Aptos"/>
                <w:b/>
                <w:color w:val="FFFFFF"/>
                <w:sz w:val="17"/>
              </w:rPr>
              <w:t>Result or status</w:t>
            </w:r>
          </w:p>
        </w:tc>
      </w:tr>
      <w:tr>
        <w:tc>
          <w:tcPr>
            <w:tcW w:type="dxa" w:w="2381"/>
            <w:vAlign w:val="center"/>
            <w:tcMar>
              <w:top w:w="95" w:type="dxa"/>
              <w:start w:w="95" w:type="dxa"/>
              <w:bottom w:w="95" w:type="dxa"/>
              <w:end w:w="95" w:type="dxa"/>
            </w:tcMar>
          </w:tcPr>
          <w:p>
            <w:pPr>
              <w:spacing w:after="0" w:before="0"/>
              <w:jc w:val="left"/>
            </w:pPr>
            <w:r/>
            <w:r>
              <w:rPr>
                <w:rFonts w:ascii="Aptos" w:hAnsi="Aptos"/>
                <w:b w:val="0"/>
                <w:color w:val="000000"/>
                <w:sz w:val="17"/>
              </w:rPr>
              <w:t>Histogram Gradient Boosting</w:t>
            </w:r>
          </w:p>
        </w:tc>
        <w:tc>
          <w:tcPr>
            <w:tcW w:type="dxa" w:w="3685"/>
            <w:vAlign w:val="center"/>
            <w:tcMar>
              <w:top w:w="95" w:type="dxa"/>
              <w:start w:w="95" w:type="dxa"/>
              <w:bottom w:w="95" w:type="dxa"/>
              <w:end w:w="95" w:type="dxa"/>
            </w:tcMar>
          </w:tcPr>
          <w:p>
            <w:pPr>
              <w:spacing w:after="0" w:before="0"/>
              <w:jc w:val="center"/>
            </w:pPr>
            <w:r/>
            <w:r>
              <w:rPr>
                <w:rFonts w:ascii="Aptos" w:hAnsi="Aptos"/>
                <w:b w:val="0"/>
                <w:color w:val="000000"/>
                <w:sz w:val="17"/>
              </w:rPr>
              <w:t>Selected tabular RUL model</w:t>
            </w:r>
          </w:p>
        </w:tc>
        <w:tc>
          <w:tcPr>
            <w:tcW w:type="dxa" w:w="3288"/>
            <w:vAlign w:val="center"/>
            <w:tcMar>
              <w:top w:w="95" w:type="dxa"/>
              <w:start w:w="95" w:type="dxa"/>
              <w:bottom w:w="95" w:type="dxa"/>
              <w:end w:w="95" w:type="dxa"/>
            </w:tcMar>
          </w:tcPr>
          <w:p>
            <w:pPr>
              <w:spacing w:after="0" w:before="0"/>
              <w:jc w:val="center"/>
            </w:pPr>
            <w:r/>
            <w:r>
              <w:rPr>
                <w:rFonts w:ascii="Aptos" w:hAnsi="Aptos"/>
                <w:b w:val="0"/>
                <w:color w:val="000000"/>
                <w:sz w:val="17"/>
              </w:rPr>
              <w:t>Best clean validation and final official score</w:t>
            </w:r>
          </w:p>
        </w:tc>
      </w:tr>
      <w:tr>
        <w:tc>
          <w:tcPr>
            <w:tcW w:type="dxa" w:w="2381"/>
            <w:shd w:fill="F4F7FA"/>
            <w:vAlign w:val="center"/>
            <w:tcMar>
              <w:top w:w="95" w:type="dxa"/>
              <w:start w:w="95" w:type="dxa"/>
              <w:bottom w:w="95" w:type="dxa"/>
              <w:end w:w="95" w:type="dxa"/>
            </w:tcMar>
          </w:tcPr>
          <w:p>
            <w:pPr>
              <w:spacing w:after="0" w:before="0"/>
              <w:jc w:val="left"/>
            </w:pPr>
            <w:r/>
            <w:r>
              <w:rPr>
                <w:rFonts w:ascii="Aptos" w:hAnsi="Aptos"/>
                <w:b w:val="0"/>
                <w:color w:val="000000"/>
                <w:sz w:val="17"/>
              </w:rPr>
              <w:t>CNN, LSTM, CNN-LSTM</w:t>
            </w:r>
          </w:p>
        </w:tc>
        <w:tc>
          <w:tcPr>
            <w:tcW w:type="dxa" w:w="3685"/>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Compact sequence candidates</w:t>
            </w:r>
          </w:p>
        </w:tc>
        <w:tc>
          <w:tcPr>
            <w:tcW w:type="dxa" w:w="3288"/>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CNN-LSTM best neural candidate</w:t>
            </w:r>
          </w:p>
        </w:tc>
      </w:tr>
      <w:tr>
        <w:tc>
          <w:tcPr>
            <w:tcW w:type="dxa" w:w="2381"/>
            <w:vAlign w:val="center"/>
            <w:tcMar>
              <w:top w:w="95" w:type="dxa"/>
              <w:start w:w="95" w:type="dxa"/>
              <w:bottom w:w="95" w:type="dxa"/>
              <w:end w:w="95" w:type="dxa"/>
            </w:tcMar>
          </w:tcPr>
          <w:p>
            <w:pPr>
              <w:spacing w:after="0" w:before="0"/>
              <w:jc w:val="left"/>
            </w:pPr>
            <w:r/>
            <w:r>
              <w:rPr>
                <w:rFonts w:ascii="Aptos" w:hAnsi="Aptos"/>
                <w:b w:val="0"/>
                <w:color w:val="000000"/>
                <w:sz w:val="17"/>
              </w:rPr>
              <w:t>TinyML-oriented neural regressor</w:t>
            </w:r>
          </w:p>
        </w:tc>
        <w:tc>
          <w:tcPr>
            <w:tcW w:type="dxa" w:w="3685"/>
            <w:vAlign w:val="center"/>
            <w:tcMar>
              <w:top w:w="95" w:type="dxa"/>
              <w:start w:w="95" w:type="dxa"/>
              <w:bottom w:w="95" w:type="dxa"/>
              <w:end w:w="95" w:type="dxa"/>
            </w:tcMar>
          </w:tcPr>
          <w:p>
            <w:pPr>
              <w:spacing w:after="0" w:before="0"/>
              <w:jc w:val="center"/>
            </w:pPr>
            <w:r/>
            <w:r>
              <w:rPr>
                <w:rFonts w:ascii="Aptos" w:hAnsi="Aptos"/>
                <w:b w:val="0"/>
                <w:color w:val="000000"/>
                <w:sz w:val="17"/>
              </w:rPr>
              <w:t>Small footprint deployment comparison</w:t>
            </w:r>
          </w:p>
        </w:tc>
        <w:tc>
          <w:tcPr>
            <w:tcW w:type="dxa" w:w="3288"/>
            <w:vAlign w:val="center"/>
            <w:tcMar>
              <w:top w:w="95" w:type="dxa"/>
              <w:start w:w="95" w:type="dxa"/>
              <w:bottom w:w="95" w:type="dxa"/>
              <w:end w:w="95" w:type="dxa"/>
            </w:tcMar>
          </w:tcPr>
          <w:p>
            <w:pPr>
              <w:spacing w:after="0" w:before="0"/>
              <w:jc w:val="center"/>
            </w:pPr>
            <w:r/>
            <w:r>
              <w:rPr>
                <w:rFonts w:ascii="Aptos" w:hAnsi="Aptos"/>
                <w:b w:val="0"/>
                <w:color w:val="000000"/>
                <w:sz w:val="17"/>
              </w:rPr>
              <w:t>Historical official-test comparison</w:t>
            </w:r>
          </w:p>
        </w:tc>
      </w:tr>
      <w:tr>
        <w:tc>
          <w:tcPr>
            <w:tcW w:type="dxa" w:w="2381"/>
            <w:shd w:fill="F4F7FA"/>
            <w:vAlign w:val="center"/>
            <w:tcMar>
              <w:top w:w="95" w:type="dxa"/>
              <w:start w:w="95" w:type="dxa"/>
              <w:bottom w:w="95" w:type="dxa"/>
              <w:end w:w="95" w:type="dxa"/>
            </w:tcMar>
          </w:tcPr>
          <w:p>
            <w:pPr>
              <w:spacing w:after="0" w:before="0"/>
              <w:jc w:val="left"/>
            </w:pPr>
            <w:r/>
            <w:r>
              <w:rPr>
                <w:rFonts w:ascii="Aptos" w:hAnsi="Aptos"/>
                <w:b w:val="0"/>
                <w:color w:val="000000"/>
                <w:sz w:val="17"/>
              </w:rPr>
              <w:t>Autoencoder</w:t>
            </w:r>
          </w:p>
        </w:tc>
        <w:tc>
          <w:tcPr>
            <w:tcW w:type="dxa" w:w="3685"/>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Early-life reconstruction anomaly signal</w:t>
            </w:r>
          </w:p>
        </w:tc>
        <w:tc>
          <w:tcPr>
            <w:tcW w:type="dxa" w:w="3288"/>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Used for anomaly persistence and triage</w:t>
            </w:r>
          </w:p>
        </w:tc>
      </w:tr>
      <w:tr>
        <w:tc>
          <w:tcPr>
            <w:tcW w:type="dxa" w:w="2381"/>
            <w:vAlign w:val="center"/>
            <w:tcMar>
              <w:top w:w="95" w:type="dxa"/>
              <w:start w:w="95" w:type="dxa"/>
              <w:bottom w:w="95" w:type="dxa"/>
              <w:end w:w="95" w:type="dxa"/>
            </w:tcMar>
          </w:tcPr>
          <w:p>
            <w:pPr>
              <w:spacing w:after="0" w:before="0"/>
              <w:jc w:val="left"/>
            </w:pPr>
            <w:r/>
            <w:r>
              <w:rPr>
                <w:rFonts w:ascii="Aptos" w:hAnsi="Aptos"/>
                <w:b w:val="0"/>
                <w:color w:val="000000"/>
                <w:sz w:val="17"/>
              </w:rPr>
              <w:t>Hybrid TinyML plus autoencoder</w:t>
            </w:r>
          </w:p>
        </w:tc>
        <w:tc>
          <w:tcPr>
            <w:tcW w:type="dxa" w:w="3685"/>
            <w:vAlign w:val="center"/>
            <w:tcMar>
              <w:top w:w="95" w:type="dxa"/>
              <w:start w:w="95" w:type="dxa"/>
              <w:bottom w:w="95" w:type="dxa"/>
              <w:end w:w="95" w:type="dxa"/>
            </w:tcMar>
          </w:tcPr>
          <w:p>
            <w:pPr>
              <w:spacing w:after="0" w:before="0"/>
              <w:jc w:val="center"/>
            </w:pPr>
            <w:r/>
            <w:r>
              <w:rPr>
                <w:rFonts w:ascii="Aptos" w:hAnsi="Aptos"/>
                <w:b w:val="0"/>
                <w:color w:val="000000"/>
                <w:sz w:val="17"/>
              </w:rPr>
              <w:t>Joint RUL and anomaly comparison</w:t>
            </w:r>
          </w:p>
        </w:tc>
        <w:tc>
          <w:tcPr>
            <w:tcW w:type="dxa" w:w="3288"/>
            <w:vAlign w:val="center"/>
            <w:tcMar>
              <w:top w:w="95" w:type="dxa"/>
              <w:start w:w="95" w:type="dxa"/>
              <w:bottom w:w="95" w:type="dxa"/>
              <w:end w:w="95" w:type="dxa"/>
            </w:tcMar>
          </w:tcPr>
          <w:p>
            <w:pPr>
              <w:spacing w:after="0" w:before="0"/>
              <w:jc w:val="center"/>
            </w:pPr>
            <w:r/>
            <w:r>
              <w:rPr>
                <w:rFonts w:ascii="Aptos" w:hAnsi="Aptos"/>
                <w:b w:val="0"/>
                <w:color w:val="000000"/>
                <w:sz w:val="17"/>
              </w:rPr>
              <w:t>Historical deployment comparison</w:t>
            </w:r>
          </w:p>
        </w:tc>
      </w:tr>
      <w:tr>
        <w:tc>
          <w:tcPr>
            <w:tcW w:type="dxa" w:w="2381"/>
            <w:shd w:fill="F4F7FA"/>
            <w:vAlign w:val="center"/>
            <w:tcMar>
              <w:top w:w="95" w:type="dxa"/>
              <w:start w:w="95" w:type="dxa"/>
              <w:bottom w:w="95" w:type="dxa"/>
              <w:end w:w="95" w:type="dxa"/>
            </w:tcMar>
          </w:tcPr>
          <w:p>
            <w:pPr>
              <w:spacing w:after="0" w:before="0"/>
              <w:jc w:val="left"/>
            </w:pPr>
            <w:r/>
            <w:r>
              <w:rPr>
                <w:rFonts w:ascii="Aptos" w:hAnsi="Aptos"/>
                <w:b w:val="0"/>
                <w:color w:val="000000"/>
                <w:sz w:val="17"/>
              </w:rPr>
              <w:t>Random forest, ridge, mean</w:t>
            </w:r>
          </w:p>
        </w:tc>
        <w:tc>
          <w:tcPr>
            <w:tcW w:type="dxa" w:w="3685"/>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Classical baselines</w:t>
            </w:r>
          </w:p>
        </w:tc>
        <w:tc>
          <w:tcPr>
            <w:tcW w:type="dxa" w:w="3288"/>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Retained for benchmark context</w:t>
            </w:r>
          </w:p>
        </w:tc>
      </w:tr>
    </w:tbl>
    <w:p>
      <w:pPr>
        <w:spacing w:after="20"/>
      </w:pPr>
    </w:p>
    <w:p>
      <w:pPr>
        <w:spacing w:after="140" w:line="269" w:lineRule="auto"/>
      </w:pPr>
      <w:r>
        <w:rPr>
          <w:rFonts w:ascii="Aptos" w:hAnsi="Aptos"/>
          <w:sz w:val="20"/>
        </w:rPr>
        <w:t>The compact sequence study uses CPU-bounded settings: four threads, batch size 256, hidden width 16, a 20-epoch maximum, and validation early stopping. This kept training suitable for a 16 GB RAM laptop with integrated graphics.</w:t>
      </w:r>
    </w:p>
    <w:p>
      <w:pPr>
        <w:pStyle w:val="Heading1"/>
        <w:spacing w:before="240" w:after="100"/>
      </w:pPr>
      <w:r>
        <w:rPr>
          <w:rFonts w:ascii="Aptos Display" w:hAnsi="Aptos Display"/>
          <w:b/>
          <w:color w:val="000000"/>
          <w:sz w:val="30"/>
        </w:rPr>
        <w:t>4  Ablation and model comparison</w:t>
      </w:r>
    </w:p>
    <w:p>
      <w:pPr>
        <w:spacing w:after="140" w:line="269" w:lineRule="auto"/>
      </w:pPr>
      <w:r>
        <w:rPr>
          <w:rFonts w:ascii="Aptos" w:hAnsi="Aptos"/>
          <w:sz w:val="20"/>
        </w:rPr>
        <w:t>Label capping changed the most important behavior: validation PHM08 mean fell from 19.728 for the uncapped 5/20 control to 6.286 with a 125-cycle cap. The selected 10/30 feature variant reduced it again to 2.832.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8"/>
        <w:gridCol w:w="2028"/>
        <w:gridCol w:w="2028"/>
        <w:gridCol w:w="2028"/>
        <w:gridCol w:w="2028"/>
      </w:tblGrid>
      <w:tr>
        <w:trPr>
          <w:tblHeader w:val="true"/>
        </w:trPr>
        <w:tc>
          <w:tcPr>
            <w:tcW w:type="dxa" w:w="3855"/>
            <w:shd w:fill="17365D"/>
            <w:vAlign w:val="center"/>
            <w:tcMar>
              <w:top w:w="95" w:type="dxa"/>
              <w:start w:w="95" w:type="dxa"/>
              <w:bottom w:w="95" w:type="dxa"/>
              <w:end w:w="95" w:type="dxa"/>
            </w:tcMar>
          </w:tcPr>
          <w:p>
            <w:pPr>
              <w:spacing w:after="0" w:before="0"/>
              <w:jc w:val="center"/>
            </w:pPr>
            <w:r/>
            <w:r>
              <w:rPr>
                <w:rFonts w:ascii="Aptos" w:hAnsi="Aptos"/>
                <w:b/>
                <w:color w:val="FFFFFF"/>
                <w:sz w:val="17"/>
              </w:rPr>
              <w:t>Candidate</w:t>
            </w:r>
          </w:p>
        </w:tc>
        <w:tc>
          <w:tcPr>
            <w:tcW w:type="dxa" w:w="1701"/>
            <w:shd w:fill="17365D"/>
            <w:vAlign w:val="center"/>
            <w:tcMar>
              <w:top w:w="95" w:type="dxa"/>
              <w:start w:w="95" w:type="dxa"/>
              <w:bottom w:w="95" w:type="dxa"/>
              <w:end w:w="95" w:type="dxa"/>
            </w:tcMar>
          </w:tcPr>
          <w:p>
            <w:pPr>
              <w:spacing w:after="0" w:before="0"/>
              <w:jc w:val="center"/>
            </w:pPr>
            <w:r/>
            <w:r>
              <w:rPr>
                <w:rFonts w:ascii="Aptos" w:hAnsi="Aptos"/>
                <w:b/>
                <w:color w:val="FFFFFF"/>
                <w:sz w:val="17"/>
              </w:rPr>
              <w:t>Validation RMSE</w:t>
            </w:r>
          </w:p>
        </w:tc>
        <w:tc>
          <w:tcPr>
            <w:tcW w:type="dxa" w:w="1587"/>
            <w:shd w:fill="17365D"/>
            <w:vAlign w:val="center"/>
            <w:tcMar>
              <w:top w:w="95" w:type="dxa"/>
              <w:start w:w="95" w:type="dxa"/>
              <w:bottom w:w="95" w:type="dxa"/>
              <w:end w:w="95" w:type="dxa"/>
            </w:tcMar>
          </w:tcPr>
          <w:p>
            <w:pPr>
              <w:spacing w:after="0" w:before="0"/>
              <w:jc w:val="center"/>
            </w:pPr>
            <w:r/>
            <w:r>
              <w:rPr>
                <w:rFonts w:ascii="Aptos" w:hAnsi="Aptos"/>
                <w:b/>
                <w:color w:val="FFFFFF"/>
                <w:sz w:val="17"/>
              </w:rPr>
              <w:t>Validation MAE</w:t>
            </w:r>
          </w:p>
        </w:tc>
        <w:tc>
          <w:tcPr>
            <w:tcW w:type="dxa" w:w="1134"/>
            <w:shd w:fill="17365D"/>
            <w:vAlign w:val="center"/>
            <w:tcMar>
              <w:top w:w="95" w:type="dxa"/>
              <w:start w:w="95" w:type="dxa"/>
              <w:bottom w:w="95" w:type="dxa"/>
              <w:end w:w="95" w:type="dxa"/>
            </w:tcMar>
          </w:tcPr>
          <w:p>
            <w:pPr>
              <w:spacing w:after="0" w:before="0"/>
              <w:jc w:val="center"/>
            </w:pPr>
            <w:r/>
            <w:r>
              <w:rPr>
                <w:rFonts w:ascii="Aptos" w:hAnsi="Aptos"/>
                <w:b/>
                <w:color w:val="FFFFFF"/>
                <w:sz w:val="17"/>
              </w:rPr>
              <w:t>R²</w:t>
            </w:r>
          </w:p>
        </w:tc>
        <w:tc>
          <w:tcPr>
            <w:tcW w:type="dxa" w:w="1587"/>
            <w:shd w:fill="17365D"/>
            <w:vAlign w:val="center"/>
            <w:tcMar>
              <w:top w:w="95" w:type="dxa"/>
              <w:start w:w="95" w:type="dxa"/>
              <w:bottom w:w="95" w:type="dxa"/>
              <w:end w:w="95" w:type="dxa"/>
            </w:tcMar>
          </w:tcPr>
          <w:p>
            <w:pPr>
              <w:spacing w:after="0" w:before="0"/>
              <w:jc w:val="center"/>
            </w:pPr>
            <w:r/>
            <w:r>
              <w:rPr>
                <w:rFonts w:ascii="Aptos" w:hAnsi="Aptos"/>
                <w:b/>
                <w:color w:val="FFFFFF"/>
                <w:sz w:val="17"/>
              </w:rPr>
              <w:t>PHM08 mean</w:t>
            </w:r>
          </w:p>
        </w:tc>
      </w:tr>
      <w:tr>
        <w:tc>
          <w:tcPr>
            <w:tcW w:type="dxa" w:w="3855"/>
            <w:vAlign w:val="center"/>
            <w:tcMar>
              <w:top w:w="95" w:type="dxa"/>
              <w:start w:w="95" w:type="dxa"/>
              <w:bottom w:w="95" w:type="dxa"/>
              <w:end w:w="95" w:type="dxa"/>
            </w:tcMar>
          </w:tcPr>
          <w:p>
            <w:pPr>
              <w:spacing w:after="0" w:before="0"/>
              <w:jc w:val="left"/>
            </w:pPr>
            <w:r/>
            <w:r>
              <w:rPr>
                <w:rFonts w:ascii="Aptos" w:hAnsi="Aptos"/>
                <w:b w:val="0"/>
                <w:color w:val="000000"/>
                <w:sz w:val="17"/>
              </w:rPr>
              <w:t>HGB uncapped control, 5/20 features</w:t>
            </w:r>
          </w:p>
        </w:tc>
        <w:tc>
          <w:tcPr>
            <w:tcW w:type="dxa" w:w="1701"/>
            <w:vAlign w:val="center"/>
            <w:tcMar>
              <w:top w:w="95" w:type="dxa"/>
              <w:start w:w="95" w:type="dxa"/>
              <w:bottom w:w="95" w:type="dxa"/>
              <w:end w:w="95" w:type="dxa"/>
            </w:tcMar>
          </w:tcPr>
          <w:p>
            <w:pPr>
              <w:spacing w:after="0" w:before="0"/>
              <w:jc w:val="center"/>
            </w:pPr>
            <w:r/>
            <w:r>
              <w:rPr>
                <w:rFonts w:ascii="Aptos" w:hAnsi="Aptos"/>
                <w:b w:val="0"/>
                <w:color w:val="000000"/>
                <w:sz w:val="17"/>
              </w:rPr>
              <w:t>18.338</w:t>
            </w:r>
          </w:p>
        </w:tc>
        <w:tc>
          <w:tcPr>
            <w:tcW w:type="dxa" w:w="1587"/>
            <w:vAlign w:val="center"/>
            <w:tcMar>
              <w:top w:w="95" w:type="dxa"/>
              <w:start w:w="95" w:type="dxa"/>
              <w:bottom w:w="95" w:type="dxa"/>
              <w:end w:w="95" w:type="dxa"/>
            </w:tcMar>
          </w:tcPr>
          <w:p>
            <w:pPr>
              <w:spacing w:after="0" w:before="0"/>
              <w:jc w:val="center"/>
            </w:pPr>
            <w:r/>
            <w:r>
              <w:rPr>
                <w:rFonts w:ascii="Aptos" w:hAnsi="Aptos"/>
                <w:b w:val="0"/>
                <w:color w:val="000000"/>
                <w:sz w:val="17"/>
              </w:rPr>
              <w:t>12.409</w:t>
            </w:r>
          </w:p>
        </w:tc>
        <w:tc>
          <w:tcPr>
            <w:tcW w:type="dxa" w:w="1134"/>
            <w:vAlign w:val="center"/>
            <w:tcMar>
              <w:top w:w="95" w:type="dxa"/>
              <w:start w:w="95" w:type="dxa"/>
              <w:bottom w:w="95" w:type="dxa"/>
              <w:end w:w="95" w:type="dxa"/>
            </w:tcMar>
          </w:tcPr>
          <w:p>
            <w:pPr>
              <w:spacing w:after="0" w:before="0"/>
              <w:jc w:val="center"/>
            </w:pPr>
            <w:r/>
            <w:r>
              <w:rPr>
                <w:rFonts w:ascii="Aptos" w:hAnsi="Aptos"/>
                <w:b w:val="0"/>
                <w:color w:val="000000"/>
                <w:sz w:val="17"/>
              </w:rPr>
              <w:t>0.747</w:t>
            </w:r>
          </w:p>
        </w:tc>
        <w:tc>
          <w:tcPr>
            <w:tcW w:type="dxa" w:w="1587"/>
            <w:vAlign w:val="center"/>
            <w:tcMar>
              <w:top w:w="95" w:type="dxa"/>
              <w:start w:w="95" w:type="dxa"/>
              <w:bottom w:w="95" w:type="dxa"/>
              <w:end w:w="95" w:type="dxa"/>
            </w:tcMar>
          </w:tcPr>
          <w:p>
            <w:pPr>
              <w:spacing w:after="0" w:before="0"/>
              <w:jc w:val="center"/>
            </w:pPr>
            <w:r/>
            <w:r>
              <w:rPr>
                <w:rFonts w:ascii="Aptos" w:hAnsi="Aptos"/>
                <w:b w:val="0"/>
                <w:color w:val="000000"/>
                <w:sz w:val="17"/>
              </w:rPr>
              <w:t>19.728</w:t>
            </w:r>
          </w:p>
        </w:tc>
      </w:tr>
      <w:tr>
        <w:tc>
          <w:tcPr>
            <w:tcW w:type="dxa" w:w="3855"/>
            <w:shd w:fill="F4F7FA"/>
            <w:vAlign w:val="center"/>
            <w:tcMar>
              <w:top w:w="95" w:type="dxa"/>
              <w:start w:w="95" w:type="dxa"/>
              <w:bottom w:w="95" w:type="dxa"/>
              <w:end w:w="95" w:type="dxa"/>
            </w:tcMar>
          </w:tcPr>
          <w:p>
            <w:pPr>
              <w:spacing w:after="0" w:before="0"/>
              <w:jc w:val="left"/>
            </w:pPr>
            <w:r/>
            <w:r>
              <w:rPr>
                <w:rFonts w:ascii="Aptos" w:hAnsi="Aptos"/>
                <w:b w:val="0"/>
                <w:color w:val="000000"/>
                <w:sz w:val="17"/>
              </w:rPr>
              <w:t>HGB cap 125, 5/20 features</w:t>
            </w:r>
          </w:p>
        </w:tc>
        <w:tc>
          <w:tcPr>
            <w:tcW w:type="dxa" w:w="1701"/>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16.417</w:t>
            </w:r>
          </w:p>
        </w:tc>
        <w:tc>
          <w:tcPr>
            <w:tcW w:type="dxa" w:w="1587"/>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11.510</w:t>
            </w:r>
          </w:p>
        </w:tc>
        <w:tc>
          <w:tcPr>
            <w:tcW w:type="dxa" w:w="1134"/>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0.797</w:t>
            </w:r>
          </w:p>
        </w:tc>
        <w:tc>
          <w:tcPr>
            <w:tcW w:type="dxa" w:w="1587"/>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6.286</w:t>
            </w:r>
          </w:p>
        </w:tc>
      </w:tr>
      <w:tr>
        <w:tc>
          <w:tcPr>
            <w:tcW w:type="dxa" w:w="3855"/>
            <w:vAlign w:val="center"/>
            <w:tcMar>
              <w:top w:w="95" w:type="dxa"/>
              <w:start w:w="95" w:type="dxa"/>
              <w:bottom w:w="95" w:type="dxa"/>
              <w:end w:w="95" w:type="dxa"/>
            </w:tcMar>
          </w:tcPr>
          <w:p>
            <w:pPr>
              <w:spacing w:after="0" w:before="0"/>
              <w:jc w:val="left"/>
            </w:pPr>
            <w:r/>
            <w:r>
              <w:rPr>
                <w:rFonts w:ascii="Aptos" w:hAnsi="Aptos"/>
                <w:b w:val="0"/>
                <w:color w:val="000000"/>
                <w:sz w:val="17"/>
              </w:rPr>
              <w:t>HGB cap 125, 10/30 features - selected</w:t>
            </w:r>
          </w:p>
        </w:tc>
        <w:tc>
          <w:tcPr>
            <w:tcW w:type="dxa" w:w="1701"/>
            <w:vAlign w:val="center"/>
            <w:tcMar>
              <w:top w:w="95" w:type="dxa"/>
              <w:start w:w="95" w:type="dxa"/>
              <w:bottom w:w="95" w:type="dxa"/>
              <w:end w:w="95" w:type="dxa"/>
            </w:tcMar>
          </w:tcPr>
          <w:p>
            <w:pPr>
              <w:spacing w:after="0" w:before="0"/>
              <w:jc w:val="center"/>
            </w:pPr>
            <w:r/>
            <w:r>
              <w:rPr>
                <w:rFonts w:ascii="Aptos" w:hAnsi="Aptos"/>
                <w:b w:val="0"/>
                <w:color w:val="000000"/>
                <w:sz w:val="17"/>
              </w:rPr>
              <w:t>12.773</w:t>
            </w:r>
          </w:p>
        </w:tc>
        <w:tc>
          <w:tcPr>
            <w:tcW w:type="dxa" w:w="1587"/>
            <w:vAlign w:val="center"/>
            <w:tcMar>
              <w:top w:w="95" w:type="dxa"/>
              <w:start w:w="95" w:type="dxa"/>
              <w:bottom w:w="95" w:type="dxa"/>
              <w:end w:w="95" w:type="dxa"/>
            </w:tcMar>
          </w:tcPr>
          <w:p>
            <w:pPr>
              <w:spacing w:after="0" w:before="0"/>
              <w:jc w:val="center"/>
            </w:pPr>
            <w:r/>
            <w:r>
              <w:rPr>
                <w:rFonts w:ascii="Aptos" w:hAnsi="Aptos"/>
                <w:b w:val="0"/>
                <w:color w:val="000000"/>
                <w:sz w:val="17"/>
              </w:rPr>
              <w:t>8.609</w:t>
            </w:r>
          </w:p>
        </w:tc>
        <w:tc>
          <w:tcPr>
            <w:tcW w:type="dxa" w:w="1134"/>
            <w:vAlign w:val="center"/>
            <w:tcMar>
              <w:top w:w="95" w:type="dxa"/>
              <w:start w:w="95" w:type="dxa"/>
              <w:bottom w:w="95" w:type="dxa"/>
              <w:end w:w="95" w:type="dxa"/>
            </w:tcMar>
          </w:tcPr>
          <w:p>
            <w:pPr>
              <w:spacing w:after="0" w:before="0"/>
              <w:jc w:val="center"/>
            </w:pPr>
            <w:r/>
            <w:r>
              <w:rPr>
                <w:rFonts w:ascii="Aptos" w:hAnsi="Aptos"/>
                <w:b w:val="0"/>
                <w:color w:val="000000"/>
                <w:sz w:val="17"/>
              </w:rPr>
              <w:t>0.877</w:t>
            </w:r>
          </w:p>
        </w:tc>
        <w:tc>
          <w:tcPr>
            <w:tcW w:type="dxa" w:w="1587"/>
            <w:vAlign w:val="center"/>
            <w:tcMar>
              <w:top w:w="95" w:type="dxa"/>
              <w:start w:w="95" w:type="dxa"/>
              <w:bottom w:w="95" w:type="dxa"/>
              <w:end w:w="95" w:type="dxa"/>
            </w:tcMar>
          </w:tcPr>
          <w:p>
            <w:pPr>
              <w:spacing w:after="0" w:before="0"/>
              <w:jc w:val="center"/>
            </w:pPr>
            <w:r/>
            <w:r>
              <w:rPr>
                <w:rFonts w:ascii="Aptos" w:hAnsi="Aptos"/>
                <w:b w:val="0"/>
                <w:color w:val="000000"/>
                <w:sz w:val="17"/>
              </w:rPr>
              <w:t>2.832</w:t>
            </w:r>
          </w:p>
        </w:tc>
      </w:tr>
      <w:tr>
        <w:tc>
          <w:tcPr>
            <w:tcW w:type="dxa" w:w="3855"/>
            <w:shd w:fill="F4F7FA"/>
            <w:vAlign w:val="center"/>
            <w:tcMar>
              <w:top w:w="95" w:type="dxa"/>
              <w:start w:w="95" w:type="dxa"/>
              <w:bottom w:w="95" w:type="dxa"/>
              <w:end w:w="95" w:type="dxa"/>
            </w:tcMar>
          </w:tcPr>
          <w:p>
            <w:pPr>
              <w:spacing w:after="0" w:before="0"/>
              <w:jc w:val="left"/>
            </w:pPr>
            <w:r/>
            <w:r>
              <w:rPr>
                <w:rFonts w:ascii="Aptos" w:hAnsi="Aptos"/>
                <w:b w:val="0"/>
                <w:color w:val="000000"/>
                <w:sz w:val="17"/>
              </w:rPr>
              <w:t>Compact CNN-LSTM</w:t>
            </w:r>
          </w:p>
        </w:tc>
        <w:tc>
          <w:tcPr>
            <w:tcW w:type="dxa" w:w="1701"/>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16.199</w:t>
            </w:r>
          </w:p>
        </w:tc>
        <w:tc>
          <w:tcPr>
            <w:tcW w:type="dxa" w:w="1587"/>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12.488</w:t>
            </w:r>
          </w:p>
        </w:tc>
        <w:tc>
          <w:tcPr>
            <w:tcW w:type="dxa" w:w="1134"/>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0.803</w:t>
            </w:r>
          </w:p>
        </w:tc>
        <w:tc>
          <w:tcPr>
            <w:tcW w:type="dxa" w:w="1587"/>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4.010</w:t>
            </w:r>
          </w:p>
        </w:tc>
      </w:tr>
      <w:tr>
        <w:tc>
          <w:tcPr>
            <w:tcW w:type="dxa" w:w="3855"/>
            <w:vAlign w:val="center"/>
            <w:tcMar>
              <w:top w:w="95" w:type="dxa"/>
              <w:start w:w="95" w:type="dxa"/>
              <w:bottom w:w="95" w:type="dxa"/>
              <w:end w:w="95" w:type="dxa"/>
            </w:tcMar>
          </w:tcPr>
          <w:p>
            <w:pPr>
              <w:spacing w:after="0" w:before="0"/>
              <w:jc w:val="left"/>
            </w:pPr>
            <w:r/>
            <w:r>
              <w:rPr>
                <w:rFonts w:ascii="Aptos" w:hAnsi="Aptos"/>
                <w:b w:val="0"/>
                <w:color w:val="000000"/>
                <w:sz w:val="17"/>
              </w:rPr>
              <w:t>Compact CNN</w:t>
            </w:r>
          </w:p>
        </w:tc>
        <w:tc>
          <w:tcPr>
            <w:tcW w:type="dxa" w:w="1701"/>
            <w:vAlign w:val="center"/>
            <w:tcMar>
              <w:top w:w="95" w:type="dxa"/>
              <w:start w:w="95" w:type="dxa"/>
              <w:bottom w:w="95" w:type="dxa"/>
              <w:end w:w="95" w:type="dxa"/>
            </w:tcMar>
          </w:tcPr>
          <w:p>
            <w:pPr>
              <w:spacing w:after="0" w:before="0"/>
              <w:jc w:val="center"/>
            </w:pPr>
            <w:r/>
            <w:r>
              <w:rPr>
                <w:rFonts w:ascii="Aptos" w:hAnsi="Aptos"/>
                <w:b w:val="0"/>
                <w:color w:val="000000"/>
                <w:sz w:val="17"/>
              </w:rPr>
              <w:t>17.525</w:t>
            </w:r>
          </w:p>
        </w:tc>
        <w:tc>
          <w:tcPr>
            <w:tcW w:type="dxa" w:w="1587"/>
            <w:vAlign w:val="center"/>
            <w:tcMar>
              <w:top w:w="95" w:type="dxa"/>
              <w:start w:w="95" w:type="dxa"/>
              <w:bottom w:w="95" w:type="dxa"/>
              <w:end w:w="95" w:type="dxa"/>
            </w:tcMar>
          </w:tcPr>
          <w:p>
            <w:pPr>
              <w:spacing w:after="0" w:before="0"/>
              <w:jc w:val="center"/>
            </w:pPr>
            <w:r/>
            <w:r>
              <w:rPr>
                <w:rFonts w:ascii="Aptos" w:hAnsi="Aptos"/>
                <w:b w:val="0"/>
                <w:color w:val="000000"/>
                <w:sz w:val="17"/>
              </w:rPr>
              <w:t>13.251</w:t>
            </w:r>
          </w:p>
        </w:tc>
        <w:tc>
          <w:tcPr>
            <w:tcW w:type="dxa" w:w="1134"/>
            <w:vAlign w:val="center"/>
            <w:tcMar>
              <w:top w:w="95" w:type="dxa"/>
              <w:start w:w="95" w:type="dxa"/>
              <w:bottom w:w="95" w:type="dxa"/>
              <w:end w:w="95" w:type="dxa"/>
            </w:tcMar>
          </w:tcPr>
          <w:p>
            <w:pPr>
              <w:spacing w:after="0" w:before="0"/>
              <w:jc w:val="center"/>
            </w:pPr>
            <w:r/>
            <w:r>
              <w:rPr>
                <w:rFonts w:ascii="Aptos" w:hAnsi="Aptos"/>
                <w:b w:val="0"/>
                <w:color w:val="000000"/>
                <w:sz w:val="17"/>
              </w:rPr>
              <w:t>0.769</w:t>
            </w:r>
          </w:p>
        </w:tc>
        <w:tc>
          <w:tcPr>
            <w:tcW w:type="dxa" w:w="1587"/>
            <w:vAlign w:val="center"/>
            <w:tcMar>
              <w:top w:w="95" w:type="dxa"/>
              <w:start w:w="95" w:type="dxa"/>
              <w:bottom w:w="95" w:type="dxa"/>
              <w:end w:w="95" w:type="dxa"/>
            </w:tcMar>
          </w:tcPr>
          <w:p>
            <w:pPr>
              <w:spacing w:after="0" w:before="0"/>
              <w:jc w:val="center"/>
            </w:pPr>
            <w:r/>
            <w:r>
              <w:rPr>
                <w:rFonts w:ascii="Aptos" w:hAnsi="Aptos"/>
                <w:b w:val="0"/>
                <w:color w:val="000000"/>
                <w:sz w:val="17"/>
              </w:rPr>
              <w:t>5.428</w:t>
            </w:r>
          </w:p>
        </w:tc>
      </w:tr>
      <w:tr>
        <w:tc>
          <w:tcPr>
            <w:tcW w:type="dxa" w:w="3855"/>
            <w:shd w:fill="F4F7FA"/>
            <w:vAlign w:val="center"/>
            <w:tcMar>
              <w:top w:w="95" w:type="dxa"/>
              <w:start w:w="95" w:type="dxa"/>
              <w:bottom w:w="95" w:type="dxa"/>
              <w:end w:w="95" w:type="dxa"/>
            </w:tcMar>
          </w:tcPr>
          <w:p>
            <w:pPr>
              <w:spacing w:after="0" w:before="0"/>
              <w:jc w:val="left"/>
            </w:pPr>
            <w:r/>
            <w:r>
              <w:rPr>
                <w:rFonts w:ascii="Aptos" w:hAnsi="Aptos"/>
                <w:b w:val="0"/>
                <w:color w:val="000000"/>
                <w:sz w:val="17"/>
              </w:rPr>
              <w:t>Compact LSTM</w:t>
            </w:r>
          </w:p>
        </w:tc>
        <w:tc>
          <w:tcPr>
            <w:tcW w:type="dxa" w:w="1701"/>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18.592</w:t>
            </w:r>
          </w:p>
        </w:tc>
        <w:tc>
          <w:tcPr>
            <w:tcW w:type="dxa" w:w="1587"/>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13.844</w:t>
            </w:r>
          </w:p>
        </w:tc>
        <w:tc>
          <w:tcPr>
            <w:tcW w:type="dxa" w:w="1134"/>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0.740</w:t>
            </w:r>
          </w:p>
        </w:tc>
        <w:tc>
          <w:tcPr>
            <w:tcW w:type="dxa" w:w="1587"/>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9.125</w:t>
            </w:r>
          </w:p>
        </w:tc>
      </w:tr>
    </w:tbl>
    <w:p>
      <w:pPr>
        <w:spacing w:after="20"/>
      </w:pPr>
    </w:p>
    <w:p>
      <w:pPr>
        <w:spacing w:before="100" w:after="40"/>
        <w:jc w:val="center"/>
      </w:pPr>
      <w:r>
        <w:drawing>
          <wp:inline xmlns:a="http://schemas.openxmlformats.org/drawingml/2006/main" xmlns:pic="http://schemas.openxmlformats.org/drawingml/2006/picture">
            <wp:extent cx="5806440" cy="1935480"/>
            <wp:docPr id="1" name="Picture 1"/>
            <wp:cNvGraphicFramePr>
              <a:graphicFrameLocks noChangeAspect="1"/>
            </wp:cNvGraphicFramePr>
            <a:graphic>
              <a:graphicData uri="http://schemas.openxmlformats.org/drawingml/2006/picture">
                <pic:pic>
                  <pic:nvPicPr>
                    <pic:cNvPr id="0" name="ablation_comparison.png"/>
                    <pic:cNvPicPr/>
                  </pic:nvPicPr>
                  <pic:blipFill>
                    <a:blip r:embed="rId10"/>
                    <a:stretch>
                      <a:fillRect/>
                    </a:stretch>
                  </pic:blipFill>
                  <pic:spPr>
                    <a:xfrm>
                      <a:off x="0" y="0"/>
                      <a:ext cx="5806440" cy="1935480"/>
                    </a:xfrm>
                    <a:prstGeom prst="rect"/>
                  </pic:spPr>
                </pic:pic>
              </a:graphicData>
            </a:graphic>
          </wp:inline>
        </w:drawing>
      </w:r>
    </w:p>
    <w:p>
      <w:pPr>
        <w:spacing w:after="120"/>
        <w:jc w:val="center"/>
      </w:pPr>
      <w:r>
        <w:rPr>
          <w:i/>
          <w:sz w:val="17"/>
        </w:rPr>
        <w:t>Figure 1. Validation ablation comparison. Lower values are better.</w:t>
      </w:r>
    </w:p>
    <w:p>
      <w:pPr>
        <w:pStyle w:val="Heading1"/>
        <w:spacing w:before="240" w:after="100"/>
      </w:pPr>
      <w:r>
        <w:rPr>
          <w:rFonts w:ascii="Aptos Display" w:hAnsi="Aptos Display"/>
          <w:b/>
          <w:color w:val="000000"/>
          <w:sz w:val="30"/>
        </w:rPr>
        <w:t>5  Official test result and error profile</w:t>
      </w:r>
    </w:p>
    <w:p>
      <w:pPr>
        <w:spacing w:after="140" w:line="269" w:lineRule="auto"/>
      </w:pPr>
      <w:r>
        <w:rPr>
          <w:rFonts w:ascii="Aptos" w:hAnsi="Aptos"/>
          <w:sz w:val="20"/>
        </w:rPr>
        <w:t>After selection, the HGB model was retrained using all 100 FD001 training engines. It was evaluated once against the 100 official test endpoints. The near-zero bias and balanced direction counts indicate no material systematic over- or under-estimation in this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5"/>
        <w:gridCol w:w="2535"/>
        <w:gridCol w:w="2535"/>
        <w:gridCol w:w="2535"/>
      </w:tblGrid>
      <w:tr>
        <w:trPr>
          <w:tblHeader w:val="true"/>
        </w:trPr>
        <w:tc>
          <w:tcPr>
            <w:tcW w:type="dxa" w:w="2551"/>
            <w:shd w:fill="17365D"/>
            <w:vAlign w:val="center"/>
            <w:tcMar>
              <w:top w:w="95" w:type="dxa"/>
              <w:start w:w="95" w:type="dxa"/>
              <w:bottom w:w="95" w:type="dxa"/>
              <w:end w:w="95" w:type="dxa"/>
            </w:tcMar>
          </w:tcPr>
          <w:p>
            <w:pPr>
              <w:spacing w:after="0" w:before="0"/>
              <w:jc w:val="center"/>
            </w:pPr>
            <w:r/>
            <w:r>
              <w:rPr>
                <w:rFonts w:ascii="Aptos" w:hAnsi="Aptos"/>
                <w:b/>
                <w:color w:val="FFFFFF"/>
                <w:sz w:val="17"/>
              </w:rPr>
              <w:t>Metric</w:t>
            </w:r>
          </w:p>
        </w:tc>
        <w:tc>
          <w:tcPr>
            <w:tcW w:type="dxa" w:w="1928"/>
            <w:shd w:fill="17365D"/>
            <w:vAlign w:val="center"/>
            <w:tcMar>
              <w:top w:w="95" w:type="dxa"/>
              <w:start w:w="95" w:type="dxa"/>
              <w:bottom w:w="95" w:type="dxa"/>
              <w:end w:w="95" w:type="dxa"/>
            </w:tcMar>
          </w:tcPr>
          <w:p>
            <w:pPr>
              <w:spacing w:after="0" w:before="0"/>
              <w:jc w:val="center"/>
            </w:pPr>
            <w:r/>
            <w:r>
              <w:rPr>
                <w:rFonts w:ascii="Aptos" w:hAnsi="Aptos"/>
                <w:b/>
                <w:color w:val="FFFFFF"/>
                <w:sz w:val="17"/>
              </w:rPr>
              <w:t>Value</w:t>
            </w:r>
          </w:p>
        </w:tc>
        <w:tc>
          <w:tcPr>
            <w:tcW w:type="dxa" w:w="2835"/>
            <w:shd w:fill="17365D"/>
            <w:vAlign w:val="center"/>
            <w:tcMar>
              <w:top w:w="95" w:type="dxa"/>
              <w:start w:w="95" w:type="dxa"/>
              <w:bottom w:w="95" w:type="dxa"/>
              <w:end w:w="95" w:type="dxa"/>
            </w:tcMar>
          </w:tcPr>
          <w:p>
            <w:pPr>
              <w:spacing w:after="0" w:before="0"/>
              <w:jc w:val="center"/>
            </w:pPr>
            <w:r/>
            <w:r>
              <w:rPr>
                <w:rFonts w:ascii="Aptos" w:hAnsi="Aptos"/>
                <w:b/>
                <w:color w:val="FFFFFF"/>
                <w:sz w:val="17"/>
              </w:rPr>
              <w:t>Metric</w:t>
            </w:r>
          </w:p>
        </w:tc>
        <w:tc>
          <w:tcPr>
            <w:tcW w:type="dxa" w:w="2211"/>
            <w:shd w:fill="17365D"/>
            <w:vAlign w:val="center"/>
            <w:tcMar>
              <w:top w:w="95" w:type="dxa"/>
              <w:start w:w="95" w:type="dxa"/>
              <w:bottom w:w="95" w:type="dxa"/>
              <w:end w:w="95" w:type="dxa"/>
            </w:tcMar>
          </w:tcPr>
          <w:p>
            <w:pPr>
              <w:spacing w:after="0" w:before="0"/>
              <w:jc w:val="center"/>
            </w:pPr>
            <w:r/>
            <w:r>
              <w:rPr>
                <w:rFonts w:ascii="Aptos" w:hAnsi="Aptos"/>
                <w:b/>
                <w:color w:val="FFFFFF"/>
                <w:sz w:val="17"/>
              </w:rPr>
              <w:t>Value</w:t>
            </w:r>
          </w:p>
        </w:tc>
      </w:tr>
      <w:tr>
        <w:tc>
          <w:tcPr>
            <w:tcW w:type="dxa" w:w="2551"/>
            <w:vAlign w:val="center"/>
            <w:tcMar>
              <w:top w:w="95" w:type="dxa"/>
              <w:start w:w="95" w:type="dxa"/>
              <w:bottom w:w="95" w:type="dxa"/>
              <w:end w:w="95" w:type="dxa"/>
            </w:tcMar>
          </w:tcPr>
          <w:p>
            <w:pPr>
              <w:spacing w:after="0" w:before="0"/>
              <w:jc w:val="left"/>
            </w:pPr>
            <w:r/>
            <w:r>
              <w:rPr>
                <w:rFonts w:ascii="Aptos" w:hAnsi="Aptos"/>
                <w:b w:val="0"/>
                <w:color w:val="000000"/>
                <w:sz w:val="17"/>
              </w:rPr>
              <w:t>RMSE</w:t>
            </w:r>
          </w:p>
        </w:tc>
        <w:tc>
          <w:tcPr>
            <w:tcW w:type="dxa" w:w="1928"/>
            <w:vAlign w:val="center"/>
            <w:tcMar>
              <w:top w:w="95" w:type="dxa"/>
              <w:start w:w="95" w:type="dxa"/>
              <w:bottom w:w="95" w:type="dxa"/>
              <w:end w:w="95" w:type="dxa"/>
            </w:tcMar>
          </w:tcPr>
          <w:p>
            <w:pPr>
              <w:spacing w:after="0" w:before="0"/>
              <w:jc w:val="center"/>
            </w:pPr>
            <w:r/>
            <w:r>
              <w:rPr>
                <w:rFonts w:ascii="Aptos" w:hAnsi="Aptos"/>
                <w:b w:val="0"/>
                <w:color w:val="000000"/>
                <w:sz w:val="17"/>
              </w:rPr>
              <w:t>13.532</w:t>
            </w:r>
          </w:p>
        </w:tc>
        <w:tc>
          <w:tcPr>
            <w:tcW w:type="dxa" w:w="2835"/>
            <w:vAlign w:val="center"/>
            <w:tcMar>
              <w:top w:w="95" w:type="dxa"/>
              <w:start w:w="95" w:type="dxa"/>
              <w:bottom w:w="95" w:type="dxa"/>
              <w:end w:w="95" w:type="dxa"/>
            </w:tcMar>
          </w:tcPr>
          <w:p>
            <w:pPr>
              <w:spacing w:after="0" w:before="0"/>
              <w:jc w:val="center"/>
            </w:pPr>
            <w:r/>
            <w:r>
              <w:rPr>
                <w:rFonts w:ascii="Aptos" w:hAnsi="Aptos"/>
                <w:b w:val="0"/>
                <w:color w:val="000000"/>
                <w:sz w:val="17"/>
              </w:rPr>
              <w:t>MAE</w:t>
            </w:r>
          </w:p>
        </w:tc>
        <w:tc>
          <w:tcPr>
            <w:tcW w:type="dxa" w:w="2211"/>
            <w:vAlign w:val="center"/>
            <w:tcMar>
              <w:top w:w="95" w:type="dxa"/>
              <w:start w:w="95" w:type="dxa"/>
              <w:bottom w:w="95" w:type="dxa"/>
              <w:end w:w="95" w:type="dxa"/>
            </w:tcMar>
          </w:tcPr>
          <w:p>
            <w:pPr>
              <w:spacing w:after="0" w:before="0"/>
              <w:jc w:val="center"/>
            </w:pPr>
            <w:r/>
            <w:r>
              <w:rPr>
                <w:rFonts w:ascii="Aptos" w:hAnsi="Aptos"/>
                <w:b w:val="0"/>
                <w:color w:val="000000"/>
                <w:sz w:val="17"/>
              </w:rPr>
              <w:t>9.799</w:t>
            </w:r>
          </w:p>
        </w:tc>
      </w:tr>
      <w:tr>
        <w:tc>
          <w:tcPr>
            <w:tcW w:type="dxa" w:w="2551"/>
            <w:shd w:fill="F4F7FA"/>
            <w:vAlign w:val="center"/>
            <w:tcMar>
              <w:top w:w="95" w:type="dxa"/>
              <w:start w:w="95" w:type="dxa"/>
              <w:bottom w:w="95" w:type="dxa"/>
              <w:end w:w="95" w:type="dxa"/>
            </w:tcMar>
          </w:tcPr>
          <w:p>
            <w:pPr>
              <w:spacing w:after="0" w:before="0"/>
              <w:jc w:val="left"/>
            </w:pPr>
            <w:r/>
            <w:r>
              <w:rPr>
                <w:rFonts w:ascii="Aptos" w:hAnsi="Aptos"/>
                <w:b w:val="0"/>
                <w:color w:val="000000"/>
                <w:sz w:val="17"/>
              </w:rPr>
              <w:t>R²</w:t>
            </w:r>
          </w:p>
        </w:tc>
        <w:tc>
          <w:tcPr>
            <w:tcW w:type="dxa" w:w="1928"/>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0.894</w:t>
            </w:r>
          </w:p>
        </w:tc>
        <w:tc>
          <w:tcPr>
            <w:tcW w:type="dxa" w:w="2835"/>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PHM08 sum</w:t>
            </w:r>
          </w:p>
        </w:tc>
        <w:tc>
          <w:tcPr>
            <w:tcW w:type="dxa" w:w="2211"/>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285.222</w:t>
            </w:r>
          </w:p>
        </w:tc>
      </w:tr>
      <w:tr>
        <w:tc>
          <w:tcPr>
            <w:tcW w:type="dxa" w:w="2551"/>
            <w:vAlign w:val="center"/>
            <w:tcMar>
              <w:top w:w="95" w:type="dxa"/>
              <w:start w:w="95" w:type="dxa"/>
              <w:bottom w:w="95" w:type="dxa"/>
              <w:end w:w="95" w:type="dxa"/>
            </w:tcMar>
          </w:tcPr>
          <w:p>
            <w:pPr>
              <w:spacing w:after="0" w:before="0"/>
              <w:jc w:val="left"/>
            </w:pPr>
            <w:r/>
            <w:r>
              <w:rPr>
                <w:rFonts w:ascii="Aptos" w:hAnsi="Aptos"/>
                <w:b w:val="0"/>
                <w:color w:val="000000"/>
                <w:sz w:val="17"/>
              </w:rPr>
              <w:t>PHM08 mean</w:t>
            </w:r>
          </w:p>
        </w:tc>
        <w:tc>
          <w:tcPr>
            <w:tcW w:type="dxa" w:w="1928"/>
            <w:vAlign w:val="center"/>
            <w:tcMar>
              <w:top w:w="95" w:type="dxa"/>
              <w:start w:w="95" w:type="dxa"/>
              <w:bottom w:w="95" w:type="dxa"/>
              <w:end w:w="95" w:type="dxa"/>
            </w:tcMar>
          </w:tcPr>
          <w:p>
            <w:pPr>
              <w:spacing w:after="0" w:before="0"/>
              <w:jc w:val="center"/>
            </w:pPr>
            <w:r/>
            <w:r>
              <w:rPr>
                <w:rFonts w:ascii="Aptos" w:hAnsi="Aptos"/>
                <w:b w:val="0"/>
                <w:color w:val="000000"/>
                <w:sz w:val="17"/>
              </w:rPr>
              <w:t>2.852</w:t>
            </w:r>
          </w:p>
        </w:tc>
        <w:tc>
          <w:tcPr>
            <w:tcW w:type="dxa" w:w="2835"/>
            <w:vAlign w:val="center"/>
            <w:tcMar>
              <w:top w:w="95" w:type="dxa"/>
              <w:start w:w="95" w:type="dxa"/>
              <w:bottom w:w="95" w:type="dxa"/>
              <w:end w:w="95" w:type="dxa"/>
            </w:tcMar>
          </w:tcPr>
          <w:p>
            <w:pPr>
              <w:spacing w:after="0" w:before="0"/>
              <w:jc w:val="center"/>
            </w:pPr>
            <w:r/>
            <w:r>
              <w:rPr>
                <w:rFonts w:ascii="Aptos" w:hAnsi="Aptos"/>
                <w:b w:val="0"/>
                <w:color w:val="000000"/>
                <w:sz w:val="17"/>
              </w:rPr>
              <w:t>Bias, prediction minus actual</w:t>
            </w:r>
          </w:p>
        </w:tc>
        <w:tc>
          <w:tcPr>
            <w:tcW w:type="dxa" w:w="2211"/>
            <w:vAlign w:val="center"/>
            <w:tcMar>
              <w:top w:w="95" w:type="dxa"/>
              <w:start w:w="95" w:type="dxa"/>
              <w:bottom w:w="95" w:type="dxa"/>
              <w:end w:w="95" w:type="dxa"/>
            </w:tcMar>
          </w:tcPr>
          <w:p>
            <w:pPr>
              <w:spacing w:after="0" w:before="0"/>
              <w:jc w:val="center"/>
            </w:pPr>
            <w:r/>
            <w:r>
              <w:rPr>
                <w:rFonts w:ascii="Aptos" w:hAnsi="Aptos"/>
                <w:b w:val="0"/>
                <w:color w:val="000000"/>
                <w:sz w:val="17"/>
              </w:rPr>
              <w:t>0.157 cycles</w:t>
            </w:r>
          </w:p>
        </w:tc>
      </w:tr>
      <w:tr>
        <w:tc>
          <w:tcPr>
            <w:tcW w:type="dxa" w:w="2551"/>
            <w:shd w:fill="F4F7FA"/>
            <w:vAlign w:val="center"/>
            <w:tcMar>
              <w:top w:w="95" w:type="dxa"/>
              <w:start w:w="95" w:type="dxa"/>
              <w:bottom w:w="95" w:type="dxa"/>
              <w:end w:w="95" w:type="dxa"/>
            </w:tcMar>
          </w:tcPr>
          <w:p>
            <w:pPr>
              <w:spacing w:after="0" w:before="0"/>
              <w:jc w:val="left"/>
            </w:pPr>
            <w:r/>
            <w:r>
              <w:rPr>
                <w:rFonts w:ascii="Aptos" w:hAnsi="Aptos"/>
                <w:b w:val="0"/>
                <w:color w:val="000000"/>
                <w:sz w:val="17"/>
              </w:rPr>
              <w:t>P90 absolute error</w:t>
            </w:r>
          </w:p>
        </w:tc>
        <w:tc>
          <w:tcPr>
            <w:tcW w:type="dxa" w:w="1928"/>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24.135 cycles</w:t>
            </w:r>
          </w:p>
        </w:tc>
        <w:tc>
          <w:tcPr>
            <w:tcW w:type="dxa" w:w="2835"/>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Maximum absolute error</w:t>
            </w:r>
          </w:p>
        </w:tc>
        <w:tc>
          <w:tcPr>
            <w:tcW w:type="dxa" w:w="2211"/>
            <w:shd w:fill="F4F7FA"/>
            <w:vAlign w:val="center"/>
            <w:tcMar>
              <w:top w:w="95" w:type="dxa"/>
              <w:start w:w="95" w:type="dxa"/>
              <w:bottom w:w="95" w:type="dxa"/>
              <w:end w:w="95" w:type="dxa"/>
            </w:tcMar>
          </w:tcPr>
          <w:p>
            <w:pPr>
              <w:spacing w:after="0" w:before="0"/>
              <w:jc w:val="center"/>
            </w:pPr>
            <w:r/>
            <w:r>
              <w:rPr>
                <w:rFonts w:ascii="Aptos" w:hAnsi="Aptos"/>
                <w:b w:val="0"/>
                <w:color w:val="000000"/>
                <w:sz w:val="17"/>
              </w:rPr>
              <w:t>38.845 cycles</w:t>
            </w:r>
          </w:p>
        </w:tc>
      </w:tr>
      <w:tr>
        <w:tc>
          <w:tcPr>
            <w:tcW w:type="dxa" w:w="2551"/>
            <w:vAlign w:val="center"/>
            <w:tcMar>
              <w:top w:w="95" w:type="dxa"/>
              <w:start w:w="95" w:type="dxa"/>
              <w:bottom w:w="95" w:type="dxa"/>
              <w:end w:w="95" w:type="dxa"/>
            </w:tcMar>
          </w:tcPr>
          <w:p>
            <w:pPr>
              <w:spacing w:after="0" w:before="0"/>
              <w:jc w:val="left"/>
            </w:pPr>
            <w:r/>
            <w:r>
              <w:rPr>
                <w:rFonts w:ascii="Aptos" w:hAnsi="Aptos"/>
                <w:b w:val="0"/>
                <w:color w:val="000000"/>
                <w:sz w:val="17"/>
              </w:rPr>
              <w:t>Over / under predictions</w:t>
            </w:r>
          </w:p>
        </w:tc>
        <w:tc>
          <w:tcPr>
            <w:tcW w:type="dxa" w:w="1928"/>
            <w:vAlign w:val="center"/>
            <w:tcMar>
              <w:top w:w="95" w:type="dxa"/>
              <w:start w:w="95" w:type="dxa"/>
              <w:bottom w:w="95" w:type="dxa"/>
              <w:end w:w="95" w:type="dxa"/>
            </w:tcMar>
          </w:tcPr>
          <w:p>
            <w:pPr>
              <w:spacing w:after="0" w:before="0"/>
              <w:jc w:val="center"/>
            </w:pPr>
            <w:r/>
            <w:r>
              <w:rPr>
                <w:rFonts w:ascii="Aptos" w:hAnsi="Aptos"/>
                <w:b w:val="0"/>
                <w:color w:val="000000"/>
                <w:sz w:val="17"/>
              </w:rPr>
              <w:t>50 / 50</w:t>
            </w:r>
          </w:p>
        </w:tc>
        <w:tc>
          <w:tcPr>
            <w:tcW w:type="dxa" w:w="2835"/>
            <w:vAlign w:val="center"/>
            <w:tcMar>
              <w:top w:w="95" w:type="dxa"/>
              <w:start w:w="95" w:type="dxa"/>
              <w:bottom w:w="95" w:type="dxa"/>
              <w:end w:w="95" w:type="dxa"/>
            </w:tcMar>
          </w:tcPr>
          <w:p>
            <w:pPr>
              <w:spacing w:after="0" w:before="0"/>
              <w:jc w:val="center"/>
            </w:pPr>
            <w:r/>
            <w:r>
              <w:rPr>
                <w:rFonts w:ascii="Aptos" w:hAnsi="Aptos"/>
                <w:b w:val="0"/>
                <w:color w:val="000000"/>
                <w:sz w:val="17"/>
              </w:rPr>
              <w:t>Official endpoint count</w:t>
            </w:r>
          </w:p>
        </w:tc>
        <w:tc>
          <w:tcPr>
            <w:tcW w:type="dxa" w:w="2211"/>
            <w:vAlign w:val="center"/>
            <w:tcMar>
              <w:top w:w="95" w:type="dxa"/>
              <w:start w:w="95" w:type="dxa"/>
              <w:bottom w:w="95" w:type="dxa"/>
              <w:end w:w="95" w:type="dxa"/>
            </w:tcMar>
          </w:tcPr>
          <w:p>
            <w:pPr>
              <w:spacing w:after="0" w:before="0"/>
              <w:jc w:val="center"/>
            </w:pPr>
            <w:r/>
            <w:r>
              <w:rPr>
                <w:rFonts w:ascii="Aptos" w:hAnsi="Aptos"/>
                <w:b w:val="0"/>
                <w:color w:val="000000"/>
                <w:sz w:val="17"/>
              </w:rPr>
              <w:t>100</w:t>
            </w:r>
          </w:p>
        </w:tc>
      </w:tr>
    </w:tbl>
    <w:p>
      <w:pPr>
        <w:spacing w:after="20"/>
      </w:pPr>
    </w:p>
    <w:p>
      <w:pPr>
        <w:pStyle w:val="Heading1"/>
        <w:spacing w:before="240" w:after="100"/>
      </w:pPr>
      <w:r>
        <w:rPr>
          <w:rFonts w:ascii="Aptos Display" w:hAnsi="Aptos Display"/>
          <w:b/>
          <w:color w:val="000000"/>
          <w:sz w:val="30"/>
        </w:rPr>
        <w:t>6  On-device anomaly and maintenance workflow</w:t>
      </w:r>
    </w:p>
    <w:p>
      <w:pPr>
        <w:spacing w:after="140" w:line="269" w:lineRule="auto"/>
      </w:pPr>
      <w:r>
        <w:rPr>
          <w:rFonts w:ascii="Aptos" w:hAnsi="Aptos"/>
          <w:sz w:val="20"/>
        </w:rPr>
        <w:t>An early-life autoencoder learns a reconstruction baseline from development windows. Its 99th-percentile reconstruction-error threshold is used as an unlabeled anomaly signal. It does not have anomaly accuracy metrics because FD001 lacks cycle-level anomaly labels.</w:t>
      </w:r>
    </w:p>
    <w:p>
      <w:pPr>
        <w:pStyle w:val="ListBullet"/>
        <w:spacing w:after="60"/>
      </w:pPr>
      <w:r>
        <w:rPr>
          <w:rFonts w:ascii="Aptos" w:hAnsi="Aptos"/>
          <w:sz w:val="19"/>
        </w:rPr>
        <w:t>The replay evaluates each incoming record causally and combines RUL, anomaly persistence, data quality, and model version.</w:t>
      </w:r>
    </w:p>
    <w:p>
      <w:pPr>
        <w:pStyle w:val="ListBullet"/>
        <w:spacing w:after="60"/>
      </w:pPr>
      <w:r>
        <w:rPr>
          <w:rFonts w:ascii="Aptos" w:hAnsi="Aptos"/>
          <w:sz w:val="19"/>
        </w:rPr>
        <w:t>Deterministic triage assigns monitoring, recommendation, planned-maintenance, high-priority, or human-review outcomes.</w:t>
      </w:r>
    </w:p>
    <w:p>
      <w:pPr>
        <w:pStyle w:val="ListBullet"/>
        <w:spacing w:after="60"/>
      </w:pPr>
      <w:r>
        <w:rPr>
          <w:rFonts w:ascii="Aptos" w:hAnsi="Aptos"/>
          <w:sz w:val="19"/>
        </w:rPr>
        <w:t>Idempotency prevents duplicate work orders for the same engine and severity. The validation replay produced 43 deduplicated mock recommendations.</w:t>
      </w:r>
    </w:p>
    <w:p>
      <w:pPr>
        <w:pStyle w:val="ListBullet"/>
        <w:spacing w:after="60"/>
      </w:pPr>
      <w:r>
        <w:rPr>
          <w:rFonts w:ascii="Aptos" w:hAnsi="Aptos"/>
          <w:sz w:val="19"/>
        </w:rPr>
        <w:t>An LLM is not on the safety-critical decision path. Any narrative assistant should be limited to explaining already generated evidence and must not override a maintenance decision.</w:t>
      </w:r>
    </w:p>
    <w:p>
      <w:pPr>
        <w:pStyle w:val="Heading1"/>
        <w:spacing w:before="240" w:after="100"/>
      </w:pPr>
      <w:r>
        <w:rPr>
          <w:rFonts w:ascii="Aptos Display" w:hAnsi="Aptos Display"/>
          <w:b/>
          <w:color w:val="000000"/>
          <w:sz w:val="30"/>
        </w:rPr>
        <w:t>7  Conclusions and recommended next work</w:t>
      </w:r>
    </w:p>
    <w:p>
      <w:pPr>
        <w:spacing w:after="140" w:line="269" w:lineRule="auto"/>
      </w:pPr>
      <w:r>
        <w:rPr>
          <w:rFonts w:ascii="Aptos" w:hAnsi="Aptos"/>
          <w:sz w:val="20"/>
        </w:rPr>
        <w:t>For FD001, the selected HGB pipeline is the best current choice: it achieved the strongest validation and final official-test metrics with substantially lower training and inference cost than the neural alternatives. The compact neural and autoencoder components remain useful for edge deployment research and anomaly triage, but they should not replace the selected RUL model on the current evidence.</w:t>
      </w:r>
    </w:p>
    <w:p>
      <w:pPr>
        <w:pStyle w:val="ListBullet"/>
        <w:spacing w:after="60"/>
      </w:pPr>
      <w:r>
        <w:rPr>
          <w:rFonts w:ascii="Aptos" w:hAnsi="Aptos"/>
          <w:sz w:val="19"/>
        </w:rPr>
        <w:t>Validate a deployable prefix-only change-point policy before using it in labeling or in a production decision pipeline.</w:t>
      </w:r>
    </w:p>
    <w:p>
      <w:pPr>
        <w:pStyle w:val="ListBullet"/>
        <w:spacing w:after="60"/>
      </w:pPr>
      <w:r>
        <w:rPr>
          <w:rFonts w:ascii="Aptos" w:hAnsi="Aptos"/>
          <w:sz w:val="19"/>
        </w:rPr>
        <w:t>Run FD002 and FD004 studies with condition-aware normalization and grouped engine splits.</w:t>
      </w:r>
    </w:p>
    <w:p>
      <w:pPr>
        <w:pStyle w:val="ListBullet"/>
        <w:spacing w:after="60"/>
      </w:pPr>
      <w:r>
        <w:rPr>
          <w:rFonts w:ascii="Aptos" w:hAnsi="Aptos"/>
          <w:sz w:val="19"/>
        </w:rPr>
        <w:t>Calibrate prediction intervals and maintenance thresholds with domain owners, cost constraints, and false-alarm tolerance.</w:t>
      </w:r>
    </w:p>
    <w:p>
      <w:pPr>
        <w:pStyle w:val="ListBullet"/>
        <w:spacing w:after="60"/>
      </w:pPr>
      <w:r>
        <w:rPr>
          <w:rFonts w:ascii="Aptos" w:hAnsi="Aptos"/>
          <w:sz w:val="19"/>
        </w:rPr>
        <w:t>Measure TinyML model size, latency, RAM use, quantization error, and update cost on the intended hardware before presenting an on-device deployment claim.</w:t>
      </w:r>
    </w:p>
    <w:p>
      <w:pPr>
        <w:pStyle w:val="Heading1"/>
        <w:spacing w:before="240" w:after="100"/>
      </w:pPr>
      <w:r>
        <w:rPr>
          <w:rFonts w:ascii="Aptos Display" w:hAnsi="Aptos Display"/>
          <w:b/>
          <w:color w:val="000000"/>
          <w:sz w:val="30"/>
        </w:rPr>
        <w:t>8  Evidence and reproducibility</w:t>
      </w:r>
    </w:p>
    <w:p>
      <w:pPr>
        <w:spacing w:after="140" w:line="269" w:lineRule="auto"/>
      </w:pPr>
      <w:r>
        <w:rPr>
          <w:rFonts w:ascii="Aptos" w:hAnsi="Aptos"/>
          <w:sz w:val="20"/>
        </w:rPr>
        <w:t>The project contains reproducible runners for the validation-only study, compact sequence study, one-time official-test evaluation, and anomaly-triage replay. The full metrics matrix, model predictions, data audit, metric audit, generated figures, and unit tests are retained in the reports and artifacts directories.</w:t>
      </w:r>
    </w:p>
    <w:p>
      <w:pPr>
        <w:spacing w:after="140" w:line="269" w:lineRule="auto"/>
      </w:pPr>
      <w:r>
        <w:rPr>
          <w:rFonts w:ascii="Aptos" w:hAnsi="Aptos"/>
          <w:sz w:val="20"/>
        </w:rPr>
        <w:t>Validation completed with 16 passing tests and one skipped optional-dependency scenario. Historical official-test scores are retained as context only; they were produced before this clean selection protocol and were not used to choose the final model.</w:t>
      </w:r>
    </w:p>
    <w:p>
      <w:pPr>
        <w:spacing w:after="140" w:line="269" w:lineRule="auto"/>
      </w:pPr>
      <w:r>
        <w:rPr>
          <w:rFonts w:ascii="Aptos" w:hAnsi="Aptos"/>
          <w:sz w:val="20"/>
        </w:rPr>
        <w:t>References: NASA C-MAPSS data documentation; Ensarioglu, Inkaya, and Emel (2023), Applied Sciences 13(21), 11893; and the user-provided research-paper materials and implementation notes.</w:t>
      </w:r>
    </w:p>
    <w:sectPr w:rsidR="00FC693F" w:rsidRPr="0006063C" w:rsidSect="00034616">
      <w:footerReference w:type="default" r:id="rId9"/>
      <w:pgSz w:w="12240" w:h="15840"/>
      <w:pgMar w:top="992" w:right="1049" w:bottom="935"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6"/>
      </w:rPr>
      <w:t xml:space="preserve">FD001 RUL Implementation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C MAPSS FD001 Remaining Useful Life</dc:title>
  <dc:subject>Final implementation report</dc:subject>
  <dc:creator>FD001 RUL project</dc:creator>
  <cp:keywords/>
  <dc:description/>
  <cp:lastModifiedBy/>
  <cp:revision>1</cp:revision>
  <dcterms:created xsi:type="dcterms:W3CDTF">2013-12-23T23:15:00Z</dcterms:created>
  <dcterms:modified xsi:type="dcterms:W3CDTF">2013-12-23T23:15:00Z</dcterms:modified>
  <cp:category/>
</cp:coreProperties>
</file>