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both"/>
        <w:rPr>
          <w:rFonts w:ascii="Basic Sans" w:hAnsi="Basic Sans" w:eastAsia="Basic Sans" w:cs="Basic Sans"/>
          <w:b/>
          <w:bCs/>
          <w:sz w:val="32"/>
          <w:szCs w:val="32"/>
        </w:rPr>
      </w:pPr>
      <w:r>
        <w:rPr>
          <w:rFonts w:ascii="Basic Sans" w:hAnsi="Basic Sans" w:eastAsia="Basic Sans" w:cs="Basic Sans"/>
          <w:b/>
          <w:bCs/>
          <w:sz w:val="32"/>
          <w:szCs w:val="32"/>
        </w:rPr>
        <w:t>Chapter 5 - SMO Studio Architecture</w:t>
      </w:r>
    </w:p>
    <w:p>
      <w:pPr>
        <w:pStyle w:val="para4"/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5.1. Overview</w:t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The SMO Studio is a computational lithography simulator that co-designs the illumination pupil (DOE, or Diffractive Optical Element) and the photomask (OPC, Optical Proximity Correction) so that a target pattern prints on the wafer with minimum edge error. </w:t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360" w:hanging="360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The system models a 193 nm dry ArF exposure tool with numerical aperture NA = 0.85 and 4× reduction. </w:t>
      </w:r>
    </w:p>
    <w:p>
      <w:pPr>
        <w:numPr>
          <w:ilvl w:val="0"/>
          <w:numId w:val="1"/>
        </w:numPr>
        <w:ind w:left="360" w:hanging="360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At the fast-resolution grid one mask pixel corresponds to 31.25 nm at the reticle plane and 7.8125 nm at the wafer plane; </w:t>
      </w:r>
    </w:p>
    <w:p>
      <w:pPr>
        <w:numPr>
          <w:ilvl w:val="0"/>
          <w:numId w:val="1"/>
        </w:numPr>
        <w:ind w:left="360" w:hanging="360"/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Rayleigh limit k₁·λ/NA gives a resolvable half-pitch of 113 nm at wafer for k₁ = 0.5, which places the 60 nm-CD contacts in our target library well below the "easy" print regime — exactly the regime that requires off-axis illumination and mask correction.</w:t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Studio implements the classical Abbe partial-coherence forward model, wraps it in an alternating gradient-descent optimizer over the mask and source, and applies manufacturability projections (Mask Rule Check on the mask, binary-aperture projection on the source) so that the final artifacts match what a real mask shop and illuminator could deliver.</w:t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5.2. The Abbe Forward Model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spacing/>
        <w:jc w:val="both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Abbe's decomposition treats a partially coherent illumination system as an incoherent sum over independent source points. Each source point at normalized pupil coordinates (kₓ, k_y) illuminates the mask with a tilted plane wave and produces a coherent aerial image at the wafer; the total intensity is the weighted sum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I(x, y) = Σₖ wₖ · |Eₖ(x, y)|²          with Σₖ wₖ = 1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where,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the sum runs over all P sampled source points, </w:t>
      </w:r>
    </w:p>
    <w:p>
      <w:pPr>
        <w:numPr>
          <w:ilvl w:val="0"/>
          <w:numId w:val="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wₖ is the relative brightness of point k, and </w:t>
      </w:r>
    </w:p>
    <w:p>
      <w:pPr>
        <w:numPr>
          <w:ilvl w:val="0"/>
          <w:numId w:val="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Eₖ is the complex aerial field for that point.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noProof/>
        </w:rPr>
        <w:drawing>
          <wp:inline distT="114300" distB="114300" distL="114300" distR="114300">
            <wp:extent cx="6629400" cy="293878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:sm="sm" val="SMDATA_16_MoRf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eAAAAAQAAAAAAAABeAAAAyCgAABQSAAAAAAAAXgAAAF4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38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highlight w:val="yellow"/>
          <w:bCs/>
          <w:sz w:val="20"/>
          <w:szCs w:val="26"/>
        </w:rPr>
      </w:pPr>
      <w:r>
        <w:rPr>
          <w:rFonts w:eastAsia="Basic Sans" w:cs="Basic Sans"/>
          <w:b w:val="0"/>
          <w:highlight w:val="yellow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highlight w:val="yellow"/>
          <w:bCs/>
          <w:sz w:val="20"/>
          <w:szCs w:val="26"/>
        </w:rPr>
      </w:pPr>
      <w:r>
        <w:rPr>
          <w:rFonts w:eastAsia="Basic Sans" w:cs="Basic Sans"/>
          <w:b w:val="0"/>
          <w:highlight w:val="yellow"/>
          <w:bCs/>
          <w:sz w:val="20"/>
          <w:szCs w:val="26"/>
        </w:rPr>
        <w:t>The whole mask has one FFT. The FFT does not represent the diffration pattern of each individual element. This is what makes the Abbe principle scalable to large reticles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noProof/>
        </w:rPr>
        <w:drawing>
          <wp:inline distT="114300" distB="114300" distL="114300" distR="114300">
            <wp:extent cx="6629400" cy="3105785"/>
            <wp:effectExtent l="0" t="0" r="0" b="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>
                      <a:picLocks noChangeAspect="1"/>
                      <a:extLst>
                        <a:ext uri="sm">
                          <sm:smNativeData xmlns:sm="sm" val="SMDATA_16_MoRf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eAAAAAQAAAAAAAABeAAAAyCgAABsTAAAAAAAAXgAAAF4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057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Studio computes each Eₖ by threading three physical operators: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Eₖ = ProjectionLens( Reticle( Illuminator(1; kₓ, k_y) · m ) 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works by modelling the DUV pipeline elements in the order they are arranged in the path of the 193nm DUV later.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2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The illuminator imprints the (kₓ, k_y) tilt on an initially uniform field, </w:t>
      </w:r>
    </w:p>
    <w:p>
      <w:pPr>
        <w:numPr>
          <w:ilvl w:val="0"/>
          <w:numId w:val="2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Reticle multiplies the tilted field by the mask transmission m(x, y), </w:t>
      </w:r>
    </w:p>
    <w:p>
      <w:pPr>
        <w:numPr>
          <w:ilvl w:val="0"/>
          <w:numId w:val="2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ProjectionLens applies the band-limited 4×-reduction lens. </w:t>
      </w:r>
    </w:p>
    <w:p>
      <w:pPr>
        <w:numPr>
          <w:ilvl w:val="0"/>
          <w:numId w:val="2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wafer recieved the final intensity pattern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printed resist pattern is obtained by passing the aerial intensity through a smooth threshold that approximates chemically-amplified-resist behavior: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z(x, y) = σ( s · [ I(x, y) / I_open − t ] 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where </w:t>
      </w:r>
    </w:p>
    <w:p>
      <w:pPr>
        <w:numPr>
          <w:ilvl w:val="0"/>
          <w:numId w:val="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σ is a logistic sigmoid, </w:t>
      </w:r>
    </w:p>
    <w:p>
      <w:pPr>
        <w:numPr>
          <w:ilvl w:val="0"/>
          <w:numId w:val="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s = 8 is the resist steepness, </w:t>
      </w:r>
    </w:p>
    <w:p>
      <w:pPr>
        <w:numPr>
          <w:ilvl w:val="0"/>
          <w:numId w:val="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t = 0.30 is the exposure threshold, and </w:t>
      </w:r>
    </w:p>
    <w:p>
      <w:pPr>
        <w:numPr>
          <w:ilvl w:val="0"/>
          <w:numId w:val="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I_open is the intensity at an open-frame (fully clear) mask position, used to normalize the exposure dose. </w:t>
      </w:r>
    </w:p>
    <w:p>
      <w:pPr>
        <w:numPr>
          <w:ilvl w:val="0"/>
          <w:numId w:val="0"/>
        </w:numPr>
        <w:ind w:left="360" w:firstLine="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sigmoid keeps z differentiable in I everywhere, which is what makes the whole pipeline compatible with gradient descent. This is because gradient decent needs a differentiable function and the derivative of a step function is 0.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5.3 FFT / IFFT and the Projection System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propagation between the real-space plane and the pupil (spatial-frequency) plane is a discrete Fourier transform. The Studio uses the forward transform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F(kₓ, k_y) = Σₓ Σ_y  f(x, y) · exp( −2πi (kₓ x + k_y y) / N 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and its inverse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f(x, y) = (1 / N²) · Σₖₓ Σₖ_y  F(kₓ, k_y) · exp( +2πi (kₓ x + k_y y) / N 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These are wrapped in helpers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to_pupil() and </w:t>
      </w:r>
    </w:p>
    <w:p>
      <w:pPr>
        <w:numPr>
          <w:ilvl w:val="0"/>
          <w:numId w:val="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to_real()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that apply the correct fftshift / ifftshift on both sides and rescale for the physical pixel size dx_reticle so the pupil-plane coordinates come out in cycles per metre.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noProof/>
        </w:rPr>
        <w:drawing>
          <wp:inline distT="114300" distB="114300" distL="114300" distR="114300">
            <wp:extent cx="6629400" cy="6048375"/>
            <wp:effectExtent l="0" t="0" r="0" b="0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/>
                    <pic:cNvPicPr>
                      <a:picLocks noChangeAspect="1"/>
                      <a:extLst>
                        <a:ext uri="sm">
                          <sm:smNativeData xmlns:sm="sm" val="SMDATA_16_MoRf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eAAAAAQAAAAAAAABeAAAAyCgAADUlAAAAAAAAXgAAAF4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048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The projection lens is a three-step operator. It forward-transforms the incoming field to the pupil plane, multiplies by a hard binary aperture P(kₓ, k_y) that passes only spatial frequencies inside a disc of radius NA · M_reduction / λ (any frequency outside the pupil is set to zero), and inverse-transforms back to the real plane.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This is the standard diffraction-limited low-pass filter: features finer than the Rayleigh half-pitch cannot pass through the lens, no matter what mask you write. All optical resolution comes from the interplay of the mask spectrum and this pupil.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5.4 Loss Function</w:t>
      </w:r>
    </w:p>
    <w:p>
      <w:r/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optimizer minimizes a mean-squared-error loss between the printed pattern z and the desired binary target T, both evaluated on the wafer grid: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L(z, T) = (1 / N²) · Σₓ Σ_y ( z(x, y) − T(x, y) )²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  <w:u w:color="auto" w:val="single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The gradient of L with respect to the aerial intensity I follows from the </w:t>
      </w:r>
      <w:r>
        <w:rPr>
          <w:rFonts w:eastAsia="Basic Sans" w:cs="Basic Sans"/>
          <w:b w:val="0"/>
          <w:bCs/>
          <w:sz w:val="20"/>
          <w:szCs w:val="26"/>
          <w:u w:color="auto" w:val="single"/>
        </w:rPr>
        <w:t>chain rule through the resist sigmoid,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∂L/∂I = ∂L/∂z · ∂z/∂I = (2 / N²) · ( z − T ) · s · z · (1 − z) / I_open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noProof/>
        </w:rPr>
        <w:drawing>
          <wp:inline distT="114300" distB="114300" distL="114300" distR="114300">
            <wp:extent cx="3562350" cy="1899285"/>
            <wp:effectExtent l="0" t="0" r="0" b="0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4"/>
                    <pic:cNvPicPr>
                      <a:picLocks noChangeAspect="1"/>
                      <a:extLst>
                        <a:ext uri="sm">
                          <sm:smNativeData xmlns:sm="sm" val="SMDATA_16_MoRf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oVAACvCwAA6hUAAK8L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eAAAAAQAAAAAAAABeAAAA6hUAAK8LAAAAAAAAXgAAAF4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8992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-PS" w:hAnsi="Courier-PS"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The factor z · (1 − z) vanishes wherever z is saturated at 0 or 1 and peaks around z = ½ — that is, the loss only "notices" pixels sitting on the edge of a printed feature, precisely the regions OPC needs to correct.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noProof/>
        </w:rPr>
        <w:drawing>
          <wp:inline distT="114300" distB="114300" distL="114300" distR="114300">
            <wp:extent cx="6629400" cy="2268855"/>
            <wp:effectExtent l="0" t="0" r="0" b="0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"/>
                    <pic:cNvPicPr>
                      <a:picLocks noChangeAspect="1"/>
                      <a:extLst>
                        <a:ext uri="sm">
                          <sm:smNativeData xmlns:sm="sm" val="SMDATA_16_MoRf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eAAAAAAAAAAAAAABeAAAAyCgAAPUNAAAAAAAAXgAAAF4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688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The Studio also reports a manufacturability-facing metric, </w:t>
      </w:r>
      <w:r>
        <w:rPr>
          <w:rFonts w:eastAsia="Basic Sans" w:cs="Basic Sans"/>
          <w:b w:val="0"/>
          <w:highlight w:val="yellow"/>
          <w:bCs/>
          <w:sz w:val="20"/>
          <w:szCs w:val="26"/>
        </w:rPr>
        <w:t>edge_px</w:t>
      </w:r>
      <w:r>
        <w:rPr>
          <w:rFonts w:eastAsia="Basic Sans" w:cs="Basic Sans"/>
          <w:b w:val="0"/>
          <w:bCs/>
          <w:sz w:val="20"/>
          <w:szCs w:val="26"/>
        </w:rPr>
        <w:t xml:space="preserve">, which counts wafer pixels whose printed value falls on the wrong side of the target boundary.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noProof/>
        </w:rPr>
        <w:drawing>
          <wp:inline distT="114300" distB="114300" distL="114300" distR="114300">
            <wp:extent cx="3333115" cy="1343025"/>
            <wp:effectExtent l="0" t="0" r="0" b="0"/>
            <wp:docPr id="6" name="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6"/>
                    <pic:cNvPicPr>
                      <a:picLocks noChangeAspect="1"/>
                      <a:extLst>
                        <a:ext uri="sm">
                          <sm:smNativeData xmlns:sm="sm" val="SMDATA_16_MoRf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EUAABDCAAAgRQAAEMI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eAAAAAAAAAAAAAABeAAAAgRQAAEMIAAAAAAAAXgAAAF4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13430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all-pupils sweep runner ranks candidate starting pupils by their final edge_px because that number is closer to what a mask-shop engineer would care about.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5.5 Gradient-Descent Architecture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engine uses an alternating scheme: each outer iteration applies (A) a mask update with the source held fixed, then (B) a source update with the mask held fixed. This is the standard SMO structure and factors a hard joint problem into two easier sub-problems that share one common forward model.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/>
          <w:bCs/>
          <w:sz w:val="20"/>
          <w:szCs w:val="26"/>
        </w:rPr>
        <w:t>5.5.1 Mask gradient (ILT adjoint).</w:t>
      </w:r>
      <w:r>
        <w:rPr>
          <w:rFonts w:eastAsia="Basic Sans" w:cs="Basic Sans"/>
          <w:b w:val="0"/>
          <w:bCs/>
          <w:sz w:val="20"/>
          <w:szCs w:val="26"/>
        </w:rPr>
        <w:t xml:space="preserve">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For each source point k, the coherent-image contribution is Iₖ = |hₖ · m|² where hₖ is the effective coherent transfer for that source point. The Poonawala–Milne adjoint identity gives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∂Iₖ / ∂m = 2 · Re { conj(incidentₖ) · adjointₖ }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where the "adjoint field" is obtained by back-propagating the loss-shaped gradient of Iₖ through the projection lens. Summing over source points weighted by wₖ gives the total mask gradient ∂L/∂m. To keep the mask in the physically meaningful [0, 1] range without a projection step, the Studio parameterizes it as m = σ(θ) for an unconstrained variable θ; the chain rule gives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∂L/∂θ = ∂L/∂m · σ(θ) · (1 − σ(θ)).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/>
          <w:bCs/>
          <w:sz w:val="20"/>
          <w:szCs w:val="26"/>
        </w:rPr>
        <w:t>5.5.2 Straight-through estimator for binary masks.</w:t>
      </w:r>
      <w:r>
        <w:rPr>
          <w:rFonts w:eastAsia="Basic Sans" w:cs="Basic Sans"/>
          <w:b w:val="0"/>
          <w:bCs/>
          <w:sz w:val="20"/>
          <w:szCs w:val="26"/>
        </w:rPr>
        <w:t xml:space="preserve">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Real chrome-on-glass masks are strict binary. The Studio uses a straight-through estimator (Bengio &amp; Courville, 2013): the forward pass always uses the hard-thresholded mask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m = ퟙ{ σ(θ) &gt; 0.5 } ∈ {0, 1},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so every gradient step is evaluated on exactly the mask that will be delivered, while the backward pass pretends the θ→m transfer is still the smooth sigmoid so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dm/dθ = σ(θ) · (1 − σ(θ)) never vanishes.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highlight w:val="yellow"/>
          <w:bCs/>
          <w:sz w:val="20"/>
          <w:szCs w:val="26"/>
        </w:rPr>
      </w:pPr>
      <w:r>
        <w:rPr>
          <w:rFonts w:eastAsia="Basic Sans" w:cs="Basic Sans"/>
          <w:b w:val="0"/>
          <w:highlight w:val="yellow"/>
          <w:bCs/>
          <w:sz w:val="20"/>
          <w:szCs w:val="26"/>
        </w:rPr>
        <w:t>This lets a pixel that has already committed to one rail flip back later if that would improve the print, and it eliminates the discontinuous quality drop that a naive "solve continuous, threshold at end" strategy produces. This allows us to implement freeform DOE pupils.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/>
          <w:bCs/>
          <w:sz w:val="20"/>
          <w:szCs w:val="26"/>
        </w:rPr>
        <w:t>5.5.3 Source gradient.</w:t>
      </w:r>
      <w:r>
        <w:rPr>
          <w:rFonts w:eastAsia="Basic Sans" w:cs="Basic Sans"/>
          <w:b w:val="0"/>
          <w:bCs/>
          <w:sz w:val="20"/>
          <w:szCs w:val="26"/>
        </w:rPr>
        <w:t xml:space="preserve">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aerial intensity is linear in the source weights, I = Σₖ wₖ · Iₖ(m), so the gradient is a simple projection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∂L/∂wₖ = Σₓ Σ_y ( ∂L/∂I ) · Iₖ(x, y)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which requires only one coherent image per source point per source-step iteration — an order of magnitude cheaper than the mask step.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Weights are then updated multiplicatively,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wₖ ← wₖ · exp(−½ · gₖ / max|g|),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which preserves positivity automatically, and are renormalized so Σₖ wₖ = 1 remains a valid pupil.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/>
          <w:bCs/>
          <w:sz w:val="20"/>
          <w:szCs w:val="26"/>
        </w:rPr>
        <w:t>5.5.4 Update rule.</w:t>
      </w:r>
      <w:r>
        <w:rPr>
          <w:rFonts w:eastAsia="Basic Sans" w:cs="Basic Sans"/>
          <w:b w:val="0"/>
          <w:bCs/>
          <w:sz w:val="20"/>
          <w:szCs w:val="26"/>
        </w:rPr>
        <w:t xml:space="preserve">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The mask update is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θ ← θ − η · g_θ / max|g_θ| with default learning rate η = 0.4; 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he normalization by the peak gradient keeps the θ-space step size bounded regardless of the absolute loss scale, so no learning-rate retuning is needed as the target pattern or resolution changes.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 xml:space="preserve">The default outer loop runs 5 iterations, each with 12 inner mask sub-steps and 1 inner source sub-step. 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asymmetry between 12 and 1 reflects the underlying dimensionality: the mask has ~262,000 pixels to fit while the source has only 4 to a few thousand points, so the mask needs more inner iterations per outer to converge to its own optimum given the current source.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 6. Manufacturability Projections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After the outer loop converges the Studio runs two projections that make the artifacts realizable on real hardware.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/>
          <w:bCs/>
          <w:sz w:val="20"/>
          <w:szCs w:val="26"/>
        </w:rPr>
        <w:t>5.6.1 Mask Rule Check.</w:t>
      </w:r>
      <w:r>
        <w:rPr>
          <w:rFonts w:eastAsia="Basic Sans" w:cs="Basic Sans"/>
          <w:b w:val="0"/>
          <w:bCs/>
          <w:sz w:val="20"/>
          <w:szCs w:val="26"/>
        </w:rPr>
        <w:t xml:space="preserve"> A morphological opening followed by a closing, both at kernel size mmfs_px × mmfs_px (default 3, corresponding to a 94 nm minimum mask feature at 31.25 nm/px), removes any clear feature or gap narrower than the mask writer's minimum feature size and fills sub-MMFS chrome specks. A short source-only polish then lets the DOE adapt to the cleaned mask, absorbing most of the edge-error jump the cleanup introduces.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noProof/>
        </w:rPr>
        <w:drawing>
          <wp:inline distT="114300" distB="114300" distL="114300" distR="114300">
            <wp:extent cx="4509770" cy="1955800"/>
            <wp:effectExtent l="0" t="0" r="0" b="0"/>
            <wp:docPr id="7" name="Pictu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7"/>
                    <pic:cNvPicPr>
                      <a:picLocks noChangeAspect="1"/>
                      <a:extLst>
                        <a:ext uri="sm">
                          <sm:smNativeData xmlns:sm="sm" val="SMDATA_16_MoRf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4bAAAIDAAAvhsAAAgM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eAAAAAAAAAAAAAABeAAAAvhsAAAgMAAAAAAAAXgAAAF4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19558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/>
          <w:bCs/>
          <w:sz w:val="20"/>
          <w:szCs w:val="26"/>
        </w:rPr>
        <w:t>5.6.2 Binary-aperture DOE projection.</w:t>
      </w:r>
      <w:r>
        <w:rPr>
          <w:rFonts w:eastAsia="Basic Sans" w:cs="Basic Sans"/>
          <w:b w:val="0"/>
          <w:bCs/>
          <w:sz w:val="20"/>
          <w:szCs w:val="26"/>
        </w:rPr>
        <w:t xml:space="preserve"> The polished source is first smoothed in pupil space with a Gaussian at σ equal to the mean nearest-neighbor spacing (kills isolated single-point spikes while preserving large-scale poles) and then quantized to 2 levels — a strict binary aperture in which each pupil region is either fully lit or fully dark and total power divides equally among the lit regions. This is the most conservative physically-realizable model and requires no assumption of programmable mirror hardware. Setting source_levels = 6 recovers a multi-level output appropriate for a FlexRay-class mirror-array illuminator, where multiple levels represent multiple mirrors pointing to the same pupil region rather than intensity variation of the laser (the laser is uniform).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 7 Summary</w:t>
      </w:r>
    </w:p>
    <w:p>
      <w:r/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SMO Studio implements the classical Abbe / Poonawala–Milne computational-lithography pipeline with a modern binary-mask straight-through estimator and physically-honest manufacturability projections. The forward model computes an aerial image by summing coherent contributions from each source point — each an FFT-based projection through a band-limited pupil — and a differentiable resist sigmoid converts intensity to a printed pattern. A mean-squared-error loss drives gradient descent alternately over the mask pixels and source weights, and post-loop MRC and binary-aperture projections leave the pipeline outputting a strict-binary chrome-on-glass mask and an aperture-realizable DOE that together minimize edge error on the target — as close to what an actual dry-193 nm exposure tool with a real mask shop behind it could deliver as the model allows.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720" w:top="720" w:right="720" w:bottom="72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Courier-PS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5"/>
    <w:tmLastPosSelect w:val="0"/>
    <w:tmLastPosFrameIdx w:val="0"/>
    <w:tmLastPosCaret>
      <w:tmLastPosPgfIdx w:val="155"/>
      <w:tmLastPosIdx w:val="5"/>
    </w:tmLastPosCaret>
    <w:tmLastPosAnchor>
      <w:tmLastPosPgfIdx w:val="0"/>
      <w:tmLastPosIdx w:val="0"/>
    </w:tmLastPosAnchor>
    <w:tmLastPosTblRect w:left="0" w:top="0" w:right="0" w:bottom="0"/>
  </w:tmLastPos>
  <w:tmAppRevision w:date="1784644658" w:val="1234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rFonts w:ascii="Basic Sans" w:hAnsi="Basic Sans" w:eastAsia="Basic Sans" w:cs="Basic Sans"/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rFonts w:ascii="Basic Sans" w:hAnsi="Basic Sans" w:eastAsia="Basic Sans" w:cs="Basic Sans"/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2026-07-21T12:28:46Z</dcterms:created>
  <dcterms:modified xsi:type="dcterms:W3CDTF">2026-07-21T14:37:38Z</dcterms:modified>
</cp:coreProperties>
</file>