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Team Handoff – Work Completed</w:t>
      </w:r>
    </w:p>
    <w:p>
      <w:r>
        <w:t>This document summarizes what has been completed before the RAG stage and identifies the inputs that can be consumed by the RAG pipeline.</w:t>
      </w:r>
    </w:p>
    <w:p>
      <w:pPr>
        <w:pStyle w:val="Heading1"/>
      </w:pPr>
      <w:r>
        <w:t>1. Qualitative Regulatory Corpus Completed</w:t>
      </w:r>
    </w:p>
    <w:p>
      <w:pPr>
        <w:pStyle w:val="ListBullet"/>
      </w:pPr>
      <w:r>
        <w:rPr>
          <w:b/>
        </w:rPr>
        <w:t xml:space="preserve">US GAAP / ASC 326: </w:t>
      </w:r>
      <w:r>
        <w:t>127 normalized chunks — RAG input</w:t>
      </w:r>
    </w:p>
    <w:p>
      <w:pPr>
        <w:pStyle w:val="ListBullet"/>
      </w:pPr>
      <w:r>
        <w:rPr>
          <w:b/>
        </w:rPr>
        <w:t xml:space="preserve">Bank Credit Risk Directives (OCC): </w:t>
      </w:r>
      <w:r>
        <w:t>113 normalized chunks — RAG input</w:t>
      </w:r>
    </w:p>
    <w:p>
      <w:pPr>
        <w:pStyle w:val="ListBullet"/>
      </w:pPr>
      <w:r>
        <w:rPr>
          <w:b/>
        </w:rPr>
        <w:t xml:space="preserve">Prior-period MD&amp;A Commentary: </w:t>
      </w:r>
      <w:r>
        <w:t>28 chunks — RAG input</w:t>
      </w:r>
    </w:p>
    <w:p>
      <w:pPr>
        <w:pStyle w:val="ListBullet"/>
      </w:pPr>
      <w:r>
        <w:rPr>
          <w:b/>
        </w:rPr>
        <w:t xml:space="preserve">Board Oversight Memos: </w:t>
      </w:r>
      <w:r>
        <w:t>23 chunks — RAG input</w:t>
      </w:r>
    </w:p>
    <w:p>
      <w:r>
        <w:t>Total qualitative chunks currently available: 291.</w:t>
      </w:r>
    </w:p>
    <w:p>
      <w:pPr>
        <w:pStyle w:val="Heading1"/>
      </w:pPr>
      <w:r>
        <w:t>2. Processing Completed</w:t>
      </w:r>
    </w:p>
    <w:p>
      <w:pPr>
        <w:pStyle w:val="ListBullet"/>
      </w:pPr>
      <w:r>
        <w:t>Source documents were discovered and ingested programmatically.</w:t>
      </w:r>
    </w:p>
    <w:p>
      <w:pPr>
        <w:pStyle w:val="ListBullet"/>
      </w:pPr>
      <w:r>
        <w:t>Documents were split into chunks with metadata.</w:t>
      </w:r>
    </w:p>
    <w:p>
      <w:pPr>
        <w:pStyle w:val="ListBullet"/>
      </w:pPr>
      <w:r>
        <w:t>Chunks were normalized into consistent JSONL records.</w:t>
      </w:r>
    </w:p>
    <w:p>
      <w:pPr>
        <w:pStyle w:val="ListBullet"/>
      </w:pPr>
      <w:r>
        <w:t>Duplicate, empty-text, metadata, and chunk-ID quality checks were performed.</w:t>
      </w:r>
    </w:p>
    <w:p>
      <w:pPr>
        <w:pStyle w:val="ListBullet"/>
      </w:pPr>
      <w:r>
        <w:t>A qualitative RAG handoff JSONL was prepared for the regulatory corpus.</w:t>
      </w:r>
    </w:p>
    <w:p>
      <w:pPr>
        <w:pStyle w:val="Heading1"/>
      </w:pPr>
      <w:r>
        <w:t>3. RAG Input</w:t>
      </w:r>
    </w:p>
    <w:p>
      <w:r>
        <w:t>The main input for the RAG team is the normalized JSONL corpus, especially the prepared qualitative RAG handoff file. Each record contains the chunk text and supporting metadata such as category, document name, section, source organization, and authority status.</w:t>
      </w:r>
    </w:p>
    <w:p>
      <w:pPr>
        <w:pStyle w:val="Heading1"/>
      </w:pPr>
      <w:r>
        <w:t>4. Also Completed for Forward-Looking FP&amp;A</w:t>
      </w:r>
    </w:p>
    <w:p>
      <w:r>
        <w:t>AOB, 4Q/8Q rolling forecasts, and operational volume/headcount driver assumptions were ingested/prepared. Math Engine, Analytics, and Planning Recommendations were generated in PDF and JSON formats.</w:t>
      </w:r>
    </w:p>
    <w:p>
      <w:pPr>
        <w:pStyle w:val="Heading1"/>
      </w:pPr>
      <w:r>
        <w:t>5. Remaining</w:t>
      </w:r>
    </w:p>
    <w:p>
      <w:r>
        <w:t>IFRS framework ingestion is still remaining. Spell/grammar checking is intentionally not part of the current handoff and can be integrated later with the RAG/LLM flow.</w:t>
      </w:r>
    </w:p>
    <w:p>
      <w:pPr>
        <w:pStyle w:val="Heading1"/>
      </w:pPr>
      <w:r>
        <w:t>One-line handoff</w:t>
      </w:r>
    </w:p>
    <w:p>
      <w:r>
        <w:t>RAG can now consume the normalized qualitative JSONL chunks for US GAAP/ASC 326, OCC credit-risk directives, prior-period MD&amp;A, and Board Oversight Memos; IFRS is still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