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0"/>
        </w:rPr>
        <w:t>Management Discussion and Analysis</w:t>
      </w:r>
    </w:p>
    <w:p>
      <w:r>
        <w:rPr>
          <w:b/>
          <w:sz w:val="20"/>
        </w:rPr>
        <w:t>Synthetic Test Document – REL_01 Context</w:t>
      </w:r>
    </w:p>
    <w:p>
      <w:pPr>
        <w:pStyle w:val="Heading2"/>
      </w:pPr>
      <w:r>
        <w:rPr>
          <w:sz w:val="20"/>
        </w:rPr>
        <w:t>Document Status</w:t>
      </w:r>
    </w:p>
    <w:p>
      <w:r>
        <w:rPr>
          <w:b/>
          <w:sz w:val="20"/>
        </w:rPr>
        <w:t>SYNTHETIC TEST DATA</w:t>
      </w:r>
    </w:p>
    <w:p>
      <w:r>
        <w:rPr>
          <w:sz w:val="20"/>
        </w:rPr>
        <w:t>This document has been created solely for testing the qualitative document ingestion and RAG matching pipeline. It is not an actual company filing, management report, board memo, or authoritative accounting document.</w:t>
      </w:r>
    </w:p>
    <w:p>
      <w:pPr>
        <w:pStyle w:val="Heading2"/>
      </w:pPr>
      <w:r>
        <w:rPr>
          <w:sz w:val="20"/>
        </w:rPr>
        <w:t>Document Metadata</w:t>
      </w:r>
    </w:p>
    <w:p>
      <w:r>
        <w:rPr>
          <w:b/>
          <w:sz w:val="20"/>
        </w:rPr>
        <w:t xml:space="preserve">Document Type: </w:t>
      </w:r>
      <w:r>
        <w:rPr>
          <w:sz w:val="20"/>
        </w:rPr>
        <w:t>MD&amp;A</w:t>
      </w:r>
    </w:p>
    <w:p>
      <w:r>
        <w:rPr>
          <w:b/>
          <w:sz w:val="20"/>
        </w:rPr>
        <w:t xml:space="preserve">Document Category: </w:t>
      </w:r>
      <w:r>
        <w:rPr>
          <w:sz w:val="20"/>
        </w:rPr>
        <w:t>Management Commentary</w:t>
      </w:r>
    </w:p>
    <w:p>
      <w:r>
        <w:rPr>
          <w:b/>
          <w:sz w:val="20"/>
        </w:rPr>
        <w:t xml:space="preserve">Test Flag: </w:t>
      </w:r>
      <w:r>
        <w:rPr>
          <w:sz w:val="20"/>
        </w:rPr>
        <w:t>REL_01</w:t>
      </w:r>
    </w:p>
    <w:p>
      <w:r>
        <w:rPr>
          <w:b/>
          <w:sz w:val="20"/>
        </w:rPr>
        <w:t xml:space="preserve">Reporting Period: </w:t>
      </w:r>
      <w:r>
        <w:rPr>
          <w:sz w:val="20"/>
        </w:rPr>
        <w:t>FY2026</w:t>
      </w:r>
    </w:p>
    <w:p>
      <w:r>
        <w:rPr>
          <w:b/>
          <w:sz w:val="20"/>
        </w:rPr>
        <w:t xml:space="preserve">Source Type: </w:t>
      </w:r>
      <w:r>
        <w:rPr>
          <w:sz w:val="20"/>
        </w:rPr>
        <w:t>Synthetic Test Document</w:t>
      </w:r>
    </w:p>
    <w:p>
      <w:r>
        <w:rPr>
          <w:b/>
          <w:sz w:val="20"/>
        </w:rPr>
        <w:t xml:space="preserve">Authority Status: </w:t>
      </w:r>
      <w:r>
        <w:rPr>
          <w:sz w:val="20"/>
        </w:rPr>
        <w:t>Non-authoritative</w:t>
      </w:r>
    </w:p>
    <w:p>
      <w:pPr>
        <w:pStyle w:val="Heading2"/>
      </w:pPr>
      <w:r>
        <w:rPr>
          <w:sz w:val="20"/>
        </w:rPr>
        <w:t>Financial Performance Context</w:t>
      </w:r>
    </w:p>
    <w:p>
      <w:r>
        <w:rPr>
          <w:sz w:val="20"/>
        </w:rPr>
        <w:t>During FY2026, Accounts Receivable increased by approximately 38% compared with the prior period, while Revenue increased by approximately 12%.</w:t>
      </w:r>
    </w:p>
    <w:p>
      <w:r>
        <w:rPr>
          <w:sz w:val="20"/>
        </w:rPr>
        <w:t>The increase in Accounts Receivable relative to Revenue reflects changes in customer payment terms associated with several large multi-year contracts.</w:t>
      </w:r>
    </w:p>
    <w:p>
      <w:pPr>
        <w:pStyle w:val="Heading2"/>
      </w:pPr>
      <w:r>
        <w:rPr>
          <w:sz w:val="20"/>
        </w:rPr>
        <w:t>Management Explanation</w:t>
      </w:r>
    </w:p>
    <w:p>
      <w:r>
        <w:rPr>
          <w:sz w:val="20"/>
        </w:rPr>
        <w:t>During the period, the company extended standard customer credit terms from 30 days to 60 days for selected large multi-year contracts.</w:t>
      </w:r>
    </w:p>
    <w:p>
      <w:r>
        <w:rPr>
          <w:sz w:val="20"/>
        </w:rPr>
        <w:t>The extended payment terms were provided to support the closing and execution of large multi-year customer agreements. As a result, certain customers had additional time to settle outstanding invoices.</w:t>
      </w:r>
    </w:p>
    <w:p>
      <w:r>
        <w:rPr>
          <w:sz w:val="20"/>
        </w:rPr>
        <w:t>The change in payment terms contributed to higher outstanding trade receivables at the reporting date. Management therefore considers the increase in Accounts Receivable to be primarily related to the commercial terms associated with these contracts.</w:t>
      </w:r>
    </w:p>
    <w:p>
      <w:pPr>
        <w:pStyle w:val="Heading2"/>
      </w:pPr>
      <w:r>
        <w:rPr>
          <w:sz w:val="20"/>
        </w:rPr>
        <w:t>Working Capital Impact</w:t>
      </w:r>
    </w:p>
    <w:p>
      <w:r>
        <w:rPr>
          <w:sz w:val="20"/>
        </w:rPr>
        <w:t>The increase in trade receivables temporarily increased working capital requirements because cash collection occurs later under the extended customer payment terms.</w:t>
      </w:r>
    </w:p>
    <w:p>
      <w:r>
        <w:rPr>
          <w:sz w:val="20"/>
        </w:rPr>
        <w:t>Management continues to monitor customer collections, outstanding invoices, payment patterns, and credit exposure associated with these contracts.</w:t>
      </w:r>
    </w:p>
    <w:p>
      <w:pPr>
        <w:pStyle w:val="Heading2"/>
      </w:pPr>
      <w:r>
        <w:rPr>
          <w:sz w:val="20"/>
        </w:rPr>
        <w:t>Related Analytical Flag</w:t>
      </w:r>
    </w:p>
    <w:p>
      <w:r>
        <w:rPr>
          <w:sz w:val="20"/>
        </w:rPr>
        <w:t>Math Engine Flag: REL_01</w:t>
      </w:r>
    </w:p>
    <w:p>
      <w:r>
        <w:rPr>
          <w:sz w:val="20"/>
        </w:rPr>
        <w:t>Flag condition: Accounts Receivable growth of approximately 38% compared with Revenue growth of approximately 12%.</w:t>
      </w:r>
    </w:p>
    <w:p>
      <w:r>
        <w:rPr>
          <w:sz w:val="20"/>
        </w:rPr>
        <w:t>Potential qualitative explanation: customer credit terms were extended from 30 days to 60 days for large multi-year contracts.</w:t>
      </w:r>
    </w:p>
    <w:p>
      <w:pPr>
        <w:pStyle w:val="Heading2"/>
      </w:pPr>
      <w:r>
        <w:rPr>
          <w:sz w:val="20"/>
        </w:rPr>
        <w:t>Relevant Context Keywords</w:t>
      </w:r>
    </w:p>
    <w:p>
      <w:r>
        <w:rPr>
          <w:sz w:val="20"/>
        </w:rPr>
        <w:t>REL_01, Accounts Receivable, trade receivables, Revenue, credit terms, customer payment terms, 30 days, 60 days, extended payment terms, multi-year contracts, large customer contracts, working capital, customer collections, outstanding invoices, credit exposure</w:t>
      </w:r>
    </w:p>
    <w:p>
      <w:pPr>
        <w:pStyle w:val="Heading2"/>
      </w:pPr>
      <w:r>
        <w:rPr>
          <w:sz w:val="20"/>
        </w:rPr>
        <w:t>Management Conclusion</w:t>
      </w:r>
    </w:p>
    <w:p>
      <w:r>
        <w:rPr>
          <w:sz w:val="20"/>
        </w:rPr>
        <w:t>Management believes that the increase in Accounts Receivable relative to Revenue is primarily explained by the temporary impact of extended customer payment terms on selected large multi-year contracts.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