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jc w:val="center"/>
      </w:pPr>
      <w:r>
        <w:rPr>
          <w:rFonts w:ascii="Arial" w:cs="Arial" w:eastAsia="Arial" w:hAnsi="Arial"/>
          <w:color w:val="5B9BD5"/>
          <w:sz w:val="20"/>
          <w:szCs w:val="20"/>
        </w:rPr>
        <w:t xml:space="preserve">TECHNICAL DOCUMENTATION</w:t>
      </w:r>
    </w:p>
    <w:p>
      <w:pPr>
        <w:pBdr>
          <w:bottom w:val="single" w:color="1F4E79" w:sz="6" w:space="8"/>
        </w:pBdr>
        <w:spacing w:after="200"/>
        <w:jc w:val="center"/>
      </w:pPr>
      <w:r>
        <w:rPr>
          <w:rFonts w:ascii="Arial" w:cs="Arial" w:eastAsia="Arial" w:hAnsi="Arial"/>
          <w:b/>
          <w:bCs/>
          <w:color w:val="1F4E79"/>
          <w:sz w:val="52"/>
          <w:szCs w:val="52"/>
        </w:rPr>
        <w:t xml:space="preserve">Orlando Housing Fair Market Value Prediction Model</w:t>
      </w:r>
    </w:p>
    <w:p>
      <w:pPr>
        <w:spacing w:before="200" w:after="60"/>
        <w:jc w:val="center"/>
      </w:pPr>
      <w:r>
        <w:rPr>
          <w:rFonts w:ascii="Arial" w:cs="Arial" w:eastAsia="Arial" w:hAnsi="Arial"/>
          <w:color w:val="5B9BD5"/>
          <w:sz w:val="32"/>
          <w:szCs w:val="32"/>
        </w:rPr>
        <w:t xml:space="preserve">XGBoost Regressor — Version 2</w:t>
      </w:r>
    </w:p>
    <w:p>
      <w:pPr>
        <w:spacing w:after="80"/>
      </w:pPr>
    </w:p>
    <w:p>
      <w:pPr>
        <w:spacing w:after="80"/>
      </w:pPr>
    </w:p>
    <w:p>
      <w:pPr>
        <w:spacing w:after="80"/>
      </w:pPr>
    </w:p>
    <w:p>
      <w:pPr>
        <w:spacing w:after="80"/>
        <w:jc w:val="center"/>
      </w:pPr>
      <w:r>
        <w:rPr>
          <w:rFonts w:ascii="Arial" w:cs="Arial" w:eastAsia="Arial" w:hAnsi="Arial"/>
          <w:color w:val="666666"/>
          <w:sz w:val="22"/>
          <w:szCs w:val="22"/>
        </w:rPr>
        <w:t xml:space="preserve">Machine Learning Pipeline for Real Estate Valuation</w:t>
      </w:r>
    </w:p>
    <w:p>
      <w:pPr>
        <w:spacing w:after="40"/>
        <w:jc w:val="center"/>
      </w:pPr>
      <w:r>
        <w:rPr>
          <w:rFonts w:ascii="Arial" w:cs="Arial" w:eastAsia="Arial" w:hAnsi="Arial"/>
          <w:color w:val="666666"/>
          <w:sz w:val="22"/>
          <w:szCs w:val="22"/>
        </w:rPr>
        <w:t xml:space="preserve">Orlando, Florida Property Dataset (~30,000 records)</w:t>
      </w:r>
    </w:p>
    <w:p>
      <w:pPr>
        <w:spacing w:after="80"/>
      </w:pPr>
    </w:p>
    <w:p>
      <w:pPr>
        <w:spacing w:after="80"/>
      </w:pPr>
    </w:p>
    <w:p>
      <w:pPr>
        <w:spacing w:after="80"/>
      </w:pPr>
    </w:p>
    <w:p>
      <w:pPr>
        <w:spacing w:after="80"/>
      </w:pPr>
    </w:p>
    <w:p>
      <w:pPr>
        <w:jc w:val="center"/>
      </w:pPr>
      <w:r>
        <w:rPr>
          <w:rFonts w:ascii="Arial" w:cs="Arial" w:eastAsia="Arial" w:hAnsi="Arial"/>
          <w:color w:val="666666"/>
          <w:sz w:val="20"/>
          <w:szCs w:val="20"/>
        </w:rPr>
        <w:t xml:space="preserve">February 2026</w:t>
      </w:r>
    </w:p>
    <w:p>
      <w:r>
        <w:br w:type="page"/>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120" w:line="276"/>
      </w:pPr>
      <w:r>
        <w:rPr>
          <w:rFonts w:ascii="Arial" w:cs="Arial" w:eastAsia="Arial" w:hAnsi="Arial"/>
          <w:color w:val="2D2D2D"/>
          <w:sz w:val="22"/>
          <w:szCs w:val="22"/>
        </w:rPr>
        <w:t xml:space="preserve">This document provides comprehensive technical documentation for the Orlando Housing Fair Market Value (FMV) Prediction Model, version 2. The system uses an XGBoost gradient-boosted regression model to predict property sale prices in Orlando, Florida, based on physical attributes, spatial features, and distance-based measures derived from a dataset of approximately 30,000 property records.</w:t>
      </w:r>
    </w:p>
    <w:p>
      <w:pPr>
        <w:spacing w:after="120" w:line="276"/>
      </w:pPr>
      <w:r>
        <w:rPr>
          <w:rFonts w:ascii="Arial" w:cs="Arial" w:eastAsia="Arial" w:hAnsi="Arial"/>
          <w:color w:val="2D2D2D"/>
          <w:sz w:val="22"/>
          <w:szCs w:val="22"/>
        </w:rPr>
        <w:t xml:space="preserve">Version 2 represents a significant methodological upgrade over v1, introducing Bayesian hyperparameter optimization via Optuna (replacing GridSearchCV), early stopping to prevent overfitting, enriched feature engineering with spatial clusters and interaction terms, multi-method feature importance analysis (split-based, permutation, and SHAP), and segment-level error diagnostics.</w:t>
      </w:r>
    </w:p>
    <w:p>
      <w:pPr>
        <w:pStyle w:val="Heading1"/>
      </w:pPr>
      <w:r>
        <w:t xml:space="preserve">2. Data Pipeline</w:t>
      </w:r>
    </w:p>
    <w:p>
      <w:pPr>
        <w:pStyle w:val="Heading2"/>
      </w:pPr>
      <w:r>
        <w:t xml:space="preserve">2.1 Data Loading and Cleaning</w:t>
      </w:r>
    </w:p>
    <w:p>
      <w:pPr>
        <w:spacing w:after="120" w:line="276"/>
      </w:pPr>
      <w:r>
        <w:rPr>
          <w:rFonts w:ascii="Arial" w:cs="Arial" w:eastAsia="Arial" w:hAnsi="Arial"/>
          <w:color w:val="2D2D2D"/>
          <w:sz w:val="22"/>
          <w:szCs w:val="22"/>
        </w:rPr>
        <w:t xml:space="preserve">The raw dataset is loaded from a CSV file containing Orlando housing transaction records. The cleaning pipeline addresses several data quality issues:</w:t>
      </w:r>
    </w:p>
    <w:p>
      <w:pPr>
        <w:pStyle w:val="ListParagraph"/>
        <w:numPr>
          <w:ilvl w:val="0"/>
          <w:numId w:val="2"/>
        </w:numPr>
        <w:spacing w:after="60" w:line="276"/>
      </w:pPr>
      <w:r>
        <w:rPr>
          <w:rFonts w:ascii="Arial" w:cs="Arial" w:eastAsia="Arial" w:hAnsi="Arial"/>
          <w:color w:val="2D2D2D"/>
          <w:sz w:val="22"/>
          <w:szCs w:val="22"/>
        </w:rPr>
        <w:t xml:space="preserve">Column name whitespace stripping for consistent access</w:t>
      </w:r>
    </w:p>
    <w:p>
      <w:pPr>
        <w:pStyle w:val="ListParagraph"/>
        <w:numPr>
          <w:ilvl w:val="0"/>
          <w:numId w:val="2"/>
        </w:numPr>
        <w:spacing w:after="60" w:line="276"/>
      </w:pPr>
      <w:r>
        <w:rPr>
          <w:rFonts w:ascii="Arial" w:cs="Arial" w:eastAsia="Arial" w:hAnsi="Arial"/>
          <w:color w:val="2D2D2D"/>
          <w:sz w:val="22"/>
          <w:szCs w:val="22"/>
        </w:rPr>
        <w:t xml:space="preserve">Currency formatting removal from numeric fields ($, commas, spaces) across 9 columns: SALE_PRC, LND_SQFOOT, TOT_LVG_AREA, RAIL_DIST, OCEAN_DIST, WATER_DIST, CNTR_DIST, SUBCNTR_DI, HWY_DIST</w:t>
      </w:r>
    </w:p>
    <w:p>
      <w:pPr>
        <w:pStyle w:val="ListParagraph"/>
        <w:numPr>
          <w:ilvl w:val="0"/>
          <w:numId w:val="2"/>
        </w:numPr>
        <w:spacing w:after="60" w:line="276"/>
      </w:pPr>
      <w:r>
        <w:rPr>
          <w:rFonts w:ascii="Arial" w:cs="Arial" w:eastAsia="Arial" w:hAnsi="Arial"/>
          <w:color w:val="2D2D2D"/>
          <w:sz w:val="22"/>
          <w:szCs w:val="22"/>
        </w:rPr>
        <w:t xml:space="preserve">Type coercion of all cleaned columns to float64</w:t>
      </w:r>
    </w:p>
    <w:p>
      <w:pPr>
        <w:pStyle w:val="ListParagraph"/>
        <w:numPr>
          <w:ilvl w:val="0"/>
          <w:numId w:val="2"/>
        </w:numPr>
        <w:spacing w:after="60" w:line="276"/>
      </w:pPr>
      <w:r>
        <w:rPr>
          <w:rFonts w:ascii="Arial" w:cs="Arial" w:eastAsia="Arial" w:hAnsi="Arial"/>
          <w:color w:val="2D2D2D"/>
          <w:sz w:val="22"/>
          <w:szCs w:val="22"/>
        </w:rPr>
        <w:t xml:space="preserve">Removal of the PARCELNO identifier column (no predictive value)</w:t>
      </w:r>
    </w:p>
    <w:p>
      <w:pPr>
        <w:pStyle w:val="Heading2"/>
      </w:pPr>
      <w:r>
        <w:t xml:space="preserve">2.2 Exploratory Data Analysis</w:t>
      </w:r>
    </w:p>
    <w:p>
      <w:pPr>
        <w:spacing w:after="120" w:line="276"/>
      </w:pPr>
      <w:r>
        <w:rPr>
          <w:rFonts w:ascii="Arial" w:cs="Arial" w:eastAsia="Arial" w:hAnsi="Arial"/>
          <w:color w:val="2D2D2D"/>
          <w:sz w:val="22"/>
          <w:szCs w:val="22"/>
        </w:rPr>
        <w:t xml:space="preserve">The EDA phase includes four key analyses performed before any feature engineering:</w:t>
      </w:r>
    </w:p>
    <w:p>
      <w:pPr>
        <w:pStyle w:val="ListParagraph"/>
        <w:numPr>
          <w:ilvl w:val="0"/>
          <w:numId w:val="3"/>
        </w:numPr>
        <w:spacing w:after="80" w:line="276"/>
      </w:pPr>
      <w:r>
        <w:rPr>
          <w:rFonts w:ascii="Arial" w:cs="Arial" w:eastAsia="Arial" w:hAnsi="Arial"/>
          <w:color w:val="2D2D2D"/>
          <w:sz w:val="22"/>
          <w:szCs w:val="22"/>
        </w:rPr>
        <w:t xml:space="preserve">Target distribution analysis: Sale price distribution on both the original dollar scale and log-transformed scale, confirming the right-skewed nature of housing prices and justifying the log1p transformation applied to the target variable.</w:t>
      </w:r>
    </w:p>
    <w:p>
      <w:pPr>
        <w:pStyle w:val="ListParagraph"/>
        <w:numPr>
          <w:ilvl w:val="0"/>
          <w:numId w:val="3"/>
        </w:numPr>
        <w:spacing w:after="80" w:line="276"/>
      </w:pPr>
      <w:r>
        <w:rPr>
          <w:rFonts w:ascii="Arial" w:cs="Arial" w:eastAsia="Arial" w:hAnsi="Arial"/>
          <w:color w:val="2D2D2D"/>
          <w:sz w:val="22"/>
          <w:szCs w:val="22"/>
        </w:rPr>
        <w:t xml:space="preserve">Feature-target correlation matrix: A horizontal bar chart ranking all features by Pearson correlation with SALE_PRC. TOT_LVG_AREA (total living area) is identified as the dominant predictor, followed by LND_SQFOOT (land square footage).</w:t>
      </w:r>
    </w:p>
    <w:p>
      <w:pPr>
        <w:pStyle w:val="ListParagraph"/>
        <w:numPr>
          <w:ilvl w:val="0"/>
          <w:numId w:val="3"/>
        </w:numPr>
        <w:spacing w:after="80" w:line="276"/>
      </w:pPr>
      <w:r>
        <w:rPr>
          <w:rFonts w:ascii="Arial" w:cs="Arial" w:eastAsia="Arial" w:hAnsi="Arial"/>
          <w:color w:val="2D2D2D"/>
          <w:sz w:val="22"/>
          <w:szCs w:val="22"/>
        </w:rPr>
        <w:t xml:space="preserve">Scatter plot analysis: Four key feature-target relationships are visualized (living area, land area, structure quality, and special feature value vs. price).</w:t>
      </w:r>
    </w:p>
    <w:p>
      <w:pPr>
        <w:pStyle w:val="ListParagraph"/>
        <w:numPr>
          <w:ilvl w:val="0"/>
          <w:numId w:val="3"/>
        </w:numPr>
        <w:spacing w:after="80" w:line="276"/>
      </w:pPr>
      <w:r>
        <w:rPr>
          <w:rFonts w:ascii="Arial" w:cs="Arial" w:eastAsia="Arial" w:hAnsi="Arial"/>
          <w:color w:val="2D2D2D"/>
          <w:sz w:val="22"/>
          <w:szCs w:val="22"/>
        </w:rPr>
        <w:t xml:space="preserve">Missing value audit: A programmatic check confirming no missing values in the dataset.</w:t>
      </w:r>
    </w:p>
    <w:p>
      <w:pPr>
        <w:pStyle w:val="Heading1"/>
      </w:pPr>
      <w:r>
        <w:t xml:space="preserve">3. Feature Engineering</w:t>
      </w:r>
    </w:p>
    <w:p>
      <w:pPr>
        <w:spacing w:after="120" w:line="276"/>
      </w:pPr>
      <w:r>
        <w:rPr>
          <w:rFonts w:ascii="Arial" w:cs="Arial" w:eastAsia="Arial" w:hAnsi="Arial"/>
          <w:color w:val="2D2D2D"/>
          <w:sz w:val="22"/>
          <w:szCs w:val="22"/>
        </w:rPr>
        <w:t xml:space="preserve">The feature engineering module transforms raw property attributes into a richer representation. Version 2 introduces several key changes: removal of raw distance columns (retaining only log-transformed versions), addition of spatial clusters via KMeans, and new interaction terms.</w:t>
      </w:r>
    </w:p>
    <w:p>
      <w:pPr>
        <w:pStyle w:val="Heading2"/>
      </w:pPr>
      <w:r>
        <w:t xml:space="preserve">3.1 Spatial Clustering</w:t>
      </w:r>
    </w:p>
    <w:p>
      <w:pPr>
        <w:spacing w:after="120" w:line="276"/>
      </w:pPr>
      <w:r>
        <w:rPr>
          <w:rFonts w:ascii="Arial" w:cs="Arial" w:eastAsia="Arial" w:hAnsi="Arial"/>
          <w:color w:val="2D2D2D"/>
          <w:sz w:val="22"/>
          <w:szCs w:val="22"/>
        </w:rPr>
        <w:t xml:space="preserve">A KMeans model with 15 clusters is fit on the full dataset using latitude and longitude coordinates before the train/test split. This is methodologically safe because it uses only location features (not the target variable). Each property is assigned a spatial_cluster label that captures neighborhood-level effects that may not be visible from distance features alone.</w:t>
      </w:r>
    </w:p>
    <w:p>
      <w:pPr>
        <w:pStyle w:val="Heading2"/>
      </w:pPr>
      <w:r>
        <w:t xml:space="preserve">3.2 Engineered Feature Categories</w:t>
      </w:r>
    </w:p>
    <w:p>
      <w:pPr>
        <w:spacing w:after="120" w:line="276"/>
      </w:pPr>
      <w:r>
        <w:rPr>
          <w:rFonts w:ascii="Arial" w:cs="Arial" w:eastAsia="Arial" w:hAnsi="Arial"/>
          <w:color w:val="2D2D2D"/>
          <w:sz w:val="22"/>
          <w:szCs w:val="22"/>
        </w:rPr>
        <w:t xml:space="preserve">The following table summarizes all engineered features by category: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Category</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Feature</w:t>
            </w:r>
          </w:p>
        </w:tc>
        <w:tc>
          <w:tcPr>
            <w:tcW w:type="dxa" w:w="4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Formula / 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Ratio Features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lot_utilization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TOT_LVG_AREA / LND_SQFOOT (building-to-lot ratio)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Ratio Features</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area_per_age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TOT_LVG_AREA / (age + 1)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Ratio Features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spec_feat_ratio</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SPEC_FEAT_VAL / (TOT_LVG_AREA * 200)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Ratio Features</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land_value_density</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LND_SQFOOT / (CNTR_DIST + 1) (neighborhood desirability proxy)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Interactions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quality_x_area</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structure_quality * TOT_LVG_AREA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Interactions</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quality_x_age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structure_quality / (age + 1)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Distance (log)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RAIL_DIST_log, etc.</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log1p(distance) for all 6 distance columns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Distance (derived)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urban_access</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1 / (CNTR_DIST_log + SUBCNTR_DI_log)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Distance (derived)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near_water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Binary: WATER_DIST_log &lt; log1p(1000)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Distance (derived)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hwy_convenience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Binary: log1p(500) &lt; HWY_DIST_log &lt; log1p(5000)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Temporal</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month_sin, month_cos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Cyclical encoding of month_sold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Location</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dist_from_center</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Euclidean distance from downtown Orlando (28.5383, -81.3792)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Location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spatial_cluster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KMeans cluster assignment (15 clusters)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Binary</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has_spec_feat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1 if SPEC_FEAT_VAL &gt; 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Nonlinear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quality_sq</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structure_quality squared</w:t>
            </w:r>
          </w:p>
        </w:tc>
      </w:tr>
    </w:tbl>
    <w:p>
      <w:pPr>
        <w:spacing w:after="80"/>
      </w:pPr>
    </w:p>
    <w:p>
      <w:pPr>
        <w:spacing w:after="120" w:line="276"/>
      </w:pPr>
      <w:r>
        <w:rPr>
          <w:rFonts w:ascii="Arial" w:cs="Arial" w:eastAsia="Arial" w:hAnsi="Arial"/>
          <w:color w:val="2D2D2D"/>
          <w:sz w:val="22"/>
          <w:szCs w:val="22"/>
        </w:rPr>
        <w:t xml:space="preserve">After engineering, the raw distance columns (RAIL_DIST, OCEAN_DIST, WATER_DIST, CNTR_DIST, SUBCNTR_DI, HWY_DIST) are dropped entirely, retaining only their log-transformed versions to eliminate multicollinearity.</w:t>
      </w:r>
    </w:p>
    <w:p>
      <w:pPr>
        <w:pStyle w:val="Heading1"/>
      </w:pPr>
      <w:r>
        <w:t xml:space="preserve">4. Target Variable Transformation</w:t>
      </w:r>
    </w:p>
    <w:p>
      <w:pPr>
        <w:spacing w:after="120" w:line="276"/>
      </w:pPr>
      <w:r>
        <w:rPr>
          <w:rFonts w:ascii="Arial" w:cs="Arial" w:eastAsia="Arial" w:hAnsi="Arial"/>
          <w:color w:val="2D2D2D"/>
          <w:sz w:val="22"/>
          <w:szCs w:val="22"/>
        </w:rPr>
        <w:t xml:space="preserve">The target variable (SALE_PRC) undergoes a log1p transformation (y = log(1 + x)) before modeling. This addresses the right-skewed distribution of housing prices, makes the residual distribution more normal, and reduces the influence of extreme high-value outliers on the loss function. All evaluation metrics are computed on the original dollar scale by applying the inverse transformation (expm1) to predictions.</w:t>
      </w:r>
    </w:p>
    <w:p>
      <w:pPr>
        <w:pStyle w:val="Heading1"/>
      </w:pPr>
      <w:r>
        <w:t xml:space="preserve">5. Baseline Model Comparisons</w:t>
      </w:r>
    </w:p>
    <w:p>
      <w:pPr>
        <w:spacing w:after="120" w:line="276"/>
      </w:pPr>
      <w:r>
        <w:rPr>
          <w:rFonts w:ascii="Arial" w:cs="Arial" w:eastAsia="Arial" w:hAnsi="Arial"/>
          <w:color w:val="2D2D2D"/>
          <w:sz w:val="22"/>
          <w:szCs w:val="22"/>
        </w:rPr>
        <w:t xml:space="preserve">Before hyperparameter tuning, three baseline models are established to quantify the value of model complexity. Data is split 80/20 for train/test with a fixed random seed for reproducibility.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Model</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Median Prediction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Predicts the training set median for all samples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Absolute floor; any useful model must beat this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Linear Regression</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Ordinary least squares on all engineered features</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Tests whether nonlinear modeling is necessary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XGBoost (defaults)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XGBoost with no tuning applied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Measures out-of-the-box tree ensemble performance</w:t>
            </w:r>
          </w:p>
        </w:tc>
      </w:tr>
    </w:tbl>
    <w:p>
      <w:pPr>
        <w:spacing w:after="80"/>
      </w:pPr>
    </w:p>
    <w:p>
      <w:pPr>
        <w:spacing w:after="120" w:line="276"/>
      </w:pPr>
      <w:r>
        <w:rPr>
          <w:rFonts w:ascii="Arial" w:cs="Arial" w:eastAsia="Arial" w:hAnsi="Arial"/>
          <w:color w:val="2D2D2D"/>
          <w:sz w:val="22"/>
          <w:szCs w:val="22"/>
        </w:rPr>
        <w:t xml:space="preserve">The evaluation function computes six metrics on the original dollar scale: RMSE, MAE, R-squared, MAPE, percentage of predictions within 10% of actual, and percentage within 15% of actual.</w:t>
      </w:r>
    </w:p>
    <w:p>
      <w:pPr>
        <w:pStyle w:val="Heading1"/>
      </w:pPr>
      <w:r>
        <w:t xml:space="preserve">6. Hyperparameter Tuning</w:t>
      </w:r>
    </w:p>
    <w:p>
      <w:pPr>
        <w:pStyle w:val="Heading2"/>
      </w:pPr>
      <w:r>
        <w:t xml:space="preserve">6.1 Optuna Bayesian Optimization</w:t>
      </w:r>
    </w:p>
    <w:p>
      <w:pPr>
        <w:spacing w:after="120" w:line="276"/>
      </w:pPr>
      <w:r>
        <w:rPr>
          <w:rFonts w:ascii="Arial" w:cs="Arial" w:eastAsia="Arial" w:hAnsi="Arial"/>
          <w:color w:val="2D2D2D"/>
          <w:sz w:val="22"/>
          <w:szCs w:val="22"/>
        </w:rPr>
        <w:t xml:space="preserve">Version 2 replaces GridSearchCV (972 combinations in v1) with Optuna, a Bayesian optimization framework using the Tree-structured Parzen Estimator (TPE) sampler. This approach is significantly more efficient for large search spaces, intelligently sampling promising regions of the hyperparameter space rather than exhaustively searching a grid.</w:t>
      </w:r>
    </w:p>
    <w:p>
      <w:pPr>
        <w:spacing w:after="120" w:line="276"/>
      </w:pPr>
      <w:r>
        <w:rPr>
          <w:rFonts w:ascii="Arial" w:cs="Arial" w:eastAsia="Arial" w:hAnsi="Arial"/>
          <w:color w:val="2D2D2D"/>
          <w:sz w:val="22"/>
          <w:szCs w:val="22"/>
        </w:rPr>
        <w:t xml:space="preserve">A 15% validation holdout is carved from the training data specifically for early stopping and Optuna trial evaluation. The optimization runs 100 trials, each training a model with up to 2,000 boosting rounds and early stopping after 50 rounds of no validation improvement.</w:t>
      </w:r>
    </w:p>
    <w:p>
      <w:pPr>
        <w:pStyle w:val="Heading2"/>
      </w:pPr>
      <w:r>
        <w:t xml:space="preserve">6.2 Search Space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400"/>
        <w:gridCol w:w="35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Parameter</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Range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Scale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max_depth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3 – 10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Integer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Tree depth (complexity control)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min_child_weight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1 – 10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Integer</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Minimum leaf node sample weight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learning_rate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0.01 – 0.3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Log</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Step size shrinkage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subsample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0.6 – 1.0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Row subsampling ratio per tree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colsample_bytree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0.5 – 1.0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Column subsampling ratio per tree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reg_alpha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1e-8 – 10.0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Log</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L1 regularization (sparsity)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reg_lambda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1e-8 – 10.0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Log</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L2 regularization (smoothness)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gamma</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1e-8 – 5.0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Log</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Minimum split loss reduction</w:t>
            </w:r>
          </w:p>
        </w:tc>
      </w:tr>
    </w:tbl>
    <w:p>
      <w:pPr>
        <w:spacing w:after="80"/>
      </w:pPr>
    </w:p>
    <w:p>
      <w:pPr>
        <w:pStyle w:val="Heading2"/>
      </w:pPr>
      <w:r>
        <w:t xml:space="preserve">6.3 Early Stopping</w:t>
      </w:r>
    </w:p>
    <w:p>
      <w:pPr>
        <w:spacing w:after="120" w:line="276"/>
      </w:pPr>
      <w:r>
        <w:rPr>
          <w:rFonts w:ascii="Arial" w:cs="Arial" w:eastAsia="Arial" w:hAnsi="Arial"/>
          <w:color w:val="2D2D2D"/>
          <w:sz w:val="22"/>
          <w:szCs w:val="22"/>
        </w:rPr>
        <w:t xml:space="preserve">Early stopping is a critical v2 addition. Each model is allowed up to 2,000 boosting rounds, but training halts if the validation RMSE does not improve for 50 consecutive rounds. This prevents overfitting and automatically selects the optimal number of trees, eliminating n_estimators as a manual tuning parameter.</w:t>
      </w:r>
    </w:p>
    <w:p>
      <w:pPr>
        <w:pStyle w:val="Heading2"/>
      </w:pPr>
      <w:r>
        <w:t xml:space="preserve">6.4 Final Model Training</w:t>
      </w:r>
    </w:p>
    <w:p>
      <w:pPr>
        <w:spacing w:after="120" w:line="276"/>
      </w:pPr>
      <w:r>
        <w:rPr>
          <w:rFonts w:ascii="Arial" w:cs="Arial" w:eastAsia="Arial" w:hAnsi="Arial"/>
          <w:color w:val="2D2D2D"/>
          <w:sz w:val="22"/>
          <w:szCs w:val="22"/>
        </w:rPr>
        <w:t xml:space="preserve">After Optuna selects the best hyperparameters, the final model is retrained on the full training set (with a 10% internal holdout for early stopping). This ensures the production model benefits from maximum training data while still having overfitting protection.</w:t>
      </w:r>
    </w:p>
    <w:p>
      <w:pPr>
        <w:pStyle w:val="Heading1"/>
      </w:pPr>
      <w:r>
        <w:t xml:space="preserve">7. Cross-Validation Analysis</w:t>
      </w:r>
    </w:p>
    <w:p>
      <w:pPr>
        <w:spacing w:after="120" w:line="276"/>
      </w:pPr>
      <w:r>
        <w:rPr>
          <w:rFonts w:ascii="Arial" w:cs="Arial" w:eastAsia="Arial" w:hAnsi="Arial"/>
          <w:color w:val="2D2D2D"/>
          <w:sz w:val="22"/>
          <w:szCs w:val="22"/>
        </w:rPr>
        <w:t xml:space="preserve">A 5-fold cross-validation is performed using the best hyperparameters to assess model stability. Within each fold, a further 10% holdout is carved for early stopping, ensuring consistent regularization across folds.</w:t>
      </w:r>
    </w:p>
    <w:p>
      <w:pPr>
        <w:spacing w:after="120" w:line="276"/>
      </w:pPr>
      <w:r>
        <w:rPr>
          <w:rFonts w:ascii="Arial" w:cs="Arial" w:eastAsia="Arial" w:hAnsi="Arial"/>
          <w:color w:val="2D2D2D"/>
          <w:sz w:val="22"/>
          <w:szCs w:val="22"/>
        </w:rPr>
        <w:t xml:space="preserve">For each fold, four metrics are recorded on the original dollar scale: RMSE, MAE, R-squared, and MAPE. The number of trees selected by early stopping (best_iteration) is also logged to monitor consistency. Results are visualized as box plots across the four metrics to assess variance.</w:t>
      </w:r>
    </w:p>
    <w:p>
      <w:pPr>
        <w:pStyle w:val="Heading1"/>
      </w:pPr>
      <w:r>
        <w:t xml:space="preserve">8. Test Set Evaluation</w:t>
      </w:r>
    </w:p>
    <w:p>
      <w:pPr>
        <w:spacing w:after="120" w:line="276"/>
      </w:pPr>
      <w:r>
        <w:rPr>
          <w:rFonts w:ascii="Arial" w:cs="Arial" w:eastAsia="Arial" w:hAnsi="Arial"/>
          <w:color w:val="2D2D2D"/>
          <w:sz w:val="22"/>
          <w:szCs w:val="22"/>
        </w:rPr>
        <w:t xml:space="preserve">The held-out 20% test set provides the definitive performance assessment. Predictions are made in log space and inverse-transformed to dollars. In addition to the standard six metrics, accuracy is reported in dollar-value buckets (within $25K, $50K, $100K) for practical interpretability.</w:t>
      </w:r>
    </w:p>
    <w:p>
      <w:pPr>
        <w:spacing w:after="120" w:line="276"/>
      </w:pPr>
      <w:r>
        <w:rPr>
          <w:rFonts w:ascii="Arial" w:cs="Arial" w:eastAsia="Arial" w:hAnsi="Arial"/>
          <w:color w:val="2D2D2D"/>
          <w:sz w:val="22"/>
          <w:szCs w:val="22"/>
        </w:rPr>
        <w:t xml:space="preserve">Two diagnostic visualizations are produced: an actual-vs-predicted scatter plot (ideally clustering along the diagonal) and an absolute error distribution histogram showing where prediction errors concentrate.</w:t>
      </w:r>
    </w:p>
    <w:p>
      <w:pPr>
        <w:spacing w:after="120" w:line="276"/>
      </w:pPr>
      <w:r>
        <w:rPr>
          <w:rFonts w:ascii="Arial" w:cs="Arial" w:eastAsia="Arial" w:hAnsi="Arial"/>
          <w:color w:val="2D2D2D"/>
          <w:sz w:val="22"/>
          <w:szCs w:val="22"/>
        </w:rPr>
        <w:t xml:space="preserve">A final comparison table ranks all four models (Median, Linear Regression, default XGBoost, tuned XGBoost v2) across R-squared, RMSE, and MAE to demonstrate the cumulative value of tuning and feature engineering.</w:t>
      </w:r>
    </w:p>
    <w:p>
      <w:pPr>
        <w:pStyle w:val="Heading1"/>
      </w:pPr>
      <w:r>
        <w:t xml:space="preserve">9. Segment-Level Error Analysis</w:t>
      </w:r>
    </w:p>
    <w:p>
      <w:pPr>
        <w:spacing w:after="120" w:line="276"/>
      </w:pPr>
      <w:r>
        <w:rPr>
          <w:rFonts w:ascii="Arial" w:cs="Arial" w:eastAsia="Arial" w:hAnsi="Arial"/>
          <w:color w:val="2D2D2D"/>
          <w:sz w:val="22"/>
          <w:szCs w:val="22"/>
        </w:rPr>
        <w:t xml:space="preserve">Global metrics can mask poor performance in specific price tiers. The test set is divided into seven segments for granular evaluation: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Segment</w:t>
            </w:r>
          </w:p>
        </w:tc>
        <w:tc>
          <w:tcPr>
            <w:tcW w:type="dxa" w:w="5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Range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Under $200K</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$0 – $199,999</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$200K–$300K</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$200,000 – $299,999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$300K–$400K</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$300,000 – $399,999</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$400K–$500K</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$400,000 – $499,999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$500K–$700K</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$500,000 – $699,999</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$700K–$1M</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$700,000 – $999,999</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$1M+</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$1,000,000+</w:t>
            </w:r>
          </w:p>
        </w:tc>
      </w:tr>
    </w:tbl>
    <w:p>
      <w:pPr>
        <w:spacing w:after="80"/>
      </w:pPr>
    </w:p>
    <w:p>
      <w:pPr>
        <w:spacing w:after="120" w:line="276"/>
      </w:pPr>
      <w:r>
        <w:rPr>
          <w:rFonts w:ascii="Arial" w:cs="Arial" w:eastAsia="Arial" w:hAnsi="Arial"/>
          <w:color w:val="2D2D2D"/>
          <w:sz w:val="22"/>
          <w:szCs w:val="22"/>
        </w:rPr>
        <w:t xml:space="preserve">For each segment, the analysis computes: MAPE, MAE, R-squared, percentage within 10%, and average bias (positive = systematic overprediction). Visualizations include MAPE by segment bar charts, sample count distribution, and within-10% accuracy rates.</w:t>
      </w:r>
    </w:p>
    <w:p>
      <w:pPr>
        <w:pStyle w:val="Heading1"/>
      </w:pPr>
      <w:r>
        <w:t xml:space="preserve">10. Worst Predictions Deep Dive</w:t>
      </w:r>
    </w:p>
    <w:p>
      <w:pPr>
        <w:spacing w:after="120" w:line="276"/>
      </w:pPr>
      <w:r>
        <w:rPr>
          <w:rFonts w:ascii="Arial" w:cs="Arial" w:eastAsia="Arial" w:hAnsi="Arial"/>
          <w:color w:val="2D2D2D"/>
          <w:sz w:val="22"/>
          <w:szCs w:val="22"/>
        </w:rPr>
        <w:t xml:space="preserve">The top 5% of predictions by percentage error are isolated and examined to identify systematic failure modes. The analysis compares feature distributions between the worst predictions and the median-accuracy predictions across key features: total living area, land square footage, age, structure quality, and spatial cluster.</w:t>
      </w:r>
    </w:p>
    <w:p>
      <w:pPr>
        <w:spacing w:after="120" w:line="276"/>
      </w:pPr>
      <w:r>
        <w:rPr>
          <w:rFonts w:ascii="Arial" w:cs="Arial" w:eastAsia="Arial" w:hAnsi="Arial"/>
          <w:color w:val="2D2D2D"/>
          <w:sz w:val="22"/>
          <w:szCs w:val="22"/>
        </w:rPr>
        <w:t xml:space="preserve">This diagnostic reveals whether the model struggles with specific property types (e.g., unusually large lots, very old properties, or specific geographic clusters) and can guide targeted data collection or model improvements.</w:t>
      </w:r>
    </w:p>
    <w:p>
      <w:pPr>
        <w:pStyle w:val="Heading1"/>
      </w:pPr>
      <w:r>
        <w:t xml:space="preserve">11. Feature Importance Analysis</w:t>
      </w:r>
    </w:p>
    <w:p>
      <w:pPr>
        <w:spacing w:after="120" w:line="276"/>
      </w:pPr>
      <w:r>
        <w:rPr>
          <w:rFonts w:ascii="Arial" w:cs="Arial" w:eastAsia="Arial" w:hAnsi="Arial"/>
          <w:color w:val="2D2D2D"/>
          <w:sz w:val="22"/>
          <w:szCs w:val="22"/>
        </w:rPr>
        <w:t xml:space="preserve">Three complementary methods are used to understand which features drive model predictions, each with different strengths:</w:t>
      </w:r>
    </w:p>
    <w:p>
      <w:pPr>
        <w:pStyle w:val="Heading2"/>
      </w:pPr>
      <w:r>
        <w:t xml:space="preserve">11.1 Split-Based Importance (XGBoost Native)</w:t>
      </w:r>
    </w:p>
    <w:p>
      <w:pPr>
        <w:spacing w:after="120" w:line="276"/>
      </w:pPr>
      <w:r>
        <w:rPr>
          <w:rFonts w:ascii="Arial" w:cs="Arial" w:eastAsia="Arial" w:hAnsi="Arial"/>
          <w:color w:val="2D2D2D"/>
          <w:sz w:val="22"/>
          <w:szCs w:val="22"/>
        </w:rPr>
        <w:t xml:space="preserve">Reports how frequently each feature is used as a split point across all trees. This is fast but can be biased toward high-cardinality features and does not account for feature interactions. The top 15 features are visualized as a horizontal bar chart.</w:t>
      </w:r>
    </w:p>
    <w:p>
      <w:pPr>
        <w:pStyle w:val="Heading2"/>
      </w:pPr>
      <w:r>
        <w:t xml:space="preserve">11.2 Permutation Importance</w:t>
      </w:r>
    </w:p>
    <w:p>
      <w:pPr>
        <w:spacing w:after="120" w:line="276"/>
      </w:pPr>
      <w:r>
        <w:rPr>
          <w:rFonts w:ascii="Arial" w:cs="Arial" w:eastAsia="Arial" w:hAnsi="Arial"/>
          <w:color w:val="2D2D2D"/>
          <w:sz w:val="22"/>
          <w:szCs w:val="22"/>
        </w:rPr>
        <w:t xml:space="preserve">A model-agnostic approach that measures the decrease in test-set performance (negative RMSE) when each feature is randomly shuffled. This is more reliable than split-based importance because it captures the actual predictive contribution, including nonlinear effects. Computed with 10 repetitions for statistical stability. Reported with mean and standard deviation.</w:t>
      </w:r>
    </w:p>
    <w:p>
      <w:pPr>
        <w:pStyle w:val="Heading2"/>
      </w:pPr>
      <w:r>
        <w:t xml:space="preserve">11.3 SHAP (SHapley Additive exPlanations)</w:t>
      </w:r>
    </w:p>
    <w:p>
      <w:pPr>
        <w:spacing w:after="120" w:line="276"/>
      </w:pPr>
      <w:r>
        <w:rPr>
          <w:rFonts w:ascii="Arial" w:cs="Arial" w:eastAsia="Arial" w:hAnsi="Arial"/>
          <w:color w:val="2D2D2D"/>
          <w:sz w:val="22"/>
          <w:szCs w:val="22"/>
        </w:rPr>
        <w:t xml:space="preserve">SHAP values provide the most granular interpretability by decomposing each individual prediction into per-feature contributions. The TreeExplainer is used for efficient computation on a subsample of up to 1,000 test observations. Three SHAP visualizations are produced:</w:t>
      </w:r>
    </w:p>
    <w:p>
      <w:pPr>
        <w:pStyle w:val="ListParagraph"/>
        <w:numPr>
          <w:ilvl w:val="0"/>
          <w:numId w:val="2"/>
        </w:numPr>
        <w:spacing w:after="60" w:line="276"/>
      </w:pPr>
      <w:r>
        <w:rPr>
          <w:rFonts w:ascii="Arial" w:cs="Arial" w:eastAsia="Arial" w:hAnsi="Arial"/>
          <w:color w:val="2D2D2D"/>
          <w:sz w:val="22"/>
          <w:szCs w:val="22"/>
        </w:rPr>
        <w:t xml:space="preserve">Beeswarm plot: Shows the distribution and direction of each feature's impact across all predictions</w:t>
      </w:r>
    </w:p>
    <w:p>
      <w:pPr>
        <w:pStyle w:val="ListParagraph"/>
        <w:numPr>
          <w:ilvl w:val="0"/>
          <w:numId w:val="2"/>
        </w:numPr>
        <w:spacing w:after="60" w:line="276"/>
      </w:pPr>
      <w:r>
        <w:rPr>
          <w:rFonts w:ascii="Arial" w:cs="Arial" w:eastAsia="Arial" w:hAnsi="Arial"/>
          <w:color w:val="2D2D2D"/>
          <w:sz w:val="22"/>
          <w:szCs w:val="22"/>
        </w:rPr>
        <w:t xml:space="preserve">Bar plot: Ranks features by mean absolute SHAP value (overall importance)</w:t>
      </w:r>
    </w:p>
    <w:p>
      <w:pPr>
        <w:pStyle w:val="ListParagraph"/>
        <w:numPr>
          <w:ilvl w:val="0"/>
          <w:numId w:val="2"/>
        </w:numPr>
        <w:spacing w:after="60" w:line="276"/>
      </w:pPr>
      <w:r>
        <w:rPr>
          <w:rFonts w:ascii="Arial" w:cs="Arial" w:eastAsia="Arial" w:hAnsi="Arial"/>
          <w:color w:val="2D2D2D"/>
          <w:sz w:val="22"/>
          <w:szCs w:val="22"/>
        </w:rPr>
        <w:t xml:space="preserve">Dependence plots: Show how the top 4 features' values relate to their SHAP contributions, with automatic interaction coloring</w:t>
      </w:r>
    </w:p>
    <w:p>
      <w:pPr>
        <w:pStyle w:val="Heading1"/>
      </w:pPr>
      <w:r>
        <w:t xml:space="preserve">12. Residual Diagnostics</w:t>
      </w:r>
    </w:p>
    <w:p>
      <w:pPr>
        <w:spacing w:after="120" w:line="276"/>
      </w:pPr>
      <w:r>
        <w:rPr>
          <w:rFonts w:ascii="Arial" w:cs="Arial" w:eastAsia="Arial" w:hAnsi="Arial"/>
          <w:color w:val="2D2D2D"/>
          <w:sz w:val="22"/>
          <w:szCs w:val="22"/>
        </w:rPr>
        <w:t xml:space="preserve">A four-panel residual analysis is performed on the test set to identify systematic model failures:</w:t>
      </w:r>
    </w:p>
    <w:p>
      <w:pPr>
        <w:pStyle w:val="ListParagraph"/>
        <w:numPr>
          <w:ilvl w:val="0"/>
          <w:numId w:val="3"/>
        </w:numPr>
        <w:spacing w:after="80" w:line="276"/>
      </w:pPr>
      <w:r>
        <w:rPr>
          <w:rFonts w:ascii="Arial" w:cs="Arial" w:eastAsia="Arial" w:hAnsi="Arial"/>
          <w:color w:val="2D2D2D"/>
          <w:sz w:val="22"/>
          <w:szCs w:val="22"/>
        </w:rPr>
        <w:t xml:space="preserve">Residuals vs. Predicted: Tests for heteroscedasticity (error variance increasing with predicted value). A fan-shaped pattern indicates the model's uncertainty grows with property value.</w:t>
      </w:r>
    </w:p>
    <w:p>
      <w:pPr>
        <w:pStyle w:val="ListParagraph"/>
        <w:numPr>
          <w:ilvl w:val="0"/>
          <w:numId w:val="3"/>
        </w:numPr>
        <w:spacing w:after="80" w:line="276"/>
      </w:pPr>
      <w:r>
        <w:rPr>
          <w:rFonts w:ascii="Arial" w:cs="Arial" w:eastAsia="Arial" w:hAnsi="Arial"/>
          <w:color w:val="2D2D2D"/>
          <w:sz w:val="22"/>
          <w:szCs w:val="22"/>
        </w:rPr>
        <w:t xml:space="preserve">Q-Q Plot: Compares residual distribution against a theoretical normal distribution. Heavy tails indicate the model makes occasional large errors beyond what a normal distribution would predict.</w:t>
      </w:r>
    </w:p>
    <w:p>
      <w:pPr>
        <w:pStyle w:val="ListParagraph"/>
        <w:numPr>
          <w:ilvl w:val="0"/>
          <w:numId w:val="3"/>
        </w:numPr>
        <w:spacing w:after="80" w:line="276"/>
      </w:pPr>
      <w:r>
        <w:rPr>
          <w:rFonts w:ascii="Arial" w:cs="Arial" w:eastAsia="Arial" w:hAnsi="Arial"/>
          <w:color w:val="2D2D2D"/>
          <w:sz w:val="22"/>
          <w:szCs w:val="22"/>
        </w:rPr>
        <w:t xml:space="preserve">Percentage Error vs. Predicted: Normalizes residuals by actual value to check if relative accuracy is consistent across price ranges.</w:t>
      </w:r>
    </w:p>
    <w:p>
      <w:pPr>
        <w:pStyle w:val="ListParagraph"/>
        <w:numPr>
          <w:ilvl w:val="0"/>
          <w:numId w:val="3"/>
        </w:numPr>
        <w:spacing w:after="80" w:line="276"/>
      </w:pPr>
      <w:r>
        <w:rPr>
          <w:rFonts w:ascii="Arial" w:cs="Arial" w:eastAsia="Arial" w:hAnsi="Arial"/>
          <w:color w:val="2D2D2D"/>
          <w:sz w:val="22"/>
          <w:szCs w:val="22"/>
        </w:rPr>
        <w:t xml:space="preserve">Residual Histogram: Shows the overall error distribution shape and symmetry, with the mean residual annotated to detect systematic bias.</w:t>
      </w:r>
    </w:p>
    <w:p>
      <w:pPr>
        <w:pStyle w:val="Heading1"/>
      </w:pPr>
      <w:r>
        <w:t xml:space="preserve">13. Model Artifacts and Outputs</w:t>
      </w:r>
    </w:p>
    <w:p>
      <w:pPr>
        <w:spacing w:after="120" w:line="276"/>
      </w:pPr>
      <w:r>
        <w:rPr>
          <w:rFonts w:ascii="Arial" w:cs="Arial" w:eastAsia="Arial" w:hAnsi="Arial"/>
          <w:color w:val="2D2D2D"/>
          <w:sz w:val="22"/>
          <w:szCs w:val="22"/>
        </w:rPr>
        <w:t xml:space="preserve">The pipeline saves seven files for production deployment and reproducibility: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200"/>
        <w:gridCol w:w="4360"/>
      </w:tblGrid>
      <w:tr>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Format</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Purpose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orlando_fmv_xgboost_model_v2.json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JSON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Serialized XGBoost model (loadable via load_model)</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spatial_kmeans.pkl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Pickle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Fitted KMeans model for spatial cluster assignment at inference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feature_importance_split.csv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CSV</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Split-based feature importance rankings</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feature_importance_permutation.csv</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CSV</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Permutation importance with mean and std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cv_results_v2.csv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CSV</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Per-fold cross-validation metrics</w:t>
            </w:r>
          </w:p>
        </w:tc>
      </w:tr>
      <w:tr>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feature_list_v2.csv</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CSV</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Ordered feature names (required for prediction)</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segment_analysis_v2.csv</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CSV</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Performance breakdown by price segment</w:t>
            </w:r>
          </w:p>
        </w:tc>
      </w:tr>
    </w:tbl>
    <w:p>
      <w:pPr>
        <w:pStyle w:val="Heading1"/>
      </w:pPr>
      <w:r>
        <w:t xml:space="preserve">14. Inference API</w:t>
      </w:r>
    </w:p>
    <w:p>
      <w:pPr>
        <w:spacing w:after="120" w:line="276"/>
      </w:pPr>
      <w:r>
        <w:rPr>
          <w:rFonts w:ascii="Arial" w:cs="Arial" w:eastAsia="Arial" w:hAnsi="Arial"/>
          <w:color w:val="2D2D2D"/>
          <w:sz w:val="22"/>
          <w:szCs w:val="22"/>
        </w:rPr>
        <w:t xml:space="preserve">Two functions are provided for making predictions on new properties:</w:t>
      </w:r>
    </w:p>
    <w:p>
      <w:pPr>
        <w:pStyle w:val="Heading2"/>
      </w:pPr>
      <w:r>
        <w:t xml:space="preserve">14.1 predict_fair_market_value()</w:t>
      </w:r>
    </w:p>
    <w:p>
      <w:pPr>
        <w:spacing w:after="120" w:line="276"/>
      </w:pPr>
      <w:r>
        <w:rPr>
          <w:rFonts w:ascii="Arial" w:cs="Arial" w:eastAsia="Arial" w:hAnsi="Arial"/>
          <w:color w:val="2D2D2D"/>
          <w:sz w:val="22"/>
          <w:szCs w:val="22"/>
        </w:rPr>
        <w:t xml:space="preserve">Accepts a trained model, feature name list, raw property dictionary, and the KMeans model. Internally applies the full feature engineering pipeline, selects features in the correct order, predicts in log space, and returns the dollar-scale FMV estimate.</w:t>
      </w:r>
    </w:p>
    <w:p>
      <w:pPr>
        <w:pStyle w:val="Heading2"/>
      </w:pPr>
      <w:r>
        <w:t xml:space="preserve">14.2 load_model_and_predict()</w:t>
      </w:r>
    </w:p>
    <w:p>
      <w:pPr>
        <w:spacing w:after="120" w:line="276"/>
      </w:pPr>
      <w:r>
        <w:rPr>
          <w:rFonts w:ascii="Arial" w:cs="Arial" w:eastAsia="Arial" w:hAnsi="Arial"/>
          <w:color w:val="2D2D2D"/>
          <w:sz w:val="22"/>
          <w:szCs w:val="22"/>
        </w:rPr>
        <w:t xml:space="preserve">A convenience wrapper that loads all saved artifacts from disk (model JSON, feature list CSV, KMeans pickle) and calls predict_fair_market_value. This is the recommended entry point for production integration.</w:t>
      </w:r>
    </w:p>
    <w:p>
      <w:pPr>
        <w:pStyle w:val="Heading2"/>
      </w:pPr>
      <w:r>
        <w:t xml:space="preserve">14.3 Required Input Fields</w:t>
      </w:r>
    </w:p>
    <w:p>
      <w:pPr>
        <w:spacing w:after="120" w:line="276"/>
      </w:pPr>
      <w:r>
        <w:rPr>
          <w:rFonts w:ascii="Arial" w:cs="Arial" w:eastAsia="Arial" w:hAnsi="Arial"/>
          <w:color w:val="2D2D2D"/>
          <w:sz w:val="22"/>
          <w:szCs w:val="22"/>
        </w:rPr>
        <w:t xml:space="preserve">A prediction request must include the following raw property attributes: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5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LATITUDE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Property latitude coordinate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LONGITUDE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Property longitude coordinate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LND_SQFOOT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Land area in square feet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TOT_LVG_AREA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Total living area in square feet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SPEC_FEAT_VAL</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Special feature value (pool, dock, etc.)</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RAIL_DIST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Distance to nearest rail (feet)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OCEAN_DIST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Distance to ocean (feet)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WATER_DIST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Distance to nearest water body (feet)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CNTR_DIST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Distance to city center (feet)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SUBCNTR_DI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Distance to sub-center (feet)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HWY_DIST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Float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Distance to nearest highway (feet)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age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Int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Property age in years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structure_quality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Int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Structure quality rating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month_sold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Int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Month of sale (1–12)</w:t>
            </w:r>
          </w:p>
        </w:tc>
      </w:tr>
    </w:tbl>
    <w:p>
      <w:pPr>
        <w:pStyle w:val="Heading1"/>
      </w:pPr>
      <w:r>
        <w:t xml:space="preserve">15. Known Limitations</w:t>
      </w:r>
    </w:p>
    <w:p>
      <w:pPr>
        <w:pStyle w:val="Heading2"/>
      </w:pPr>
      <w:r>
        <w:t xml:space="preserve">15.1 Missing Feature Coverage</w:t>
      </w:r>
    </w:p>
    <w:p>
      <w:pPr>
        <w:spacing w:after="120" w:line="276"/>
      </w:pPr>
      <w:r>
        <w:rPr>
          <w:rFonts w:ascii="Arial" w:cs="Arial" w:eastAsia="Arial" w:hAnsi="Arial"/>
          <w:color w:val="2D2D2D"/>
          <w:sz w:val="22"/>
          <w:szCs w:val="22"/>
        </w:rPr>
        <w:t xml:space="preserve">The dataset lacks several high-impact value drivers: school district quality/ratings, crime statistics, HOA fees and neighborhood amenities, renovation/remodel history, bedroom and bathroom counts, macroeconomic indicators, and comparable sales data.</w:t>
      </w:r>
    </w:p>
    <w:p>
      <w:pPr>
        <w:pStyle w:val="Heading2"/>
      </w:pPr>
      <w:r>
        <w:t xml:space="preserve">15.2 Segment Weakness</w:t>
      </w:r>
    </w:p>
    <w:p>
      <w:pPr>
        <w:spacing w:after="120" w:line="276"/>
      </w:pPr>
      <w:r>
        <w:rPr>
          <w:rFonts w:ascii="Arial" w:cs="Arial" w:eastAsia="Arial" w:hAnsi="Arial"/>
          <w:color w:val="2D2D2D"/>
          <w:sz w:val="22"/>
          <w:szCs w:val="22"/>
        </w:rPr>
        <w:t xml:space="preserve">The model performs worst on properties at the distribution extremes (very low-value and very high-value homes). Within-segment R-squared may be negative for these tails, meaning the model is no better than predicting the segment mean.</w:t>
      </w:r>
    </w:p>
    <w:p>
      <w:pPr>
        <w:pStyle w:val="Heading2"/>
      </w:pPr>
      <w:r>
        <w:t xml:space="preserve">15.3 Systematic Underprediction</w:t>
      </w:r>
    </w:p>
    <w:p>
      <w:pPr>
        <w:spacing w:after="120" w:line="276"/>
      </w:pPr>
      <w:r>
        <w:rPr>
          <w:rFonts w:ascii="Arial" w:cs="Arial" w:eastAsia="Arial" w:hAnsi="Arial"/>
          <w:color w:val="2D2D2D"/>
          <w:sz w:val="22"/>
          <w:szCs w:val="22"/>
        </w:rPr>
        <w:t xml:space="preserve">Positive mean residuals indicate the model consistently underestimates high-value properties, likely due to unobserved quality factors such as renovations, views, and interior finishes.</w:t>
      </w:r>
    </w:p>
    <w:p>
      <w:pPr>
        <w:pStyle w:val="Heading2"/>
      </w:pPr>
      <w:r>
        <w:t xml:space="preserve">15.4 Temporal Limitations</w:t>
      </w:r>
    </w:p>
    <w:p>
      <w:pPr>
        <w:spacing w:after="120" w:line="276"/>
      </w:pPr>
      <w:r>
        <w:rPr>
          <w:rFonts w:ascii="Arial" w:cs="Arial" w:eastAsia="Arial" w:hAnsi="Arial"/>
          <w:color w:val="2D2D2D"/>
          <w:sz w:val="22"/>
          <w:szCs w:val="22"/>
        </w:rPr>
        <w:t xml:space="preserve">With only month_sold available (no sale year), the model cannot capture year-over-year appreciation trends or adjust for macroeconomic cycles.</w:t>
      </w:r>
    </w:p>
    <w:p>
      <w:pPr>
        <w:pStyle w:val="Heading1"/>
      </w:pPr>
      <w:r>
        <w:t xml:space="preserve">16. Recommended Improvements</w:t>
      </w:r>
    </w:p>
    <w:p>
      <w:pPr>
        <w:pStyle w:val="ListParagraph"/>
        <w:numPr>
          <w:ilvl w:val="0"/>
          <w:numId w:val="2"/>
        </w:numPr>
        <w:spacing w:after="60" w:line="276"/>
      </w:pPr>
      <w:r>
        <w:rPr>
          <w:rFonts w:ascii="Arial" w:cs="Arial" w:eastAsia="Arial" w:hAnsi="Arial"/>
          <w:color w:val="2D2D2D"/>
          <w:sz w:val="22"/>
          <w:szCs w:val="22"/>
        </w:rPr>
        <w:t xml:space="preserve">Feature enrichment: Integrate external data sources including school ratings, crime data, and points-of-interest density</w:t>
      </w:r>
    </w:p>
    <w:p>
      <w:pPr>
        <w:pStyle w:val="ListParagraph"/>
        <w:numPr>
          <w:ilvl w:val="0"/>
          <w:numId w:val="2"/>
        </w:numPr>
        <w:spacing w:after="60" w:line="276"/>
      </w:pPr>
      <w:r>
        <w:rPr>
          <w:rFonts w:ascii="Arial" w:cs="Arial" w:eastAsia="Arial" w:hAnsi="Arial"/>
          <w:color w:val="2D2D2D"/>
          <w:sz w:val="22"/>
          <w:szCs w:val="22"/>
        </w:rPr>
        <w:t xml:space="preserve">Target encoding: Apply target-encoded spatial clusters for richer neighborhood representations</w:t>
      </w:r>
    </w:p>
    <w:p>
      <w:pPr>
        <w:pStyle w:val="ListParagraph"/>
        <w:numPr>
          <w:ilvl w:val="0"/>
          <w:numId w:val="2"/>
        </w:numPr>
        <w:spacing w:after="60" w:line="276"/>
      </w:pPr>
      <w:r>
        <w:rPr>
          <w:rFonts w:ascii="Arial" w:cs="Arial" w:eastAsia="Arial" w:hAnsi="Arial"/>
          <w:color w:val="2D2D2D"/>
          <w:sz w:val="22"/>
          <w:szCs w:val="22"/>
        </w:rPr>
        <w:t xml:space="preserve">Ensemble stacking: Combine XGBoost with LightGBM and/or CatBoost in a meta-learner</w:t>
      </w:r>
    </w:p>
    <w:p>
      <w:pPr>
        <w:pStyle w:val="ListParagraph"/>
        <w:numPr>
          <w:ilvl w:val="0"/>
          <w:numId w:val="2"/>
        </w:numPr>
        <w:spacing w:after="60" w:line="276"/>
      </w:pPr>
      <w:r>
        <w:rPr>
          <w:rFonts w:ascii="Arial" w:cs="Arial" w:eastAsia="Arial" w:hAnsi="Arial"/>
          <w:color w:val="2D2D2D"/>
          <w:sz w:val="22"/>
          <w:szCs w:val="22"/>
        </w:rPr>
        <w:t xml:space="preserve">Quantile regression: Predict confidence intervals (10th/50th/90th percentile) rather than point estimates</w:t>
      </w:r>
    </w:p>
    <w:p>
      <w:pPr>
        <w:pStyle w:val="ListParagraph"/>
        <w:numPr>
          <w:ilvl w:val="0"/>
          <w:numId w:val="2"/>
        </w:numPr>
        <w:spacing w:after="60" w:line="276"/>
      </w:pPr>
      <w:r>
        <w:rPr>
          <w:rFonts w:ascii="Arial" w:cs="Arial" w:eastAsia="Arial" w:hAnsi="Arial"/>
          <w:color w:val="2D2D2D"/>
          <w:sz w:val="22"/>
          <w:szCs w:val="22"/>
        </w:rPr>
        <w:t xml:space="preserve">Outlier treatment: Consider Winsorizing or separately modeling the distribution tails</w:t>
      </w:r>
    </w:p>
    <w:p>
      <w:pPr>
        <w:pStyle w:val="ListParagraph"/>
        <w:numPr>
          <w:ilvl w:val="0"/>
          <w:numId w:val="2"/>
        </w:numPr>
        <w:spacing w:after="60" w:line="276"/>
      </w:pPr>
      <w:r>
        <w:rPr>
          <w:rFonts w:ascii="Arial" w:cs="Arial" w:eastAsia="Arial" w:hAnsi="Arial"/>
          <w:color w:val="2D2D2D"/>
          <w:sz w:val="22"/>
          <w:szCs w:val="22"/>
        </w:rPr>
        <w:t xml:space="preserve">Temporal features: Incorporate sale year data to capture market appreciation trends</w:t>
      </w:r>
    </w:p>
    <w:p>
      <w:pPr>
        <w:pStyle w:val="Heading1"/>
      </w:pPr>
      <w:r>
        <w:t xml:space="preserve">17. Version Comparison (v1 vs. v2)</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Dimension</w:t>
            </w:r>
          </w:p>
        </w:tc>
        <w:tc>
          <w:tcPr>
            <w:tcW w:type="dxa" w:w="3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 1</w:t>
            </w:r>
          </w:p>
        </w:tc>
        <w:tc>
          <w:tcPr>
            <w:tcW w:type="dxa" w:w="328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 2</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Engineered Features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28</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~28 (refined: removed redundant, added interactions)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Tuning Method</w:t>
            </w:r>
          </w:p>
        </w:tc>
        <w:tc>
          <w:tcPr>
            <w:tcW w:type="dxa" w:w="3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GridSearchCV (972 combos)</w:t>
            </w:r>
          </w:p>
        </w:tc>
        <w:tc>
          <w:tcPr>
            <w:tcW w:type="dxa" w:w="3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Optuna (100 Bayesian trials + early stopping)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Early Stopping</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No</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Yes (50-round patience)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Baselines Compared</w:t>
            </w:r>
          </w:p>
        </w:tc>
        <w:tc>
          <w:tcPr>
            <w:tcW w:type="dxa" w:w="3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None</w:t>
            </w:r>
          </w:p>
        </w:tc>
        <w:tc>
          <w:tcPr>
            <w:tcW w:type="dxa" w:w="3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Median, Linear Regression, Default XGBoost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Interpretability</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Split importance only</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Split + Permutation + SHAP</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Error Analysis</w:t>
            </w:r>
          </w:p>
        </w:tc>
        <w:tc>
          <w:tcPr>
            <w:tcW w:type="dxa" w:w="3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Global metrics only</w:t>
            </w:r>
          </w:p>
        </w:tc>
        <w:tc>
          <w:tcPr>
            <w:tcW w:type="dxa" w:w="3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Global + Segment + Worst-case deep dive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Residual Analysis</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Plotted, not discussed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D2D2D"/>
                <w:sz w:val="20"/>
                <w:szCs w:val="20"/>
              </w:rPr>
              <w:t xml:space="preserve">Full diagnostics with interpretation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Limitations</w:t>
            </w:r>
          </w:p>
        </w:tc>
        <w:tc>
          <w:tcPr>
            <w:tcW w:type="dxa" w:w="3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Not documented</w:t>
            </w:r>
          </w:p>
        </w:tc>
        <w:tc>
          <w:tcPr>
            <w:tcW w:type="dxa" w:w="32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D2D2D"/>
                <w:sz w:val="20"/>
                <w:szCs w:val="20"/>
              </w:rPr>
              <w:t xml:space="preserve">Documented with concrete next steps</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8"/>
        <w:szCs w:val="18"/>
      </w:rPr>
      <w:t xml:space="preserve">Orlando FMV Model v2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F4E79"/>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5B9BD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2026-02-14T17:41:13.569Z</dcterms:created>
  <dcterms:modified xsi:type="dcterms:W3CDTF">2026-02-14T17:41:13.570Z</dcterms:modified>
</cp:coreProperties>
</file>

<file path=docProps/custom.xml><?xml version="1.0" encoding="utf-8"?>
<Properties xmlns="http://schemas.openxmlformats.org/officeDocument/2006/custom-properties" xmlns:vt="http://schemas.openxmlformats.org/officeDocument/2006/docPropsVTypes"/>
</file>