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word/footer14.xml" ContentType="application/vnd.openxmlformats-officedocument.wordprocessingml.footer+xml"/>
  <Override PartName="/word/footer16.xml" ContentType="application/vnd.openxmlformats-officedocument.wordprocessingml.footer+xml"/>
  <Override PartName="/word/footer18.xml" ContentType="application/vnd.openxmlformats-officedocument.wordprocessingml.footer+xml"/>
  <Override PartName="/word/footer20.xml" ContentType="application/vnd.openxmlformats-officedocument.wordprocessingml.footer+xml"/>
  <Override PartName="/word/footer22.xml" ContentType="application/vnd.openxmlformats-officedocument.wordprocessingml.footer+xml"/>
  <Override PartName="/word/footer24.xml" ContentType="application/vnd.openxmlformats-officedocument.wordprocessingml.footer+xml"/>
  <Override PartName="/word/footer26.xml" ContentType="application/vnd.openxmlformats-officedocument.wordprocessingml.footer+xml"/>
  <Override PartName="/word/footer28.xml" ContentType="application/vnd.openxmlformats-officedocument.wordprocessingml.footer+xml"/>
  <Override PartName="/word/footer30.xml" ContentType="application/vnd.openxmlformats-officedocument.wordprocessingml.footer+xml"/>
  <Override PartName="/word/footer32.xml" ContentType="application/vnd.openxmlformats-officedocument.wordprocessingml.footer+xml"/>
  <Override PartName="/word/footer34.xml" ContentType="application/vnd.openxmlformats-officedocument.wordprocessingml.footer+xml"/>
  <Override PartName="/word/footer36.xml" ContentType="application/vnd.openxmlformats-officedocument.wordprocessingml.footer+xml"/>
  <Override PartName="/word/footer38.xml" ContentType="application/vnd.openxmlformats-officedocument.wordprocessingml.footer+xml"/>
  <Override PartName="/word/footer40.xml" ContentType="application/vnd.openxmlformats-officedocument.wordprocessingml.footer+xml"/>
  <Override PartName="/word/footer42.xml" ContentType="application/vnd.openxmlformats-officedocument.wordprocessingml.footer+xml"/>
  <Override PartName="/word/footer44.xml" ContentType="application/vnd.openxmlformats-officedocument.wordprocessingml.footer+xml"/>
  <Override PartName="/word/footer46.xml" ContentType="application/vnd.openxmlformats-officedocument.wordprocessingml.footer+xml"/>
  <Override PartName="/word/footer48.xml" ContentType="application/vnd.openxmlformats-officedocument.wordprocessingml.footer+xml"/>
  <Override PartName="/word/footer50.xml" ContentType="application/vnd.openxmlformats-officedocument.wordprocessingml.footer+xml"/>
  <Override PartName="/word/footer52.xml" ContentType="application/vnd.openxmlformats-officedocument.wordprocessingml.footer+xml"/>
  <Override PartName="/word/footer54.xml" ContentType="application/vnd.openxmlformats-officedocument.wordprocessingml.footer+xml"/>
  <Override PartName="/word/footer56.xml" ContentType="application/vnd.openxmlformats-officedocument.wordprocessingml.footer+xml"/>
  <Override PartName="/word/footer58.xml" ContentType="application/vnd.openxmlformats-officedocument.wordprocessingml.footer+xml"/>
  <Override PartName="/word/footer60.xml" ContentType="application/vnd.openxmlformats-officedocument.wordprocessingml.footer+xml"/>
  <Override PartName="/word/footer62.xml" ContentType="application/vnd.openxmlformats-officedocument.wordprocessingml.footer+xml"/>
  <Override PartName="/word/footer64.xml" ContentType="application/vnd.openxmlformats-officedocument.wordprocessingml.footer+xml"/>
  <Override PartName="/word/footer66.xml" ContentType="application/vnd.openxmlformats-officedocument.wordprocessingml.footer+xml"/>
  <Override PartName="/word/footer68.xml" ContentType="application/vnd.openxmlformats-officedocument.wordprocessingml.footer+xml"/>
  <Override PartName="/word/footer70.xml" ContentType="application/vnd.openxmlformats-officedocument.wordprocessingml.footer+xml"/>
  <Override PartName="/word/footer72.xml" ContentType="application/vnd.openxmlformats-officedocument.wordprocessingml.footer+xml"/>
  <Override PartName="/word/footer74.xml" ContentType="application/vnd.openxmlformats-officedocument.wordprocessingml.footer+xml"/>
  <Override PartName="/word/footer76.xml" ContentType="application/vnd.openxmlformats-officedocument.wordprocessingml.footer+xml"/>
  <Override PartName="/word/footer78.xml" ContentType="application/vnd.openxmlformats-officedocument.wordprocessingml.footer+xml"/>
  <Override PartName="/word/footer80.xml" ContentType="application/vnd.openxmlformats-officedocument.wordprocessingml.footer+xml"/>
  <Override PartName="/word/footer85.xml" ContentType="application/vnd.openxmlformats-officedocument.wordprocessingml.footer+xml"/>
  <Override PartName="/word/footer87.xml" ContentType="application/vnd.openxmlformats-officedocument.wordprocessingml.footer+xml"/>
  <Override PartName="/word/footer89.xml" ContentType="application/vnd.openxmlformats-officedocument.wordprocessingml.footer+xml"/>
  <Override PartName="/word/footer91.xml" ContentType="application/vnd.openxmlformats-officedocument.wordprocessingml.footer+xml"/>
  <Override PartName="/word/footer93.xml" ContentType="application/vnd.openxmlformats-officedocument.wordprocessingml.footer+xml"/>
  <Override PartName="/word/footer95.xml" ContentType="application/vnd.openxmlformats-officedocument.wordprocessingml.footer+xml"/>
  <Override PartName="/word/footer97.xml" ContentType="application/vnd.openxmlformats-officedocument.wordprocessingml.footer+xml"/>
  <Override PartName="/word/footer99.xml" ContentType="application/vnd.openxmlformats-officedocument.wordprocessingml.footer+xml"/>
  <Override PartName="/word/footer101.xml" ContentType="application/vnd.openxmlformats-officedocument.wordprocessingml.footer+xml"/>
  <Override PartName="/word/footer10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9.xml" ContentType="application/vnd.openxmlformats-officedocument.wordprocessingml.header+xml"/>
  <Override PartName="/word/header11.xml" ContentType="application/vnd.openxmlformats-officedocument.wordprocessingml.header+xml"/>
  <Override PartName="/word/header13.xml" ContentType="application/vnd.openxmlformats-officedocument.wordprocessingml.header+xml"/>
  <Override PartName="/word/header15.xml" ContentType="application/vnd.openxmlformats-officedocument.wordprocessingml.header+xml"/>
  <Override PartName="/word/header17.xml" ContentType="application/vnd.openxmlformats-officedocument.wordprocessingml.header+xml"/>
  <Override PartName="/word/header19.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5.xml" ContentType="application/vnd.openxmlformats-officedocument.wordprocessingml.header+xml"/>
  <Override PartName="/word/header27.xml" ContentType="application/vnd.openxmlformats-officedocument.wordprocessingml.header+xml"/>
  <Override PartName="/word/header29.xml" ContentType="application/vnd.openxmlformats-officedocument.wordprocessingml.header+xml"/>
  <Override PartName="/word/header31.xml" ContentType="application/vnd.openxmlformats-officedocument.wordprocessingml.header+xml"/>
  <Override PartName="/word/header33.xml" ContentType="application/vnd.openxmlformats-officedocument.wordprocessingml.header+xml"/>
  <Override PartName="/word/header35.xml" ContentType="application/vnd.openxmlformats-officedocument.wordprocessingml.header+xml"/>
  <Override PartName="/word/header37.xml" ContentType="application/vnd.openxmlformats-officedocument.wordprocessingml.header+xml"/>
  <Override PartName="/word/header39.xml" ContentType="application/vnd.openxmlformats-officedocument.wordprocessingml.header+xml"/>
  <Override PartName="/word/header41.xml" ContentType="application/vnd.openxmlformats-officedocument.wordprocessingml.header+xml"/>
  <Override PartName="/word/header43.xml" ContentType="application/vnd.openxmlformats-officedocument.wordprocessingml.header+xml"/>
  <Override PartName="/word/header45.xml" ContentType="application/vnd.openxmlformats-officedocument.wordprocessingml.header+xml"/>
  <Override PartName="/word/header47.xml" ContentType="application/vnd.openxmlformats-officedocument.wordprocessingml.header+xml"/>
  <Override PartName="/word/header49.xml" ContentType="application/vnd.openxmlformats-officedocument.wordprocessingml.header+xml"/>
  <Override PartName="/word/header51.xml" ContentType="application/vnd.openxmlformats-officedocument.wordprocessingml.header+xml"/>
  <Override PartName="/word/header53.xml" ContentType="application/vnd.openxmlformats-officedocument.wordprocessingml.header+xml"/>
  <Override PartName="/word/header55.xml" ContentType="application/vnd.openxmlformats-officedocument.wordprocessingml.header+xml"/>
  <Override PartName="/word/header57.xml" ContentType="application/vnd.openxmlformats-officedocument.wordprocessingml.header+xml"/>
  <Override PartName="/word/header59.xml" ContentType="application/vnd.openxmlformats-officedocument.wordprocessingml.header+xml"/>
  <Override PartName="/word/header61.xml" ContentType="application/vnd.openxmlformats-officedocument.wordprocessingml.header+xml"/>
  <Override PartName="/word/header63.xml" ContentType="application/vnd.openxmlformats-officedocument.wordprocessingml.header+xml"/>
  <Override PartName="/word/header65.xml" ContentType="application/vnd.openxmlformats-officedocument.wordprocessingml.header+xml"/>
  <Override PartName="/word/header67.xml" ContentType="application/vnd.openxmlformats-officedocument.wordprocessingml.header+xml"/>
  <Override PartName="/word/header69.xml" ContentType="application/vnd.openxmlformats-officedocument.wordprocessingml.header+xml"/>
  <Override PartName="/word/header71.xml" ContentType="application/vnd.openxmlformats-officedocument.wordprocessingml.header+xml"/>
  <Override PartName="/word/header73.xml" ContentType="application/vnd.openxmlformats-officedocument.wordprocessingml.header+xml"/>
  <Override PartName="/word/header75.xml" ContentType="application/vnd.openxmlformats-officedocument.wordprocessingml.header+xml"/>
  <Override PartName="/word/header77.xml" ContentType="application/vnd.openxmlformats-officedocument.wordprocessingml.header+xml"/>
  <Override PartName="/word/header79.xml" ContentType="application/vnd.openxmlformats-officedocument.wordprocessingml.header+xml"/>
  <Override PartName="/word/header84.xml" ContentType="application/vnd.openxmlformats-officedocument.wordprocessingml.header+xml"/>
  <Override PartName="/word/header86.xml" ContentType="application/vnd.openxmlformats-officedocument.wordprocessingml.header+xml"/>
  <Override PartName="/word/header88.xml" ContentType="application/vnd.openxmlformats-officedocument.wordprocessingml.header+xml"/>
  <Override PartName="/word/header90.xml" ContentType="application/vnd.openxmlformats-officedocument.wordprocessingml.header+xml"/>
  <Override PartName="/word/header92.xml" ContentType="application/vnd.openxmlformats-officedocument.wordprocessingml.header+xml"/>
  <Override PartName="/word/header94.xml" ContentType="application/vnd.openxmlformats-officedocument.wordprocessingml.header+xml"/>
  <Override PartName="/word/header96.xml" ContentType="application/vnd.openxmlformats-officedocument.wordprocessingml.header+xml"/>
  <Override PartName="/word/header98.xml" ContentType="application/vnd.openxmlformats-officedocument.wordprocessingml.header+xml"/>
  <Override PartName="/word/header100.xml" ContentType="application/vnd.openxmlformats-officedocument.wordprocessingml.header+xml"/>
  <Override PartName="/word/header102.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2"/>
        <w:pBdr/>
        <w:spacing/>
        <w:rPr/>
      </w:pPr>
      <w:r>
        <w:rPr/>
        <w:t xml:space="preserve">Chapter 67</w:t>
      </w:r>
      <w:r>
        <w:rPr/>
        <w:t xml:space="preserve"> </w:t>
      </w:r>
      <w:r>
        <w:rPr/>
        <w:t xml:space="preserve">AFFORDABLE HOUSING</w:t>
      </w:r>
      <w:r>
        <w:rPr>
          <w:rStyle w:val="FootnoteReference"/>
        </w:rPr>
        <w:footnoteReference w:customMarkFollows="0" w:id="1"/>
      </w:r>
    </w:p>
    <w:p>
      <w:pPr>
        <w:pBdr/>
        <w:spacing w:before="0" w:after="0"/>
        <w:rPr/>
        <w:sectPr>
          <w:headerReference w:type="default" r:id="rId1"/>
          <w:footerReference w:type="default" r:id="rId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PART 1.</w:t>
      </w:r>
      <w:r>
        <w:rPr/>
        <w:t xml:space="preserve"> </w:t>
      </w:r>
      <w:r>
        <w:rPr/>
        <w:t xml:space="preserve">INTRODUCTION</w:t>
      </w:r>
    </w:p>
    <w:p>
      <w:pPr>
        <w:pBdr/>
        <w:spacing w:before="0" w:after="0"/>
        <w:rPr/>
        <w:sectPr>
          <w:headerReference w:type="default" r:id="rId3"/>
          <w:footerReference w:type="default" r:id="rId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67.100.</w:t>
      </w:r>
      <w:r>
        <w:rPr/>
        <w:t xml:space="preserve"> </w:t>
      </w:r>
      <w:r>
        <w:rPr/>
        <w:t xml:space="preserve">Relationship to the Growth Management Plan.</w:t>
      </w:r>
    </w:p>
    <w:p>
      <w:pPr>
        <w:pStyle w:val="Paragraph1"/>
        <w:pBdr/>
        <w:spacing/>
        <w:rPr/>
      </w:pPr>
      <w:r>
        <w:rPr>
          <w:rStyle w:val="Paragraph1"/>
        </w:rPr>
        <w:t xml:space="preserve">The affordable housing design and funding incentives and programs contained in the following Sections implement GMP Housing Element Policies 1.1.2, 1.1.4, 1.2.1, 1.2.2, 1.2.3, 1.4.2., 1.4.3, 1.5.1, 1.5.2, 1.6.3, 1.7.1, 1.7.2, 1.7.3, 1.7.4, 1.9.1, 1.10.2, 1.10.3, 1.10.4, 1.11.1, 1.14.1, 1.15.1, 1.16.1 through 1.16.19, and 1.17.1, to encourage a coordinated, creative, innovative, and economically efficient effort to provide a suitable living environment for the present and future residents of the City of Orlando, that includes housing that is decent, safe, sanitary, affordable, accessible, and available to all. </w:t>
      </w:r>
    </w:p>
    <w:p>
      <w:pPr>
        <w:pStyle w:val="HistoryNote"/>
        <w:pBdr/>
        <w:spacing/>
        <w:rPr/>
      </w:pPr>
      <w:r>
        <w:rPr>
          <w:rStyle w:val="HistoryNote"/>
        </w:rPr>
        <w:t xml:space="preserve">(Ord. of 2-22-1993, Doc. #26393)</w:t>
      </w:r>
    </w:p>
    <w:p>
      <w:pPr>
        <w:pBdr/>
        <w:spacing w:before="0" w:after="0"/>
        <w:rPr/>
        <w:sectPr>
          <w:headerReference w:type="default" r:id="rId5"/>
          <w:footerReference w:type="default" r:id="rId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67.101.</w:t>
      </w:r>
      <w:r>
        <w:rPr/>
        <w:t xml:space="preserve"> </w:t>
      </w:r>
      <w:r>
        <w:rPr/>
        <w:t xml:space="preserve">Purpose of Affordable Housing Chapter.</w:t>
      </w:r>
    </w:p>
    <w:p>
      <w:pPr>
        <w:pStyle w:val="Paragraph1"/>
        <w:pBdr/>
        <w:spacing/>
        <w:rPr/>
      </w:pPr>
      <w:r>
        <w:rPr>
          <w:rStyle w:val="Paragraph1"/>
        </w:rPr>
        <w:t xml:space="preserve">This Chapter is intended to provide a conveniently accessible location in the Land Development Code for all incentives, regulations, criteria, and the like, relating to affordable housing. Collectively, such incentives, regulations, criteria, and the like, may be referred to as the City of Orlando Affordable Housing Assistance Program. The purpose of the Affordable Housing Assistance Program is to promote affordable, decent, safe, sanitary, accessible housing which is available to all. </w:t>
      </w:r>
    </w:p>
    <w:p>
      <w:pPr>
        <w:pStyle w:val="HistoryNote"/>
        <w:pBdr/>
        <w:spacing/>
        <w:rPr/>
      </w:pPr>
      <w:r>
        <w:rPr>
          <w:rStyle w:val="HistoryNote"/>
        </w:rPr>
        <w:t xml:space="preserve">(Ord. of 2-22-1993, Doc. #26393)</w:t>
      </w:r>
    </w:p>
    <w:p>
      <w:pPr>
        <w:pBdr/>
        <w:spacing w:before="0" w:after="0"/>
        <w:rPr/>
        <w:sectPr>
          <w:headerReference w:type="default" r:id="rId7"/>
          <w:footerReference w:type="default" r:id="rId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67.102.</w:t>
      </w:r>
      <w:r>
        <w:rPr/>
        <w:t xml:space="preserve"> </w:t>
      </w:r>
      <w:r>
        <w:rPr/>
        <w:t xml:space="preserve">When this Chapter Applies.</w:t>
      </w:r>
    </w:p>
    <w:p>
      <w:pPr>
        <w:pStyle w:val="Paragraph1"/>
        <w:pBdr/>
        <w:spacing/>
        <w:rPr/>
      </w:pPr>
      <w:r>
        <w:rPr>
          <w:rStyle w:val="Paragraph1"/>
        </w:rPr>
        <w:t xml:space="preserve">This Chapter shall be applicable to all affordable housing projects, as defined herein, and with respect to the various housing assistance programs set forth herein, to the extent that such project receives loans, grants, or other monetary or non-monetary assistance in furtherance of the provision of affordable housing. Nothing herein shall be construed as requiring any person to accept funding or other assistance for a project merely because such project meets the definition of affordable housing. </w:t>
      </w:r>
    </w:p>
    <w:p>
      <w:pPr>
        <w:pStyle w:val="HistoryNote"/>
        <w:pBdr/>
        <w:spacing/>
        <w:rPr/>
      </w:pPr>
      <w:r>
        <w:rPr>
          <w:rStyle w:val="HistoryNote"/>
        </w:rPr>
        <w:t xml:space="preserve">(Ord. of 2-22-1993, Doc. #26393)</w:t>
      </w:r>
    </w:p>
    <w:p>
      <w:pPr>
        <w:pBdr/>
        <w:spacing w:before="0" w:after="0"/>
        <w:rPr/>
        <w:sectPr>
          <w:headerReference w:type="default" r:id="rId9"/>
          <w:footerReference w:type="default" r:id="rId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67.103.</w:t>
      </w:r>
      <w:r>
        <w:rPr/>
        <w:t xml:space="preserve"> </w:t>
      </w:r>
      <w:r>
        <w:rPr/>
        <w:t xml:space="preserve">Definitions.</w:t>
      </w:r>
    </w:p>
    <w:p>
      <w:pPr>
        <w:pStyle w:val="Paragraph1"/>
        <w:pBdr/>
        <w:spacing/>
        <w:rPr/>
      </w:pPr>
      <w:r>
        <w:rPr>
          <w:rStyle w:val="Paragraph1"/>
        </w:rPr>
        <w:t xml:space="preserve">For the purposes of this Chapter the following words and terms shall have the following meanings: </w:t>
      </w:r>
    </w:p>
    <w:p>
      <w:pPr>
        <w:pStyle w:val="Paragraph1"/>
        <w:pBdr/>
        <w:spacing/>
        <w:rPr/>
      </w:pPr>
      <w:r>
        <w:rPr>
          <w:i/>
        </w:rPr>
        <w:t xml:space="preserve">Adjusted for Family Size</w:t>
      </w:r>
      <w:r>
        <w:rPr>
          <w:rStyle w:val="Paragraph1"/>
        </w:rPr>
        <w:t xml:space="preserve"> means adjusted in a manner which results in an income eligibility level that is lower for households having fewer than four people, or higher for households having more than four people, than the base income eligibility determined as provided in Florida Statutes, based upon a formula established by the United States Department of Housing and Urban Development. </w:t>
      </w:r>
    </w:p>
    <w:p>
      <w:pPr>
        <w:pStyle w:val="Paragraph1"/>
        <w:pBdr/>
        <w:spacing/>
        <w:rPr/>
      </w:pPr>
      <w:r>
        <w:rPr>
          <w:i/>
        </w:rPr>
        <w:t xml:space="preserve">Administrative Expenses</w:t>
      </w:r>
      <w:r>
        <w:rPr>
          <w:rStyle w:val="Paragraph1"/>
        </w:rPr>
        <w:t xml:space="preserve"> means those expenses directly related to implementation of the Local Housing Assistance Plan and Local Housing Assistance Programs. </w:t>
      </w:r>
    </w:p>
    <w:p>
      <w:pPr>
        <w:pStyle w:val="Paragraph1"/>
        <w:pBdr/>
        <w:spacing/>
        <w:rPr/>
      </w:pPr>
      <w:r>
        <w:rPr>
          <w:i/>
        </w:rPr>
        <w:t xml:space="preserve">Affordable.</w:t>
      </w:r>
      <w:r>
        <w:rPr>
          <w:rStyle w:val="Paragraph1"/>
        </w:rPr>
        <w:t xml:space="preserve"> Unless the context otherwise clearly requires, affordable means monthly rents or monthly mortgage payments, including taxes and insurance, do not exceed thirty (30) percent of that amount which represents the percentage of the median adjusted gross income limits Adjusted For Family Size for the households qualifying under the definitions of Very Low Income, Low Income, or Moderate Income Persons. However, it is not the intent to limit an individual household's ability to devote more than 30 percent of its income for housing, and housing for which a household devotes more than 30 percent of its income shall be deemed affordable if the first institutional mortgage lender is satisfied that the household can afford mortgage payments in excess of the 30 percent benchmark. The term also includes housing provided by a not-for-profit corporation that derives at least 75 percent of its annual revenues from contracts or services provided to a state or federal agency for low-income persons and low-income households; that provides supportive housing for persons who suffer from mental health issues, substance abuse, or domestic violence; and that provides on-premises social and community support services relating to job training, life skills training, alcohol and substance abuse disorder, child care, and client case management. </w:t>
      </w:r>
    </w:p>
    <w:p>
      <w:pPr>
        <w:pStyle w:val="Paragraph1"/>
        <w:pBdr/>
        <w:spacing/>
        <w:rPr/>
      </w:pPr>
      <w:r>
        <w:rPr>
          <w:i/>
        </w:rPr>
        <w:t xml:space="preserve">Affordable Housing Advisory Committee</w:t>
      </w:r>
      <w:r>
        <w:rPr>
          <w:rStyle w:val="Paragraph1"/>
        </w:rPr>
        <w:t xml:space="preserve"> or </w:t>
      </w:r>
      <w:r>
        <w:rPr>
          <w:i/>
        </w:rPr>
        <w:t xml:space="preserve">Advisory Committee</w:t>
      </w:r>
      <w:r>
        <w:rPr>
          <w:rStyle w:val="Paragraph1"/>
        </w:rPr>
        <w:t xml:space="preserve"> means the committee appointed by the City Council for the purpose of recommending specific initiatives and incentives to encourage or facilitate affordable housing as provided in Florida Statutes § 420.9076. </w:t>
      </w:r>
    </w:p>
    <w:p>
      <w:pPr>
        <w:pStyle w:val="Paragraph1"/>
        <w:pBdr/>
        <w:spacing/>
        <w:rPr/>
      </w:pPr>
      <w:r>
        <w:rPr>
          <w:i/>
        </w:rPr>
        <w:t xml:space="preserve">Alternative Housing Development</w:t>
      </w:r>
      <w:r>
        <w:rPr>
          <w:rStyle w:val="Paragraph1"/>
        </w:rPr>
        <w:t xml:space="preserve"> means a development approach which encourages Low and Very Low Income Housing by providing flexible design options and incorporating cost saving measures without compromising the quality of the resulting development. Certified Low and Very Low Income Housing units are required to comprise all or a portion of the development. </w:t>
      </w:r>
    </w:p>
    <w:p>
      <w:pPr>
        <w:pStyle w:val="Paragraph1"/>
        <w:pBdr/>
        <w:spacing/>
        <w:rPr/>
      </w:pPr>
      <w:r>
        <w:rPr>
          <w:i/>
        </w:rPr>
        <w:t xml:space="preserve">Annual Anticipated Gross Income</w:t>
      </w:r>
      <w:r>
        <w:rPr>
          <w:rStyle w:val="Paragraph1"/>
        </w:rPr>
        <w:t xml:space="preserve"> means the gross amount of wages, income from assets, regular cash or non-cash contributions, and any other resources and benefits determined to be income by the United States Department of Housing and Urban Development. This is the amount of income anticipated to be received by all adults in a household during the twelve months following the effective date of the determination. Anticipated income is generally determined by annualizing current income for the next twelve months. </w:t>
      </w:r>
    </w:p>
    <w:p>
      <w:pPr>
        <w:pStyle w:val="Paragraph1"/>
        <w:pBdr/>
        <w:spacing/>
        <w:rPr/>
      </w:pPr>
      <w:r>
        <w:rPr>
          <w:i/>
        </w:rPr>
        <w:t xml:space="preserve">Award</w:t>
      </w:r>
      <w:r>
        <w:rPr>
          <w:rStyle w:val="Paragraph1"/>
        </w:rPr>
        <w:t xml:space="preserve"> means a loan, grant, or subsidy funded wholly or in part by the Local Housing Distribution. </w:t>
      </w:r>
    </w:p>
    <w:p>
      <w:pPr>
        <w:pStyle w:val="Paragraph1"/>
        <w:pBdr/>
        <w:spacing/>
        <w:rPr/>
      </w:pPr>
      <w:r>
        <w:rPr>
          <w:i/>
        </w:rPr>
        <w:t xml:space="preserve">Certified Affordable Housing</w:t>
      </w:r>
      <w:r>
        <w:rPr>
          <w:rStyle w:val="Paragraph1"/>
        </w:rPr>
        <w:t xml:space="preserve"> means residential units which have been certified through the City of Orlando Affordable Housing Certification Process as meeting the definition and other applicable requirements as Affordable Housing in accordance with the adopted certification standards, conditions, and procedures. </w:t>
      </w:r>
    </w:p>
    <w:p>
      <w:pPr>
        <w:pStyle w:val="Paragraph1"/>
        <w:pBdr/>
        <w:spacing/>
        <w:rPr/>
      </w:pPr>
      <w:r>
        <w:rPr>
          <w:i/>
        </w:rPr>
        <w:t xml:space="preserve">Eligible Housing</w:t>
      </w:r>
      <w:r>
        <w:rPr>
          <w:rStyle w:val="Paragraph1"/>
        </w:rPr>
        <w:t xml:space="preserve"> means any real and personal property located within the City which is designed and intended for the primary purpose of providing decent, safe, and sanitary residential units that are designed to meet the standards of the Orlando City Code at the time of construction or rehabilitation and Florida Statutes ch. 553 for home ownership or rental for Eligible Persons as designated by the City. Housing must be within the maximum purchase price limitations as established by the United States Department of Treasury in accordance with Revenue Proclamation 92-34 and must meet affordability requirements in order to qualify as eligible. Transitional housing and shelters shall be considered as Eligible Housing for Eligible Persons to the extent of compliance with all other eligibility and program criteria. </w:t>
      </w:r>
    </w:p>
    <w:p>
      <w:pPr>
        <w:pStyle w:val="Paragraph1"/>
        <w:pBdr/>
        <w:spacing/>
        <w:rPr/>
      </w:pPr>
      <w:r>
        <w:rPr>
          <w:i/>
        </w:rPr>
        <w:t xml:space="preserve">Eligible Person</w:t>
      </w:r>
      <w:r>
        <w:rPr>
          <w:rStyle w:val="Paragraph1"/>
        </w:rPr>
        <w:t xml:space="preserve"> means one or more natural persons who are certified by the City to be Very Low Income, Low Income, or Moderate Income, according to the Annual Anticipated Gross Income of the resident. </w:t>
      </w:r>
    </w:p>
    <w:p>
      <w:pPr>
        <w:pStyle w:val="Paragraph1"/>
        <w:pBdr/>
        <w:spacing/>
        <w:rPr/>
      </w:pPr>
      <w:r>
        <w:rPr>
          <w:i/>
        </w:rPr>
        <w:t xml:space="preserve">Eligible Sponsor</w:t>
      </w:r>
      <w:r>
        <w:rPr>
          <w:rStyle w:val="Paragraph1"/>
        </w:rPr>
        <w:t xml:space="preserve"> means a person or entity that applies for an Award under the Local Housing Assistance Program for the purpose of providing Eligible Housing for Eligible Persons. </w:t>
      </w:r>
    </w:p>
    <w:p>
      <w:pPr>
        <w:pStyle w:val="Paragraph1"/>
        <w:pBdr/>
        <w:spacing/>
        <w:rPr/>
      </w:pPr>
      <w:r>
        <w:rPr>
          <w:i/>
        </w:rPr>
        <w:t xml:space="preserve">Encumbered</w:t>
      </w:r>
      <w:r>
        <w:rPr>
          <w:rStyle w:val="Paragraph1"/>
        </w:rPr>
        <w:t xml:space="preserve"> means that moneys have been committed by contract or purchase order in a manner that obligates the City to expend the Encumbered amount upon delivery of goods, the rendering of services, or the conveyance of real property by a vendor, supplier, contractor, or owner. </w:t>
      </w:r>
    </w:p>
    <w:p>
      <w:pPr>
        <w:pStyle w:val="Paragraph1"/>
        <w:pBdr/>
        <w:spacing/>
        <w:rPr/>
      </w:pPr>
      <w:r>
        <w:rPr>
          <w:i/>
        </w:rPr>
        <w:t xml:space="preserve">Expenditure, Expended,</w:t>
      </w:r>
      <w:r>
        <w:rPr>
          <w:rStyle w:val="Paragraph1"/>
        </w:rPr>
        <w:t xml:space="preserve"> or </w:t>
      </w:r>
      <w:r>
        <w:rPr>
          <w:i/>
        </w:rPr>
        <w:t xml:space="preserve">Spent</w:t>
      </w:r>
      <w:r>
        <w:rPr>
          <w:rStyle w:val="Paragraph1"/>
        </w:rPr>
        <w:t xml:space="preserve"> means the affordable housing activity is complete and SHIP moneys have been transferred from the local housing assistance trust fund account to pay for the cost of the activity. In the case of an Eligible Sponsor, this definition will apply when the project is completed and is occupied by an Eligible Person or Eligible Persons. </w:t>
      </w:r>
    </w:p>
    <w:p>
      <w:pPr>
        <w:pStyle w:val="Paragraph1"/>
        <w:pBdr/>
        <w:spacing/>
        <w:rPr/>
      </w:pPr>
      <w:r>
        <w:rPr>
          <w:i/>
        </w:rPr>
        <w:t xml:space="preserve">Homeownership</w:t>
      </w:r>
      <w:r>
        <w:rPr>
          <w:rStyle w:val="Paragraph1"/>
        </w:rPr>
        <w:t xml:space="preserve"> means the use of Local Housing Distribution money for the purpose of providing owner occupied housing. Such uses may include, but are not limited to, construction, rehabilitation, purchase, and lease purchase financing where the primary purpose is eventual purchase of the housing by the occupant within twenty-four months from initial execution of a lease agreement. </w:t>
      </w:r>
    </w:p>
    <w:p>
      <w:pPr>
        <w:pStyle w:val="Paragraph1"/>
        <w:pBdr/>
        <w:spacing/>
        <w:rPr/>
      </w:pPr>
      <w:r>
        <w:rPr>
          <w:i/>
        </w:rPr>
        <w:t xml:space="preserve">Local Affordable Housing Incentive Plan</w:t>
      </w:r>
      <w:r>
        <w:rPr>
          <w:rStyle w:val="Paragraph1"/>
        </w:rPr>
        <w:t xml:space="preserve"> means the plan addressing affordable housing incentives required pursuant to Florida Statutes § 420.9076 and F.A.C. 9I-37.010. </w:t>
      </w:r>
    </w:p>
    <w:p>
      <w:pPr>
        <w:pStyle w:val="Paragraph1"/>
        <w:pBdr/>
        <w:spacing/>
        <w:rPr/>
      </w:pPr>
      <w:r>
        <w:rPr>
          <w:i/>
        </w:rPr>
        <w:t xml:space="preserve">Local Housing Assistance Plan</w:t>
      </w:r>
      <w:r>
        <w:rPr>
          <w:rStyle w:val="Paragraph1"/>
        </w:rPr>
        <w:t xml:space="preserve"> or </w:t>
      </w:r>
      <w:r>
        <w:rPr>
          <w:i/>
        </w:rPr>
        <w:t xml:space="preserve">Plan</w:t>
      </w:r>
      <w:r>
        <w:rPr>
          <w:rStyle w:val="Paragraph1"/>
        </w:rPr>
        <w:t xml:space="preserve"> means a concise description of the Local Housing Assistance Program which Plan has been adopted by City ordinance or resolution and which contains an explanation of the way in which the Program meets the requirements of Florida Statutes §§ 420.907—420.9079 and F.A.C. 9I-37.005. </w:t>
      </w:r>
    </w:p>
    <w:p>
      <w:pPr>
        <w:pStyle w:val="Paragraph1"/>
        <w:pBdr/>
        <w:spacing/>
        <w:rPr/>
      </w:pPr>
      <w:r>
        <w:rPr>
          <w:i/>
        </w:rPr>
        <w:t xml:space="preserve">Local Housing Assistance Program</w:t>
      </w:r>
      <w:r>
        <w:rPr>
          <w:rStyle w:val="Paragraph1"/>
        </w:rPr>
        <w:t xml:space="preserve"> or </w:t>
      </w:r>
      <w:r>
        <w:rPr>
          <w:i/>
        </w:rPr>
        <w:t xml:space="preserve">Program</w:t>
      </w:r>
      <w:r>
        <w:rPr>
          <w:rStyle w:val="Paragraph1"/>
        </w:rPr>
        <w:t xml:space="preserve"> means the housing construction, rehabilitation, repair, and finance program adopted by the City by ordinance and implemented by the City with the Local Housing Distribution or other funds deposited into the local housing assistance trust fund to make Affordable residential units available to Eligible Persons. </w:t>
      </w:r>
    </w:p>
    <w:p>
      <w:pPr>
        <w:pStyle w:val="Paragraph1"/>
        <w:pBdr/>
        <w:spacing/>
        <w:rPr/>
      </w:pPr>
      <w:r>
        <w:rPr>
          <w:i/>
        </w:rPr>
        <w:t xml:space="preserve">Local Housing Distribution</w:t>
      </w:r>
      <w:r>
        <w:rPr>
          <w:rStyle w:val="Paragraph1"/>
        </w:rPr>
        <w:t xml:space="preserve"> means the proceeds of the taxes collected under Florida Statutes ch. 201, deposited into the local government housing trust fund created pursuant to Florida Statutes § 420.9079, and distributed to the City pursuant to Florida Statutes § 420.9073. </w:t>
      </w:r>
    </w:p>
    <w:p>
      <w:pPr>
        <w:pStyle w:val="Paragraph1"/>
        <w:pBdr/>
        <w:spacing/>
        <w:rPr/>
      </w:pPr>
      <w:r>
        <w:rPr>
          <w:i/>
        </w:rPr>
        <w:t xml:space="preserve">Local Housing Partnership</w:t>
      </w:r>
      <w:r>
        <w:rPr>
          <w:rStyle w:val="Paragraph1"/>
        </w:rPr>
        <w:t xml:space="preserve"> or </w:t>
      </w:r>
      <w:r>
        <w:rPr>
          <w:i/>
        </w:rPr>
        <w:t xml:space="preserve">Partnership</w:t>
      </w:r>
      <w:r>
        <w:rPr>
          <w:rStyle w:val="Paragraph1"/>
        </w:rPr>
        <w:t xml:space="preserve"> means the implementation of the Local Housing Assistance Program in a manner that, to the greatest extent possible, includes full representation from both the public and private sector. Such Partnership shall not be required to be a legal entity, but should involve the City, lending institutions, housing developers, Community Based Organizations, community service organizations, and providers of professional services relating to affordable housing as equal participants in the Partnership. The term includes initiatives to provide support services for housing Program beneficiaries such as training to prepare persons for the responsibility of Homeownership, counseling of tenants and the establishment of support services such as day care, health care and transportation assistance. </w:t>
      </w:r>
    </w:p>
    <w:p>
      <w:pPr>
        <w:pStyle w:val="Paragraph1"/>
        <w:pBdr/>
        <w:spacing/>
        <w:rPr/>
      </w:pPr>
      <w:r>
        <w:rPr>
          <w:i/>
        </w:rPr>
        <w:t xml:space="preserve">Low Income Housing</w:t>
      </w:r>
      <w:r>
        <w:rPr>
          <w:rStyle w:val="Paragraph1"/>
        </w:rPr>
        <w:t xml:space="preserve"> means housing which is affordable to Low Income Persons. </w:t>
      </w:r>
    </w:p>
    <w:p>
      <w:pPr>
        <w:pStyle w:val="Paragraph1"/>
        <w:pBdr/>
        <w:spacing/>
        <w:rPr/>
      </w:pPr>
      <w:r>
        <w:rPr>
          <w:i/>
        </w:rPr>
        <w:t xml:space="preserve">Low Income Person</w:t>
      </w:r>
      <w:r>
        <w:rPr>
          <w:rStyle w:val="Paragraph1"/>
        </w:rPr>
        <w:t xml:space="preserve"> means one or more natural persons or a family, not including Students, that has a total Annual Anticipated Gross Income for the household that does not exceed eighty (80) percent of the median annual income Adjusted For Family Size for households within the metropolitan statistical area which includes the City. While occupying a rental unit, a Low Income Person's Annual Anticipated Gross Income may increase to an amount not to exceed 140 percent of 80 percent of the applicable median income Adjusted For Family Size for purposes of meeting the requirements of F.A.C. 9I-37.007(9). </w:t>
      </w:r>
    </w:p>
    <w:p>
      <w:pPr>
        <w:pStyle w:val="Paragraph1"/>
        <w:pBdr/>
        <w:spacing/>
        <w:rPr/>
      </w:pPr>
      <w:r>
        <w:rPr>
          <w:i/>
        </w:rPr>
        <w:t xml:space="preserve">Moderate Income Housing</w:t>
      </w:r>
      <w:r>
        <w:rPr>
          <w:rStyle w:val="Paragraph1"/>
        </w:rPr>
        <w:t xml:space="preserve"> means housing which is affordable to Moderate Income Persons. </w:t>
      </w:r>
    </w:p>
    <w:p>
      <w:pPr>
        <w:pStyle w:val="Paragraph1"/>
        <w:pBdr/>
        <w:spacing/>
        <w:rPr/>
      </w:pPr>
      <w:r>
        <w:rPr>
          <w:i/>
        </w:rPr>
        <w:t xml:space="preserve">Moderate Income Person</w:t>
      </w:r>
      <w:r>
        <w:rPr>
          <w:rStyle w:val="Paragraph1"/>
        </w:rPr>
        <w:t xml:space="preserve"> means one or more natural persons or a family, not including Students, that has a total Annual Anticipated Gross Income for the household that does not exceed 120 percent of the median annual income Adjusted For Family Size for households within the metropolitan statistical area (MSA) which includes the City. While occupying a rental unit, a Moderate Income Person's Annual Anticipated Gross Income may increase to an amount not to exceed 140 percent of 120 percent of the applicable median income Adjusted For Family Size for the purposes of meeting the requirements of F.A.C. 9I-37.007(9). </w:t>
      </w:r>
    </w:p>
    <w:p>
      <w:pPr>
        <w:pStyle w:val="Paragraph1"/>
        <w:pBdr/>
        <w:spacing/>
        <w:rPr/>
      </w:pPr>
      <w:r>
        <w:rPr>
          <w:i/>
        </w:rPr>
        <w:t xml:space="preserve">Rehabilitation</w:t>
      </w:r>
      <w:r>
        <w:rPr>
          <w:rStyle w:val="Paragraph1"/>
        </w:rPr>
        <w:t xml:space="preserve"> means repairs or improvements which are needed for safe or sanitary habitation, correction of substantial code violations, or the creation of additional living space. </w:t>
      </w:r>
    </w:p>
    <w:p>
      <w:pPr>
        <w:pStyle w:val="Paragraph1"/>
        <w:pBdr/>
        <w:spacing/>
        <w:rPr/>
      </w:pPr>
      <w:r>
        <w:rPr>
          <w:i/>
        </w:rPr>
        <w:t xml:space="preserve">SHIP Funds</w:t>
      </w:r>
      <w:r>
        <w:rPr>
          <w:rStyle w:val="Paragraph1"/>
        </w:rPr>
        <w:t xml:space="preserve"> has the same meaning as Local Housing Distribution. </w:t>
      </w:r>
    </w:p>
    <w:p>
      <w:pPr>
        <w:pStyle w:val="Paragraph1"/>
        <w:pBdr/>
        <w:spacing/>
        <w:rPr/>
      </w:pPr>
      <w:r>
        <w:rPr>
          <w:i/>
        </w:rPr>
        <w:t xml:space="preserve">SHIP Program</w:t>
      </w:r>
      <w:r>
        <w:rPr>
          <w:rStyle w:val="Paragraph1"/>
        </w:rPr>
        <w:t xml:space="preserve"> or </w:t>
      </w:r>
      <w:r>
        <w:rPr>
          <w:i/>
        </w:rPr>
        <w:t xml:space="preserve">SHIP</w:t>
      </w:r>
      <w:r>
        <w:rPr>
          <w:rStyle w:val="Paragraph1"/>
        </w:rPr>
        <w:t xml:space="preserve"> means the State Housing Initiatives Partnership Program created pursuant to the State Housing Initiatives Partnership Act, Florida Statutes § 420.907 et seq. </w:t>
      </w:r>
    </w:p>
    <w:p>
      <w:pPr>
        <w:pStyle w:val="Paragraph1"/>
        <w:pBdr/>
        <w:spacing/>
        <w:rPr/>
      </w:pPr>
      <w:r>
        <w:rPr>
          <w:i/>
        </w:rPr>
        <w:t xml:space="preserve">Student</w:t>
      </w:r>
      <w:r>
        <w:rPr>
          <w:rStyle w:val="Paragraph1"/>
        </w:rPr>
        <w:t xml:space="preserve"> means a person not living with his or her parent or guardian but who is eligible to be claimed as a dependent of such parent or guardian under the Internal Revenue Code and who is enrolled at least half time in a secondary school, vocational technical center, community college, or university. The term does not include a person participating in a job training program approved by the City. </w:t>
      </w:r>
    </w:p>
    <w:p>
      <w:pPr>
        <w:pStyle w:val="Paragraph1"/>
        <w:pBdr/>
        <w:spacing/>
        <w:rPr/>
      </w:pPr>
      <w:r>
        <w:rPr>
          <w:i/>
        </w:rPr>
        <w:t xml:space="preserve">Very Low Income Housing</w:t>
      </w:r>
      <w:r>
        <w:rPr>
          <w:rStyle w:val="Paragraph1"/>
        </w:rPr>
        <w:t xml:space="preserve"> means housing which is affordable to Very Low Income Persons. </w:t>
      </w:r>
    </w:p>
    <w:p>
      <w:pPr>
        <w:pStyle w:val="Paragraph1"/>
        <w:pBdr/>
        <w:spacing/>
        <w:rPr/>
      </w:pPr>
      <w:r>
        <w:rPr>
          <w:i/>
        </w:rPr>
        <w:t xml:space="preserve">Very Low Income Person</w:t>
      </w:r>
      <w:r>
        <w:rPr>
          <w:rStyle w:val="Paragraph1"/>
        </w:rPr>
        <w:t xml:space="preserve"> means one or more natural persons or a family, not including Students, that has a total Annual Anticipated Gross Income for the household that does not exceed 50 percent of the median income Adjusted For Family Size for households within the metropolitan statistical area (MSA) which includes the City. While occupying a rental unit, a Very Low Income Person's Annual Anticipated Gross income may increase to an amount not to exceed 140 percent of 50 percent of the applicable median income Adjusted For Family Size for purposes of meeting the requirements of F.A.C. 9I-37.007(9). </w:t>
      </w:r>
    </w:p>
    <w:p>
      <w:pPr>
        <w:pStyle w:val="HistoryNote"/>
        <w:pBdr/>
        <w:spacing/>
        <w:rPr/>
      </w:pPr>
      <w:r>
        <w:rPr>
          <w:rStyle w:val="HistoryNote"/>
        </w:rPr>
        <w:t xml:space="preserve">(Ord. of 2-22-1993, Doc. #26393; Ord. of 6-20-1994, Doc. #27637; Ord. No. 2020-47, § 1, 9-21-2020, Doc. #2009211205)</w:t>
      </w:r>
    </w:p>
    <w:p>
      <w:pPr>
        <w:pBdr/>
        <w:spacing w:before="0" w:after="0"/>
        <w:rPr/>
        <w:sectPr>
          <w:headerReference w:type="default" r:id="rId11"/>
          <w:footerReference w:type="default" r:id="rId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67.104—67.199.</w:t>
      </w:r>
      <w:r>
        <w:rPr/>
        <w:t xml:space="preserve"> </w:t>
      </w:r>
      <w:r>
        <w:rPr/>
        <w:t xml:space="preserve">Reserved.</w:t>
      </w:r>
    </w:p>
    <w:p>
      <w:pPr>
        <w:pBdr/>
        <w:spacing w:before="0" w:after="0"/>
        <w:rPr/>
        <w:sectPr>
          <w:headerReference w:type="default" r:id="rId13"/>
          <w:footerReference w:type="default" r:id="rId14"/>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PART 2.</w:t>
      </w:r>
      <w:r>
        <w:rPr/>
        <w:t xml:space="preserve"> </w:t>
      </w:r>
      <w:r>
        <w:rPr/>
        <w:t xml:space="preserve">LOCAL HOUSING ASSISTANCE TRUST FUND</w:t>
      </w:r>
    </w:p>
    <w:p>
      <w:pPr>
        <w:pBdr/>
        <w:spacing w:before="0" w:after="0"/>
        <w:rPr/>
        <w:sectPr>
          <w:headerReference w:type="default" r:id="rId15"/>
          <w:footerReference w:type="default" r:id="rId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67.200.</w:t>
      </w:r>
      <w:r>
        <w:rPr/>
        <w:t xml:space="preserve"> </w:t>
      </w:r>
      <w:r>
        <w:rPr/>
        <w:t xml:space="preserve">Establishment of Local Housing Assistance Trust Fund.</w:t>
      </w:r>
    </w:p>
    <w:p>
      <w:pPr>
        <w:pStyle w:val="Paragraph1"/>
        <w:pBdr/>
        <w:spacing/>
        <w:rPr/>
      </w:pPr>
      <w:r>
        <w:rPr>
          <w:rStyle w:val="Paragraph1"/>
        </w:rPr>
        <w:t xml:space="preserve">There is hereby created the City of Orlando Local Housing Assistance Trust Fund and the City Director of Finance is hereby directed to take all necessary steps to establish said fund for the purpose of receiving funds under the State Housing Initiatives Partnership Program, Florida Statutes § 420.9072 et seq., as well as any local or private monies contributed for the purposes established by the City of Orlando Local Housing Assistance Program, and for use in the administration of such funds consistent with the provisions of the State Housing Initiatives Partnership Program. </w:t>
      </w:r>
    </w:p>
    <w:p>
      <w:pPr>
        <w:pStyle w:val="HistoryNote"/>
        <w:pBdr/>
        <w:spacing/>
        <w:rPr/>
      </w:pPr>
      <w:r>
        <w:rPr>
          <w:rStyle w:val="HistoryNote"/>
        </w:rPr>
        <w:t xml:space="preserve">(Ord. of 2-22-1993, Doc. #26393)</w:t>
      </w:r>
    </w:p>
    <w:p>
      <w:pPr>
        <w:pBdr/>
        <w:spacing w:before="0" w:after="0"/>
        <w:rPr/>
        <w:sectPr>
          <w:headerReference w:type="default" r:id="rId17"/>
          <w:footerReference w:type="default" r:id="rId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67.201.</w:t>
      </w:r>
      <w:r>
        <w:rPr/>
        <w:t xml:space="preserve"> </w:t>
      </w:r>
      <w:r>
        <w:rPr/>
        <w:t xml:space="preserve">Investment of Trust Fund Assets.</w:t>
      </w:r>
    </w:p>
    <w:p>
      <w:pPr>
        <w:pStyle w:val="Paragraph1"/>
        <w:pBdr/>
        <w:spacing/>
        <w:rPr/>
      </w:pPr>
      <w:r>
        <w:rPr>
          <w:rStyle w:val="Paragraph1"/>
        </w:rPr>
        <w:t xml:space="preserve">The assets in the Trust Fund may be deposited or invested as provided by law. All Program income, including investment earnings, shall be retained in the Local Housing Assistance Trust Fund and used for the purposes thereof. </w:t>
      </w:r>
    </w:p>
    <w:p>
      <w:pPr>
        <w:pStyle w:val="HistoryNote"/>
        <w:pBdr/>
        <w:spacing/>
        <w:rPr/>
      </w:pPr>
      <w:r>
        <w:rPr>
          <w:rStyle w:val="HistoryNote"/>
        </w:rPr>
        <w:t xml:space="preserve">(Ord. of 2-22-1993, Doc. #26393)</w:t>
      </w:r>
    </w:p>
    <w:p>
      <w:pPr>
        <w:pBdr/>
        <w:spacing w:before="0" w:after="0"/>
        <w:rPr/>
        <w:sectPr>
          <w:headerReference w:type="default" r:id="rId19"/>
          <w:footerReference w:type="default" r:id="rId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67.202.</w:t>
      </w:r>
      <w:r>
        <w:rPr/>
        <w:t xml:space="preserve"> </w:t>
      </w:r>
      <w:r>
        <w:rPr/>
        <w:t xml:space="preserve">Expenditures from the Fund.</w:t>
      </w:r>
    </w:p>
    <w:p>
      <w:pPr>
        <w:pStyle w:val="Paragraph1"/>
        <w:pBdr/>
        <w:spacing/>
        <w:rPr/>
      </w:pPr>
      <w:r>
        <w:rPr>
          <w:rStyle w:val="Paragraph1"/>
        </w:rPr>
        <w:t xml:space="preserve">No expenditure, other than for the administration and implementation of the City of Orlando Local Housing Assistance Program, may be made from this Trust Fund. Until utilized for the purposes thereof, moneys in the Local Housing Assistance Trust Fund shall be held in trust by the City solely for usage pursuant to the Program. </w:t>
      </w:r>
    </w:p>
    <w:p>
      <w:pPr>
        <w:pStyle w:val="HistoryNote"/>
        <w:pBdr/>
        <w:spacing/>
        <w:rPr/>
      </w:pPr>
      <w:r>
        <w:rPr>
          <w:rStyle w:val="HistoryNote"/>
        </w:rPr>
        <w:t xml:space="preserve">(Ord. of 2-22-1993, Doc. #26393)</w:t>
      </w:r>
    </w:p>
    <w:p>
      <w:pPr>
        <w:pBdr/>
        <w:spacing w:before="0" w:after="0"/>
        <w:rPr/>
        <w:sectPr>
          <w:headerReference w:type="default" r:id="rId21"/>
          <w:footerReference w:type="default" r:id="rId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67.203.</w:t>
      </w:r>
      <w:r>
        <w:rPr/>
        <w:t xml:space="preserve"> </w:t>
      </w:r>
      <w:r>
        <w:rPr/>
        <w:t xml:space="preserve">Fund Accounting.</w:t>
      </w:r>
    </w:p>
    <w:p>
      <w:pPr>
        <w:pStyle w:val="Paragraph1"/>
        <w:pBdr/>
        <w:spacing/>
        <w:rPr/>
      </w:pPr>
      <w:r>
        <w:rPr>
          <w:rStyle w:val="Paragraph1"/>
        </w:rPr>
        <w:t xml:space="preserve">The Local Housing Assistance Trust Fund shall be separately stated as a special revenue fund in the City's audited financial statements. Copies of such audited financial statements shall be forwarded to the Florida Housing Finance Agency each year as soon as such statements are available. </w:t>
      </w:r>
    </w:p>
    <w:p>
      <w:pPr>
        <w:pStyle w:val="HistoryNote"/>
        <w:pBdr/>
        <w:spacing/>
        <w:rPr/>
      </w:pPr>
      <w:r>
        <w:rPr>
          <w:rStyle w:val="HistoryNote"/>
        </w:rPr>
        <w:t xml:space="preserve">(Ord. of 2-22-1993, Doc. #26393)</w:t>
      </w:r>
    </w:p>
    <w:p>
      <w:pPr>
        <w:pBdr/>
        <w:spacing w:before="0" w:after="0"/>
        <w:rPr/>
        <w:sectPr>
          <w:headerReference w:type="default" r:id="rId23"/>
          <w:footerReference w:type="default" r:id="rId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67.204—67.299.</w:t>
      </w:r>
      <w:r>
        <w:rPr/>
        <w:t xml:space="preserve"> </w:t>
      </w:r>
      <w:r>
        <w:rPr/>
        <w:t xml:space="preserve">Reserved.</w:t>
      </w:r>
    </w:p>
    <w:p>
      <w:pPr>
        <w:pBdr/>
        <w:spacing w:before="0" w:after="0"/>
        <w:rPr/>
        <w:sectPr>
          <w:headerReference w:type="default" r:id="rId25"/>
          <w:footerReference w:type="default" r:id="rId26"/>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PART 3.</w:t>
      </w:r>
      <w:r>
        <w:rPr/>
        <w:t xml:space="preserve"> </w:t>
      </w:r>
      <w:r>
        <w:rPr/>
        <w:t xml:space="preserve">LOCAL HOUSING ASSISTANCE PROGRAM</w:t>
      </w:r>
    </w:p>
    <w:p>
      <w:pPr>
        <w:pBdr/>
        <w:spacing w:before="0" w:after="0"/>
        <w:rPr/>
        <w:sectPr>
          <w:headerReference w:type="default" r:id="rId27"/>
          <w:footerReference w:type="default" r:id="rId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67.300.</w:t>
      </w:r>
      <w:r>
        <w:rPr/>
        <w:t xml:space="preserve"> </w:t>
      </w:r>
      <w:r>
        <w:rPr/>
        <w:t xml:space="preserve">Establishment of the City of Orlando Housing Assistance Program.</w:t>
      </w:r>
    </w:p>
    <w:p>
      <w:pPr>
        <w:pStyle w:val="Paragraph1"/>
        <w:pBdr/>
        <w:spacing/>
        <w:rPr/>
      </w:pPr>
      <w:r>
        <w:rPr>
          <w:rStyle w:val="Paragraph1"/>
        </w:rPr>
        <w:t xml:space="preserve">There is hereby established the City of Orlando Housing Assistance Program for the purpose of making affordable residential units available to persons of very low income, low income, or moderate income and to persons who have special housing needs. </w:t>
      </w:r>
    </w:p>
    <w:p>
      <w:pPr>
        <w:pStyle w:val="HistoryNote"/>
        <w:pBdr/>
        <w:spacing/>
        <w:rPr/>
      </w:pPr>
      <w:r>
        <w:rPr>
          <w:rStyle w:val="HistoryNote"/>
        </w:rPr>
        <w:t xml:space="preserve">(Ord. of 2-22-1993, Doc. #26393)</w:t>
      </w:r>
    </w:p>
    <w:p>
      <w:pPr>
        <w:pBdr/>
        <w:spacing w:before="0" w:after="0"/>
        <w:rPr/>
        <w:sectPr>
          <w:headerReference w:type="default" r:id="rId29"/>
          <w:footerReference w:type="default" r:id="rId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67.301.</w:t>
      </w:r>
      <w:r>
        <w:rPr/>
        <w:t xml:space="preserve"> </w:t>
      </w:r>
      <w:r>
        <w:rPr/>
        <w:t xml:space="preserve">Purpose.</w:t>
      </w:r>
    </w:p>
    <w:p>
      <w:pPr>
        <w:pStyle w:val="Paragraph1"/>
        <w:pBdr/>
        <w:spacing/>
        <w:rPr/>
      </w:pPr>
      <w:r>
        <w:rPr>
          <w:rStyle w:val="Paragraph1"/>
        </w:rPr>
        <w:t xml:space="preserve">The City of Orlando Housing Assistance Program is intended to increase the availability of affordable residential units by coordinating and combining local resources and cost-saving measures into a local housing partnership and using private and public funds to reduce the cost of housing. The City of Orlando Local Housing Assistance Program shall enlist the support of local lending institutions for innovative financing techniques designed to meet the special needs of eligible persons or eligible sponsors; encourage developers to construct affordable housing; and, otherwise encourage local organizations to construct or assist in construction of affordable housing using creative and innovative techniques. </w:t>
      </w:r>
    </w:p>
    <w:p>
      <w:pPr>
        <w:pStyle w:val="HistoryNote"/>
        <w:pBdr/>
        <w:spacing/>
        <w:rPr/>
      </w:pPr>
      <w:r>
        <w:rPr>
          <w:rStyle w:val="HistoryNote"/>
        </w:rPr>
        <w:t xml:space="preserve">(Ord. of 2-22-1993, Doc. #26393)</w:t>
      </w:r>
    </w:p>
    <w:p>
      <w:pPr>
        <w:pBdr/>
        <w:spacing w:before="0" w:after="0"/>
        <w:rPr/>
        <w:sectPr>
          <w:headerReference w:type="default" r:id="rId31"/>
          <w:footerReference w:type="default" r:id="rId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67.302.</w:t>
      </w:r>
      <w:r>
        <w:rPr/>
        <w:t xml:space="preserve"> </w:t>
      </w:r>
      <w:r>
        <w:rPr/>
        <w:t xml:space="preserve">Use of Local Housing Assistance Trust Fund.</w:t>
      </w:r>
    </w:p>
    <w:p>
      <w:pPr>
        <w:pStyle w:val="Paragraph1"/>
        <w:pBdr/>
        <w:spacing/>
        <w:rPr/>
      </w:pPr>
      <w:r>
        <w:rPr>
          <w:rStyle w:val="Paragraph1"/>
        </w:rPr>
        <w:t xml:space="preserve">The Orlando Local Housing Assistance Program shall use the funds held in trust to: </w:t>
      </w:r>
    </w:p>
    <w:p>
      <w:pPr>
        <w:pStyle w:val="List2"/>
        <w:pBdr/>
        <w:spacing/>
        <w:rPr/>
      </w:pPr>
      <w:r>
        <w:rPr/>
        <w:t xml:space="preserve">(a)</w:t>
      </w:r>
      <w:r>
        <w:rPr/>
        <w:tab/>
        <w:t xml:space="preserve"/>
      </w:r>
      <w:r>
        <w:rPr/>
        <w:t xml:space="preserve">Provide the local matching funds in order to obtain federal housing grants for federal programs such as the HOME program; </w:t>
      </w:r>
    </w:p>
    <w:p>
      <w:pPr>
        <w:pStyle w:val="List2"/>
        <w:pBdr/>
        <w:spacing/>
        <w:rPr/>
      </w:pPr>
      <w:r>
        <w:rPr/>
        <w:t xml:space="preserve">(b)</w:t>
      </w:r>
      <w:r>
        <w:rPr/>
        <w:tab/>
        <w:t xml:space="preserve"/>
      </w:r>
      <w:r>
        <w:rPr/>
        <w:t xml:space="preserve">To supplement Florida Housing Finance Agency programs within the City; </w:t>
      </w:r>
    </w:p>
    <w:p>
      <w:pPr>
        <w:pStyle w:val="List2"/>
        <w:pBdr/>
        <w:spacing/>
        <w:rPr/>
      </w:pPr>
      <w:r>
        <w:rPr/>
        <w:t xml:space="preserve">(c)</w:t>
      </w:r>
      <w:r>
        <w:rPr/>
        <w:tab/>
        <w:t xml:space="preserve"/>
      </w:r>
      <w:r>
        <w:rPr/>
        <w:t xml:space="preserve">To provide emergency repairs by qualified service providers under weatherization programs; </w:t>
      </w:r>
    </w:p>
    <w:p>
      <w:pPr>
        <w:pStyle w:val="List2"/>
        <w:pBdr/>
        <w:spacing/>
        <w:rPr/>
      </w:pPr>
      <w:r>
        <w:rPr/>
        <w:t xml:space="preserve">(d)</w:t>
      </w:r>
      <w:r>
        <w:rPr/>
        <w:tab/>
        <w:t xml:space="preserve"/>
      </w:r>
      <w:r>
        <w:rPr/>
        <w:t xml:space="preserve">Provide a locally designed strategy that creates or preserves affordable housing. Specifically, the strategy shall include, but not necessarily be limited to, the following: </w:t>
      </w:r>
    </w:p>
    <w:p>
      <w:pPr>
        <w:pStyle w:val="List3"/>
        <w:pBdr/>
        <w:spacing/>
        <w:rPr/>
      </w:pPr>
      <w:r>
        <w:rPr/>
        <w:t xml:space="preserve">(1)</w:t>
      </w:r>
      <w:r>
        <w:rPr/>
        <w:tab/>
        <w:t xml:space="preserve"/>
      </w:r>
      <w:r>
        <w:rPr/>
        <w:t xml:space="preserve">The City shall work with and support developers who propose affordable housing projects which are consistent with the City's Growth Management Plan. </w:t>
      </w:r>
    </w:p>
    <w:p>
      <w:pPr>
        <w:pStyle w:val="List3"/>
        <w:pBdr/>
        <w:spacing/>
        <w:rPr/>
      </w:pPr>
      <w:r>
        <w:rPr/>
        <w:t xml:space="preserve">(2)</w:t>
      </w:r>
      <w:r>
        <w:rPr/>
        <w:tab/>
        <w:t xml:space="preserve"/>
      </w:r>
      <w:r>
        <w:rPr/>
        <w:t xml:space="preserve">The City shall design programs and solicit the participation of private developers and financial institutions in the provision of affordable housing and leveraging of resources to maximum benefit. </w:t>
      </w:r>
    </w:p>
    <w:p>
      <w:pPr>
        <w:pStyle w:val="List3"/>
        <w:pBdr/>
        <w:spacing/>
        <w:rPr/>
      </w:pPr>
      <w:r>
        <w:rPr/>
        <w:t xml:space="preserve">(3)</w:t>
      </w:r>
      <w:r>
        <w:rPr/>
        <w:tab/>
        <w:t xml:space="preserve"/>
      </w:r>
      <w:r>
        <w:rPr/>
        <w:t xml:space="preserve">The City shall continue to participate in affordable housing demonstration projects where the City will negotiate development standards and code requirements with developers interested in constructing a variety of affordable housing units. </w:t>
      </w:r>
    </w:p>
    <w:p>
      <w:pPr>
        <w:pStyle w:val="List3"/>
        <w:pBdr/>
        <w:spacing/>
        <w:rPr/>
      </w:pPr>
      <w:r>
        <w:rPr/>
        <w:t xml:space="preserve">(4)</w:t>
      </w:r>
      <w:r>
        <w:rPr/>
        <w:tab/>
        <w:t xml:space="preserve"/>
      </w:r>
      <w:r>
        <w:rPr/>
        <w:t xml:space="preserve">The City shall encourage socio-economic diversity throughout Orlando by providing incentives for the construction of affordable housing, especially low and very-low income housing, in those areas that are deficient in affordable housing. </w:t>
      </w:r>
    </w:p>
    <w:p>
      <w:pPr>
        <w:pStyle w:val="List3"/>
        <w:pBdr/>
        <w:spacing/>
        <w:rPr/>
      </w:pPr>
      <w:r>
        <w:rPr/>
        <w:t xml:space="preserve">(5)</w:t>
      </w:r>
      <w:r>
        <w:rPr/>
        <w:tab/>
        <w:t xml:space="preserve"/>
      </w:r>
      <w:r>
        <w:rPr/>
        <w:t xml:space="preserve">The City shall work with and support providers of day-care, health care, transportation and other services which are needed by the beneficiaries of affordable housing programs. </w:t>
      </w:r>
    </w:p>
    <w:p>
      <w:pPr>
        <w:pStyle w:val="List3"/>
        <w:pBdr/>
        <w:spacing/>
        <w:rPr/>
      </w:pPr>
      <w:r>
        <w:rPr/>
        <w:t xml:space="preserve">(6)</w:t>
      </w:r>
      <w:r>
        <w:rPr/>
        <w:tab/>
        <w:t xml:space="preserve"/>
      </w:r>
      <w:r>
        <w:rPr/>
        <w:t xml:space="preserve">The City shall work with and support the affordable housing and special needs housing related activities of community based and not for profit organizations. Such support may include, but not necessarily be limited to, financial and/or technical assistance. SHIP funds, however, shall only be used for housing production purposes. </w:t>
      </w:r>
    </w:p>
    <w:p>
      <w:pPr>
        <w:pStyle w:val="List3"/>
        <w:pBdr/>
        <w:spacing/>
        <w:rPr/>
      </w:pPr>
      <w:r>
        <w:rPr/>
        <w:t xml:space="preserve">(7)</w:t>
      </w:r>
      <w:r>
        <w:rPr/>
        <w:tab/>
        <w:t xml:space="preserve"/>
      </w:r>
      <w:r>
        <w:rPr/>
        <w:t xml:space="preserve">Reserved. </w:t>
      </w:r>
    </w:p>
    <w:p>
      <w:pPr>
        <w:pStyle w:val="List3"/>
        <w:pBdr/>
        <w:spacing/>
        <w:rPr/>
      </w:pPr>
      <w:r>
        <w:rPr/>
        <w:t xml:space="preserve">(8)</w:t>
      </w:r>
      <w:r>
        <w:rPr/>
        <w:tab/>
        <w:t xml:space="preserve"/>
      </w:r>
      <w:r>
        <w:rPr/>
        <w:t xml:space="preserve">The City shall continue to work with the Orange County Housing Authority in the use of tax exempt financing to provide mortgages at below market interest rates to first time homebuyers. </w:t>
      </w:r>
    </w:p>
    <w:p>
      <w:pPr>
        <w:pStyle w:val="List3"/>
        <w:pBdr/>
        <w:spacing/>
        <w:rPr/>
      </w:pPr>
      <w:r>
        <w:rPr/>
        <w:t xml:space="preserve">(9)</w:t>
      </w:r>
      <w:r>
        <w:rPr/>
        <w:tab/>
        <w:t xml:space="preserve"/>
      </w:r>
      <w:r>
        <w:rPr/>
        <w:t xml:space="preserve">The City shall seek to secure the availability of professional services to provide training to prepare persons for the responsibility of home ownership and to provide tenant counseling. </w:t>
      </w:r>
    </w:p>
    <w:p>
      <w:pPr>
        <w:pStyle w:val="List3"/>
        <w:pBdr/>
        <w:spacing/>
        <w:rPr/>
      </w:pPr>
      <w:r>
        <w:rPr/>
        <w:t xml:space="preserve">(10)</w:t>
      </w:r>
      <w:r>
        <w:rPr/>
        <w:tab/>
        <w:t xml:space="preserve"/>
      </w:r>
      <w:r>
        <w:rPr/>
        <w:t xml:space="preserve">The City shall continue its rental rehabilitation program to provide low cost funding for property owners who provide housing for lower and very low income households. Units identified as being in need of emergency rehabilitation prior to continued occupancy shall receive the highest priority. </w:t>
      </w:r>
    </w:p>
    <w:p>
      <w:pPr>
        <w:pStyle w:val="List3"/>
        <w:pBdr/>
        <w:spacing/>
        <w:rPr/>
      </w:pPr>
      <w:r>
        <w:rPr/>
        <w:t xml:space="preserve">(11)</w:t>
      </w:r>
      <w:r>
        <w:rPr/>
        <w:tab/>
        <w:t xml:space="preserve"/>
      </w:r>
      <w:r>
        <w:rPr/>
        <w:t xml:space="preserve">No residential demolition permit shall be issued sooner than thirty (30) days after application in order to allow the City to determine if the unit can be saved for affordable housing. The City shall continue to provide assistance through the Relocate-Rehabilitate-Resell Program whereby structures which otherwise would be demolished are relocated, rehabilitated, and resold as affordable housing. </w:t>
      </w:r>
    </w:p>
    <w:p>
      <w:pPr>
        <w:pStyle w:val="List3"/>
        <w:pBdr/>
        <w:spacing/>
        <w:rPr/>
      </w:pPr>
      <w:r>
        <w:rPr/>
        <w:t xml:space="preserve">(12)</w:t>
      </w:r>
      <w:r>
        <w:rPr/>
        <w:tab/>
        <w:t xml:space="preserve"/>
      </w:r>
      <w:r>
        <w:rPr/>
        <w:t xml:space="preserve">The City shall continue its housing rehabilitation program to provide low cost funding for low and very low income homeowners with programs such as the Housing Rehab Leveraging program. The program allows homeowners to rehabilitate their properties using a second mortgage loan from a private lending institution and an interest subsidy from the City which will produce a very low effective interest rate for the borrower. </w:t>
      </w:r>
    </w:p>
    <w:p>
      <w:pPr>
        <w:pStyle w:val="List3"/>
        <w:pBdr/>
        <w:spacing/>
        <w:rPr/>
      </w:pPr>
      <w:r>
        <w:rPr/>
        <w:t xml:space="preserve">(13)</w:t>
      </w:r>
      <w:r>
        <w:rPr/>
        <w:tab/>
        <w:t xml:space="preserve"/>
      </w:r>
      <w:r>
        <w:rPr/>
        <w:t xml:space="preserve">The City shall encourage homeownership in target neighborhoods through programs such as the Downpayment Assistance Program which provides downpayment assistance (closing costs) for first time low income home buyers. </w:t>
      </w:r>
    </w:p>
    <w:p>
      <w:pPr>
        <w:pStyle w:val="List3"/>
        <w:pBdr/>
        <w:spacing/>
        <w:rPr/>
      </w:pPr>
      <w:r>
        <w:rPr/>
        <w:t xml:space="preserve">(14)</w:t>
      </w:r>
      <w:r>
        <w:rPr/>
        <w:tab/>
        <w:t xml:space="preserve"/>
      </w:r>
      <w:r>
        <w:rPr/>
        <w:t xml:space="preserve">The City shall continue to provide intensity bonuses in return for developer contributions of monies to the City's Affordable Housing Trust Fund. The City shall also provide such bonuses in exchange for the developer providing affordable housing on-site. </w:t>
      </w:r>
    </w:p>
    <w:p>
      <w:pPr>
        <w:pStyle w:val="List3"/>
        <w:pBdr/>
        <w:spacing/>
        <w:rPr/>
      </w:pPr>
      <w:r>
        <w:rPr/>
        <w:t xml:space="preserve">(15)</w:t>
      </w:r>
      <w:r>
        <w:rPr/>
        <w:tab/>
        <w:t xml:space="preserve"/>
      </w:r>
      <w:r>
        <w:rPr/>
        <w:t xml:space="preserve">Reserved. </w:t>
      </w:r>
    </w:p>
    <w:p>
      <w:pPr>
        <w:pStyle w:val="List3"/>
        <w:pBdr/>
        <w:spacing/>
        <w:rPr/>
      </w:pPr>
      <w:r>
        <w:rPr/>
        <w:t xml:space="preserve">(16)</w:t>
      </w:r>
      <w:r>
        <w:rPr/>
        <w:tab/>
        <w:t xml:space="preserve"/>
      </w:r>
      <w:r>
        <w:rPr/>
        <w:t xml:space="preserve">The City shall establish design incentives that provide flexible design options without compromising the quality of the resulting development. </w:t>
      </w:r>
    </w:p>
    <w:p>
      <w:pPr>
        <w:pStyle w:val="List3"/>
        <w:pBdr/>
        <w:spacing/>
        <w:rPr/>
      </w:pPr>
      <w:r>
        <w:rPr/>
        <w:t xml:space="preserve">(17)</w:t>
      </w:r>
      <w:r>
        <w:rPr/>
        <w:tab/>
        <w:t xml:space="preserve"/>
      </w:r>
      <w:r>
        <w:rPr/>
        <w:t xml:space="preserve">The City will continue to support and participate in the Parramore Heritage Renovation Project (PHR) to rebuild Orlando's Callahan/Lake Dot/Holden/Parramore community through the empowerment of residents and business people. This initiative will work to build a partnership between the public and private sectors in order to revitalize the area. Affordable housing issues in the PHR area shall be addressed to reflect: </w:t>
      </w:r>
    </w:p>
    <w:p>
      <w:pPr>
        <w:pStyle w:val="List4"/>
        <w:pBdr/>
        <w:spacing/>
        <w:rPr/>
      </w:pPr>
      <w:r>
        <w:rPr/>
        <w:t xml:space="preserve">(i)</w:t>
      </w:r>
      <w:r>
        <w:rPr/>
        <w:tab/>
        <w:t xml:space="preserve"/>
      </w:r>
      <w:r>
        <w:rPr/>
        <w:t xml:space="preserve">The intent of the City to make this a mixed income, economically diverse neighborhood with housing and employment opportunities for all. </w:t>
      </w:r>
    </w:p>
    <w:p>
      <w:pPr>
        <w:pStyle w:val="List4"/>
        <w:pBdr/>
        <w:spacing/>
        <w:rPr/>
      </w:pPr>
      <w:r>
        <w:rPr/>
        <w:t xml:space="preserve">(ii)</w:t>
      </w:r>
      <w:r>
        <w:rPr/>
        <w:tab/>
        <w:t xml:space="preserve"/>
      </w:r>
      <w:r>
        <w:rPr/>
        <w:t xml:space="preserve">The desire to reach an overall mixture of housing types which is at least 50% single family and 50% multi-family within 20 years. This goal shall be accomplished in part through the gradual reduction in the percentage of multi-family dwelling units. </w:t>
      </w:r>
    </w:p>
    <w:p>
      <w:pPr>
        <w:pStyle w:val="List4"/>
        <w:pBdr/>
        <w:spacing/>
        <w:rPr/>
      </w:pPr>
      <w:r>
        <w:rPr/>
        <w:t xml:space="preserve">(iii)</w:t>
      </w:r>
      <w:r>
        <w:rPr/>
        <w:tab/>
        <w:t xml:space="preserve"/>
      </w:r>
      <w:r>
        <w:rPr/>
        <w:t xml:space="preserve">New construction of single family homes for moderate and upper income households shall be encouraged. </w:t>
      </w:r>
    </w:p>
    <w:p>
      <w:pPr>
        <w:pStyle w:val="List4"/>
        <w:pBdr/>
        <w:spacing/>
        <w:rPr/>
      </w:pPr>
      <w:r>
        <w:rPr/>
        <w:t xml:space="preserve">(iv)</w:t>
      </w:r>
      <w:r>
        <w:rPr/>
        <w:tab/>
        <w:t xml:space="preserve"/>
      </w:r>
      <w:r>
        <w:rPr/>
        <w:t xml:space="preserve">The desire to reach an overall mixture of housing tenure by actively encouraging owner-occupancy within the neighborhood. </w:t>
      </w:r>
    </w:p>
    <w:p>
      <w:pPr>
        <w:pStyle w:val="List4"/>
        <w:pBdr/>
        <w:spacing/>
        <w:rPr/>
      </w:pPr>
      <w:r>
        <w:rPr/>
        <w:t xml:space="preserve">(v)</w:t>
      </w:r>
      <w:r>
        <w:rPr/>
        <w:tab/>
        <w:t xml:space="preserve"/>
      </w:r>
      <w:r>
        <w:rPr/>
        <w:t xml:space="preserve">Design standards and image improvement opportunities shall be integral parts of the Design Plan. </w:t>
      </w:r>
    </w:p>
    <w:p>
      <w:pPr>
        <w:pStyle w:val="List4"/>
        <w:pBdr/>
        <w:spacing/>
        <w:rPr/>
      </w:pPr>
      <w:r>
        <w:rPr/>
        <w:t xml:space="preserve">(vi)</w:t>
      </w:r>
      <w:r>
        <w:rPr/>
        <w:tab/>
        <w:t xml:space="preserve"/>
      </w:r>
      <w:r>
        <w:rPr/>
        <w:t xml:space="preserve">Social service providers shall be encouraged to utilize satellite service locations outside the Parramore Heritage Renovation Area. </w:t>
      </w:r>
    </w:p>
    <w:p>
      <w:pPr>
        <w:pStyle w:val="Block3"/>
        <w:pBdr/>
        <w:spacing/>
        <w:rPr/>
      </w:pPr>
      <w:r>
        <w:rPr>
          <w:rStyle w:val="Block3"/>
        </w:rPr>
        <w:t xml:space="preserve">and, </w:t>
      </w:r>
    </w:p>
    <w:p>
      <w:pPr>
        <w:pStyle w:val="List2"/>
        <w:pBdr/>
        <w:spacing/>
        <w:rPr/>
      </w:pPr>
      <w:r>
        <w:rPr/>
        <w:t xml:space="preserve">(e)</w:t>
      </w:r>
      <w:r>
        <w:rPr/>
        <w:tab/>
        <w:t xml:space="preserve"/>
      </w:r>
      <w:r>
        <w:rPr/>
        <w:t xml:space="preserve">The Orlando Local Housing Assistance Program shall include all other lawful objectives not previously listed if said objectives are adopted, from time to time, in the Orlando Local Housing Assistance Plan in the manner provided by state statute. </w:t>
      </w:r>
    </w:p>
    <w:p>
      <w:pPr>
        <w:pStyle w:val="HistoryNote"/>
        <w:pBdr/>
        <w:spacing/>
        <w:rPr/>
      </w:pPr>
      <w:r>
        <w:rPr>
          <w:rStyle w:val="HistoryNote"/>
        </w:rPr>
        <w:t xml:space="preserve">(Ord. of 2-22-1993, Doc. #26393; Ord. of 6-21-1993, Doc. #26697; Ord. of 6-20-1994, Doc. #27637)</w:t>
      </w:r>
    </w:p>
    <w:p>
      <w:pPr>
        <w:pBdr/>
        <w:spacing w:before="0" w:after="0"/>
        <w:rPr/>
        <w:sectPr>
          <w:headerReference w:type="default" r:id="rId33"/>
          <w:footerReference w:type="default" r:id="rId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67.303.</w:t>
      </w:r>
      <w:r>
        <w:rPr/>
        <w:t xml:space="preserve"> </w:t>
      </w:r>
      <w:r>
        <w:rPr/>
        <w:t xml:space="preserve">Implementation of Local Housing Assistance Program.</w:t>
      </w:r>
    </w:p>
    <w:p>
      <w:pPr>
        <w:pStyle w:val="Paragraph1"/>
        <w:pBdr/>
        <w:spacing/>
        <w:rPr/>
      </w:pPr>
      <w:r>
        <w:rPr>
          <w:rStyle w:val="Paragraph1"/>
        </w:rPr>
        <w:t xml:space="preserve">In implementing its plan the City shall: </w:t>
      </w:r>
    </w:p>
    <w:p>
      <w:pPr>
        <w:pStyle w:val="List2"/>
        <w:pBdr/>
        <w:spacing/>
        <w:rPr/>
      </w:pPr>
      <w:r>
        <w:rPr/>
        <w:t xml:space="preserve">(a)</w:t>
      </w:r>
      <w:r>
        <w:rPr/>
        <w:tab/>
        <w:t xml:space="preserve"/>
      </w:r>
      <w:r>
        <w:rPr/>
        <w:t xml:space="preserve">At least thirty (30) days prior to any application period, advertise the availability of the housing assistance program in a newspaper of general circulation in the City and in periodicals serving diverse ethnic groups and neighborhoods as required by state statute. </w:t>
      </w:r>
    </w:p>
    <w:p>
      <w:pPr>
        <w:pStyle w:val="List2"/>
        <w:pBdr/>
        <w:spacing/>
        <w:rPr/>
      </w:pPr>
      <w:r>
        <w:rPr/>
        <w:t xml:space="preserve">(b)</w:t>
      </w:r>
      <w:r>
        <w:rPr/>
        <w:tab/>
        <w:t xml:space="preserve"/>
      </w:r>
      <w:r>
        <w:rPr/>
        <w:t xml:space="preserve">Adopt a maximum awards schedule or system of awards in its housing assistance plan which complies with the following criteria: </w:t>
      </w:r>
    </w:p>
    <w:p>
      <w:pPr>
        <w:pStyle w:val="List3"/>
        <w:pBdr/>
        <w:spacing/>
        <w:rPr/>
      </w:pPr>
      <w:r>
        <w:rPr/>
        <w:t xml:space="preserve">(1)</w:t>
      </w:r>
      <w:r>
        <w:rPr/>
        <w:tab/>
        <w:t xml:space="preserve"/>
      </w:r>
      <w:r>
        <w:rPr/>
        <w:t xml:space="preserve">At least sixty-five percent (65%) of all SHIP funds made available in the City shall be reserved for home ownership for eligible persons. </w:t>
      </w:r>
    </w:p>
    <w:p>
      <w:pPr>
        <w:pStyle w:val="List3"/>
        <w:pBdr/>
        <w:spacing/>
        <w:rPr/>
      </w:pPr>
      <w:r>
        <w:rPr/>
        <w:t xml:space="preserve">(2)</w:t>
      </w:r>
      <w:r>
        <w:rPr/>
        <w:tab/>
        <w:t xml:space="preserve"/>
      </w:r>
      <w:r>
        <w:rPr/>
        <w:t xml:space="preserve">At least seventy-five percent (75%) of the SHIP funds shall be reserved for construction, rehabilitation or emergency repair of affordable housing. </w:t>
      </w:r>
    </w:p>
    <w:p>
      <w:pPr>
        <w:pStyle w:val="List3"/>
        <w:pBdr/>
        <w:spacing/>
        <w:rPr/>
      </w:pPr>
      <w:r>
        <w:rPr/>
        <w:t xml:space="preserve">(3)</w:t>
      </w:r>
      <w:r>
        <w:rPr/>
        <w:tab/>
        <w:t xml:space="preserve"/>
      </w:r>
      <w:r>
        <w:rPr/>
        <w:t xml:space="preserve">The sale price of new or existing eligible housing shall not exceed ninety percent (90%) of the median purchase price for the area where the housing is located, as established by the United States Department of Treasury in accordance with Revenue Proclamation 92-34. </w:t>
      </w:r>
    </w:p>
    <w:p>
      <w:pPr>
        <w:pStyle w:val="List3"/>
        <w:pBdr/>
        <w:spacing/>
        <w:rPr/>
      </w:pPr>
      <w:r>
        <w:rPr/>
        <w:t xml:space="preserve">(4)</w:t>
      </w:r>
      <w:r>
        <w:rPr/>
        <w:tab/>
        <w:t xml:space="preserve"/>
      </w:r>
      <w:r>
        <w:rPr/>
        <w:t xml:space="preserve">All units constructed, rehabilitated or otherwise assisted with funds provided through the Orlando Local Housing Assistance Program shall be occupied by eligible persons. Within any SHIP funding year, at least thirty percent (30%) of the units shall be occupied by very low income persons, and at least an additional thirty percent (30%) shall be occupied by low income persons. </w:t>
      </w:r>
    </w:p>
    <w:p>
      <w:pPr>
        <w:pStyle w:val="List3"/>
        <w:pBdr/>
        <w:spacing/>
        <w:rPr/>
      </w:pPr>
      <w:r>
        <w:rPr/>
        <w:t xml:space="preserve">(5)</w:t>
      </w:r>
      <w:r>
        <w:rPr/>
        <w:tab/>
        <w:t xml:space="preserve"/>
      </w:r>
      <w:r>
        <w:rPr/>
        <w:t xml:space="preserve">Loans issued through the Orlando Local Housing Assistance Program may not have terms exceeding 30 years, except for deferred payment loans or loans that extend beyond 30 years which continue to serve eligible persons. </w:t>
      </w:r>
    </w:p>
    <w:p>
      <w:pPr>
        <w:pStyle w:val="List3"/>
        <w:pBdr/>
        <w:spacing/>
        <w:rPr/>
      </w:pPr>
      <w:r>
        <w:rPr/>
        <w:t xml:space="preserve">(6)</w:t>
      </w:r>
      <w:r>
        <w:rPr/>
        <w:tab/>
        <w:t xml:space="preserve"/>
      </w:r>
      <w:r>
        <w:rPr/>
        <w:t xml:space="preserve">Eligible rental housing constructed, rehabilitated or otherwise assisted with funds from the Orlando Local Housing Assistance Program shall be reserved for eligible persons for fifteen (15) years or the term of assistance, whichever period is longer. Eligible sponsors who offer rental housing for sale before fifteen (15) years or that have remaining mortgages funded or guaranteed under this program must give a right of first refusal to eligible not for profit organizations for purchase at the current market value for continued occupancy by eligible persons. </w:t>
      </w:r>
    </w:p>
    <w:p>
      <w:pPr>
        <w:pStyle w:val="List3"/>
        <w:pBdr/>
        <w:spacing/>
        <w:rPr/>
      </w:pPr>
      <w:r>
        <w:rPr/>
        <w:t xml:space="preserve">(7)</w:t>
      </w:r>
      <w:r>
        <w:rPr/>
        <w:tab/>
        <w:t xml:space="preserve"/>
      </w:r>
      <w:r>
        <w:rPr/>
        <w:t xml:space="preserve">Eligible persons who own and occupy housing constructed, rehabilitated or otherwise assisted with funds from the Orlando Local Housing Assistance Program shall be subject to long term affordability and recapture requirements as provided by the City. </w:t>
      </w:r>
    </w:p>
    <w:p>
      <w:pPr>
        <w:pStyle w:val="List3"/>
        <w:pBdr/>
        <w:spacing/>
        <w:rPr/>
      </w:pPr>
      <w:r>
        <w:rPr/>
        <w:t xml:space="preserve">(8)</w:t>
      </w:r>
      <w:r>
        <w:rPr/>
        <w:tab/>
        <w:t xml:space="preserve"/>
      </w:r>
      <w:r>
        <w:rPr/>
        <w:t xml:space="preserve">The total amount of monthly mortgage payments, including taxes and insurance, or the amount of monthly rent charged by the eligible sponsor or his designee must be Affordable. </w:t>
      </w:r>
    </w:p>
    <w:p>
      <w:pPr>
        <w:pStyle w:val="List3"/>
        <w:pBdr/>
        <w:spacing/>
        <w:rPr/>
      </w:pPr>
      <w:r>
        <w:rPr/>
        <w:t xml:space="preserve">(9)</w:t>
      </w:r>
      <w:r>
        <w:rPr/>
        <w:tab/>
        <w:t xml:space="preserve"/>
      </w:r>
      <w:r>
        <w:rPr/>
        <w:t xml:space="preserve">The maximum cost per unit for eligible housing benefitting from awards made pursuant to this program shall be established, from time to time, by resolution of the Orlando City Council. </w:t>
      </w:r>
    </w:p>
    <w:p>
      <w:pPr>
        <w:pStyle w:val="List3"/>
        <w:pBdr/>
        <w:spacing/>
        <w:rPr/>
      </w:pPr>
      <w:r>
        <w:rPr/>
        <w:t xml:space="preserve">(10)</w:t>
      </w:r>
      <w:r>
        <w:rPr/>
        <w:tab/>
        <w:t xml:space="preserve"/>
      </w:r>
      <w:r>
        <w:rPr/>
        <w:t xml:space="preserve">A qualification system for applications for awards will be established through the Local Housing Assistance Plan. </w:t>
      </w:r>
    </w:p>
    <w:p>
      <w:pPr>
        <w:pStyle w:val="List3"/>
        <w:pBdr/>
        <w:spacing/>
        <w:rPr/>
      </w:pPr>
      <w:r>
        <w:rPr/>
        <w:t xml:space="preserve">(11)</w:t>
      </w:r>
      <w:r>
        <w:rPr/>
        <w:tab/>
        <w:t xml:space="preserve"/>
      </w:r>
      <w:r>
        <w:rPr/>
        <w:t xml:space="preserve">The Orlando Local Housing Assistance Plan shall be reviewed and monitored annually to determine compliance with the eligibility and affordability provisions (including the amount of subsidy) of this Chapter and state and federal law. </w:t>
      </w:r>
    </w:p>
    <w:p>
      <w:pPr>
        <w:pStyle w:val="List3"/>
        <w:pBdr/>
        <w:spacing/>
        <w:rPr/>
      </w:pPr>
      <w:r>
        <w:rPr/>
        <w:t xml:space="preserve">(12)</w:t>
      </w:r>
      <w:r>
        <w:rPr/>
        <w:tab/>
        <w:t xml:space="preserve"/>
      </w:r>
      <w:r>
        <w:rPr/>
        <w:t xml:space="preserve">The City shall annually monitor and determine tenant eligibility and the amount of subsidy pursuant to the provisions of this Chapter and state and federal laws. The City shall utilize maximum allowable rents in accordance with the provisions of this Chapter and applicable state and federal laws. </w:t>
      </w:r>
    </w:p>
    <w:p>
      <w:pPr>
        <w:pStyle w:val="List3"/>
        <w:pBdr/>
        <w:spacing/>
        <w:rPr/>
      </w:pPr>
      <w:r>
        <w:rPr/>
        <w:t xml:space="preserve">(13)</w:t>
      </w:r>
      <w:r>
        <w:rPr/>
        <w:tab/>
        <w:t xml:space="preserve"/>
      </w:r>
      <w:r>
        <w:rPr/>
        <w:t xml:space="preserve">Neither the City, the partnership, nor eligible sponsors, shall in any way discriminate in the provision of affordable housing on the basis of race, creed, religion, color, age, sex, marital status, familial status, national origin, or handicap. </w:t>
      </w:r>
    </w:p>
    <w:p>
      <w:pPr>
        <w:pStyle w:val="List3"/>
        <w:pBdr/>
        <w:spacing/>
        <w:rPr/>
      </w:pPr>
      <w:r>
        <w:rPr/>
        <w:t xml:space="preserve">(14)</w:t>
      </w:r>
      <w:r>
        <w:rPr/>
        <w:tab/>
        <w:t xml:space="preserve"/>
      </w:r>
      <w:r>
        <w:rPr/>
        <w:t xml:space="preserve">Prior to receiving an award, all eligible sponsors or eligible persons shall enter into an agreement with the City wherein they agree to comply with the affordable housing criteria provided under Florida Statutes §§ 420.907—420.9079 and this ordinance. All eligible sponsors or eligible persons shall include in any deed transferring ownership of property pursuant to the Local Housing Assistance Program a covenant whereby the recipient of such property agrees to comply with the terms of Florida Statutes §§ 420.907—420.9079 and this ordinance. Such covenant shall run with the land and shall inure to the benefit of the City, its successors and assigns. Alternatively, such covenant may be made a part of any mortgage agreement with respect to such property. Breach of such covenant shall be a material breach of the mortgage with all rights and remedies inuring to the benefit of the City. </w:t>
      </w:r>
    </w:p>
    <w:p>
      <w:pPr>
        <w:pStyle w:val="HistoryNote"/>
        <w:pBdr/>
        <w:spacing/>
        <w:rPr/>
      </w:pPr>
      <w:r>
        <w:rPr>
          <w:rStyle w:val="HistoryNote"/>
        </w:rPr>
        <w:t xml:space="preserve">(Ord. of 2-22-1993, Doc. #26393; Ord. of 6-20-1994, Doc. #27637)</w:t>
      </w:r>
    </w:p>
    <w:p>
      <w:pPr>
        <w:pBdr/>
        <w:spacing w:before="0" w:after="0"/>
        <w:rPr/>
        <w:sectPr>
          <w:headerReference w:type="default" r:id="rId35"/>
          <w:footerReference w:type="default" r:id="rId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67.304.</w:t>
      </w:r>
      <w:r>
        <w:rPr/>
        <w:t xml:space="preserve"> </w:t>
      </w:r>
      <w:r>
        <w:rPr/>
        <w:t xml:space="preserve">Administrative Responsibilities and Costs.</w:t>
      </w:r>
    </w:p>
    <w:p>
      <w:pPr>
        <w:pStyle w:val="List1"/>
        <w:pBdr/>
        <w:spacing/>
        <w:rPr/>
      </w:pPr>
      <w:r>
        <w:rPr/>
        <w:t xml:space="preserve">(a)</w:t>
      </w:r>
      <w:r>
        <w:rPr/>
        <w:tab/>
        <w:t xml:space="preserve"/>
      </w:r>
      <w:r>
        <w:rPr/>
        <w:t xml:space="preserve">The Director of Planning and Development or his designee shall have administrative responsibility for the program. With the prior approval of City Council, the City may contract with an outside entity for the administration and implementation of the Orlando Local Housing Assistance Program. </w:t>
      </w:r>
    </w:p>
    <w:p>
      <w:pPr>
        <w:pStyle w:val="List1"/>
        <w:pBdr/>
        <w:spacing/>
        <w:rPr/>
      </w:pPr>
      <w:r>
        <w:rPr/>
        <w:t xml:space="preserve">(b)</w:t>
      </w:r>
      <w:r>
        <w:rPr/>
        <w:tab/>
        <w:t xml:space="preserve"/>
      </w:r>
      <w:r>
        <w:rPr/>
        <w:t xml:space="preserve">Administrative expenses shall not exceed ten percent (10%) of the SHIP funding received from the State. City Council must approve an administrative expense budget of over five percent (5%) in advance by resolution. In no event may annual administrative costs exceed ten percent (10%) of annual allocated SHIP funds. </w:t>
      </w:r>
    </w:p>
    <w:p>
      <w:pPr>
        <w:pStyle w:val="HistoryNote"/>
        <w:pBdr/>
        <w:spacing/>
        <w:rPr/>
      </w:pPr>
      <w:r>
        <w:rPr>
          <w:rStyle w:val="HistoryNote"/>
        </w:rPr>
        <w:t xml:space="preserve">(Ord. of 2-22-1993, Doc. #26393; Ord. of 6-20-1994, Doc. #27637)</w:t>
      </w:r>
    </w:p>
    <w:p>
      <w:pPr>
        <w:pBdr/>
        <w:spacing w:before="0" w:after="0"/>
        <w:rPr/>
        <w:sectPr>
          <w:headerReference w:type="default" r:id="rId37"/>
          <w:footerReference w:type="default" r:id="rId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67.305—67.399.</w:t>
      </w:r>
      <w:r>
        <w:rPr/>
        <w:t xml:space="preserve"> </w:t>
      </w:r>
      <w:r>
        <w:rPr/>
        <w:t xml:space="preserve">Reserved.</w:t>
      </w:r>
    </w:p>
    <w:p>
      <w:pPr>
        <w:pBdr/>
        <w:spacing w:before="0" w:after="0"/>
        <w:rPr/>
        <w:sectPr>
          <w:headerReference w:type="default" r:id="rId39"/>
          <w:footerReference w:type="default" r:id="rId40"/>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PART 4.</w:t>
      </w:r>
      <w:r>
        <w:rPr/>
        <w:t xml:space="preserve"> </w:t>
      </w:r>
      <w:r>
        <w:rPr/>
        <w:t xml:space="preserve">AFFORDABLE HOUSING ADVISORY COMMITTEE</w:t>
      </w:r>
    </w:p>
    <w:p>
      <w:pPr>
        <w:pBdr/>
        <w:spacing w:before="0" w:after="0"/>
        <w:rPr/>
        <w:sectPr>
          <w:headerReference w:type="default" r:id="rId41"/>
          <w:footerReference w:type="default" r:id="rId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67.400.</w:t>
      </w:r>
      <w:r>
        <w:rPr/>
        <w:t xml:space="preserve"> </w:t>
      </w:r>
      <w:r>
        <w:rPr/>
        <w:t xml:space="preserve">Establishment of Affordable Housing Advisory Committee.</w:t>
      </w:r>
    </w:p>
    <w:p>
      <w:pPr>
        <w:pStyle w:val="Paragraph1"/>
        <w:pBdr/>
        <w:spacing/>
        <w:rPr/>
      </w:pPr>
      <w:r>
        <w:rPr>
          <w:rStyle w:val="Paragraph1"/>
        </w:rPr>
        <w:t xml:space="preserve">There is hereby created and established an Affordable Housing Advisory Committee in accordance with the State Housing Initiatives Partnership Act, Florida Statutes § 420.907 et seq. When used herein the word "Committee" shall mean the Affordable Housing Advisory Committee. </w:t>
      </w:r>
    </w:p>
    <w:p>
      <w:pPr>
        <w:pStyle w:val="HistoryNote"/>
        <w:pBdr/>
        <w:spacing/>
        <w:rPr/>
      </w:pPr>
      <w:r>
        <w:rPr>
          <w:rStyle w:val="HistoryNote"/>
        </w:rPr>
        <w:t xml:space="preserve">(Ord. of 2-22-1993, Doc. #26393)</w:t>
      </w:r>
    </w:p>
    <w:p>
      <w:pPr>
        <w:pBdr/>
        <w:spacing w:before="0" w:after="0"/>
        <w:rPr/>
        <w:sectPr>
          <w:headerReference w:type="default" r:id="rId43"/>
          <w:footerReference w:type="default" r:id="rId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67.401.</w:t>
      </w:r>
      <w:r>
        <w:rPr/>
        <w:t xml:space="preserve"> </w:t>
      </w:r>
      <w:r>
        <w:rPr/>
        <w:t xml:space="preserve">Committee Membership and Officers.</w:t>
      </w:r>
    </w:p>
    <w:p>
      <w:pPr>
        <w:pStyle w:val="Paragraph1"/>
        <w:pBdr/>
        <w:spacing/>
        <w:rPr/>
      </w:pPr>
      <w:r>
        <w:rPr>
          <w:i/>
        </w:rPr>
        <w:t xml:space="preserve">Membership.</w:t>
      </w:r>
      <w:r>
        <w:rPr>
          <w:rStyle w:val="Paragraph1"/>
        </w:rPr>
        <w:t xml:space="preserve"> The Committee shall be comprised of eleven (11) members who shall be appointed by the Mayor and confirmed by the City Council. Members of the Committee shall serve without pay but shall be reimbursed by the City for necessary expenses incurred in connection with their duties. The Mayor shall appoint at least one member from each of the organizations, professions, or groups set forth in F.S. § 420.9076. </w:t>
      </w:r>
    </w:p>
    <w:p>
      <w:pPr>
        <w:pStyle w:val="Paragraph1"/>
        <w:pBdr/>
        <w:spacing/>
        <w:rPr/>
      </w:pPr>
      <w:r>
        <w:rPr>
          <w:i/>
        </w:rPr>
        <w:t xml:space="preserve">Officers and Terms.</w:t>
      </w:r>
      <w:r>
        <w:rPr>
          <w:rStyle w:val="Paragraph1"/>
        </w:rPr>
        <w:t xml:space="preserve"> This Committee shall meet at least once annually. Therefore, Committee members shall serve a term of three (3) years and may serve up to two (2) consecutive terms. At the first meeting of the Committee's annual term, Committee members shall elect officers who shall serve during that particular term. Officers shall include a Chairman and Vice-Chairman. Matters pertaining to appointments, reappointments to a consecutive term, and vacancies shall, to the extent not specifically provided for herein, be provided by Chapter 2, Article XV of the City Code of the City of Orlando. </w:t>
      </w:r>
    </w:p>
    <w:p>
      <w:pPr>
        <w:pStyle w:val="Paragraph1"/>
        <w:pBdr/>
        <w:spacing/>
        <w:rPr/>
      </w:pPr>
      <w:r>
        <w:rPr>
          <w:i/>
        </w:rPr>
        <w:t xml:space="preserve">Removal.</w:t>
      </w:r>
      <w:r>
        <w:rPr>
          <w:rStyle w:val="Paragraph1"/>
        </w:rPr>
        <w:t xml:space="preserve"> Members may be removed by a majority vote of the City Council. </w:t>
      </w:r>
    </w:p>
    <w:p>
      <w:pPr>
        <w:pStyle w:val="HistoryNote"/>
        <w:pBdr/>
        <w:spacing/>
        <w:rPr/>
      </w:pPr>
      <w:r>
        <w:rPr>
          <w:rStyle w:val="HistoryNote"/>
        </w:rPr>
        <w:t xml:space="preserve">(Ord. of 2-22-1993, Doc. #26393; Ord. of 3-3-2008, § 1, Doc. #0803031007; Ord. No. 2012-34, § 1, 5-20-2013, Doc. #1305201201; Ord. No. 2015-46, § 1, 2-8-2016, Doc. #1602081201; Ord. No. 2020-47, § 2, 9-21-2020, Doc. #2009211205)</w:t>
      </w:r>
    </w:p>
    <w:p>
      <w:pPr>
        <w:pBdr/>
        <w:spacing w:before="0" w:after="0"/>
        <w:rPr/>
        <w:sectPr>
          <w:headerReference w:type="default" r:id="rId45"/>
          <w:footerReference w:type="default" r:id="rId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67.402.</w:t>
      </w:r>
      <w:r>
        <w:rPr/>
        <w:t xml:space="preserve"> </w:t>
      </w:r>
      <w:r>
        <w:rPr/>
        <w:t xml:space="preserve">Committee Procedures.</w:t>
      </w:r>
    </w:p>
    <w:p>
      <w:pPr>
        <w:pStyle w:val="Paragraph1"/>
        <w:pBdr/>
        <w:spacing/>
        <w:rPr/>
      </w:pPr>
      <w:r>
        <w:rPr>
          <w:i/>
        </w:rPr>
        <w:t xml:space="preserve">Rules of Procedure.</w:t>
      </w:r>
      <w:r>
        <w:rPr>
          <w:rStyle w:val="Paragraph1"/>
        </w:rPr>
        <w:t xml:space="preserve"> The Committees shall adopt rules of procedure to carry out the purposes of this Chapter, provided that all rules shall be in accordance with this Chapter, other City Ordinances and State Law. </w:t>
      </w:r>
    </w:p>
    <w:p>
      <w:pPr>
        <w:pStyle w:val="Paragraph1"/>
        <w:pBdr/>
        <w:spacing/>
        <w:rPr/>
      </w:pPr>
      <w:r>
        <w:rPr>
          <w:i/>
        </w:rPr>
        <w:t xml:space="preserve">Meetings.</w:t>
      </w:r>
      <w:r>
        <w:rPr>
          <w:rStyle w:val="Paragraph1"/>
        </w:rPr>
        <w:t xml:space="preserve"> The Committee shall meet annually. During each term, the Committee shall meet as necessary as determined by the call of the Chairman or upon call by a majority of the members. All meetings of the Committee shall be public meetings. </w:t>
      </w:r>
    </w:p>
    <w:p>
      <w:pPr>
        <w:pStyle w:val="Paragraph1"/>
        <w:pBdr/>
        <w:spacing/>
        <w:rPr/>
      </w:pPr>
      <w:r>
        <w:rPr>
          <w:i/>
        </w:rPr>
        <w:t xml:space="preserve">Minutes.</w:t>
      </w:r>
      <w:r>
        <w:rPr>
          <w:rStyle w:val="Paragraph1"/>
        </w:rPr>
        <w:t xml:space="preserve"> The Committee shall keep minutes of all its proceedings, indicating attendance, vote or failure to vote of each member on every question. These minutes shall be public records. </w:t>
      </w:r>
    </w:p>
    <w:p>
      <w:pPr>
        <w:pStyle w:val="Paragraph1"/>
        <w:pBdr/>
        <w:spacing/>
        <w:rPr/>
      </w:pPr>
      <w:r>
        <w:rPr>
          <w:i/>
        </w:rPr>
        <w:t xml:space="preserve">Quorum and Voting.</w:t>
      </w:r>
      <w:r>
        <w:rPr>
          <w:rStyle w:val="Paragraph1"/>
        </w:rPr>
        <w:t xml:space="preserve"> Six Committee members shall constitute a quorum. No action of the Committee shall be valid unless authorized by a simple majority of the members present at a properly called meeting where a quorum is present. </w:t>
      </w:r>
    </w:p>
    <w:p>
      <w:pPr>
        <w:pStyle w:val="Paragraph1"/>
        <w:pBdr/>
        <w:spacing/>
        <w:rPr/>
      </w:pPr>
      <w:r>
        <w:rPr>
          <w:i/>
        </w:rPr>
        <w:t xml:space="preserve">Executive Secretary.</w:t>
      </w:r>
      <w:r>
        <w:rPr>
          <w:rStyle w:val="Paragraph1"/>
        </w:rPr>
        <w:t xml:space="preserve"> The Director of the Department of Housing and Community Development or his or her designee shall serve as the Executive Secretary. The Executive Secretary shall serve as the custodian of all Committee records. The Executive Secretary shall not be entitled to vote. </w:t>
      </w:r>
    </w:p>
    <w:p>
      <w:pPr>
        <w:pStyle w:val="Paragraph1"/>
        <w:pBdr/>
        <w:spacing/>
        <w:rPr/>
      </w:pPr>
      <w:r>
        <w:rPr>
          <w:i/>
        </w:rPr>
        <w:t xml:space="preserve">Administrative Support.</w:t>
      </w:r>
      <w:r>
        <w:rPr>
          <w:rStyle w:val="Paragraph1"/>
        </w:rPr>
        <w:t xml:space="preserve"> The Department of Housing and Community Development and the Planning Division shall provide administrative support to the Committee in its work. </w:t>
      </w:r>
    </w:p>
    <w:p>
      <w:pPr>
        <w:pStyle w:val="HistoryNote"/>
        <w:pBdr/>
        <w:spacing/>
        <w:rPr/>
      </w:pPr>
      <w:r>
        <w:rPr>
          <w:rStyle w:val="HistoryNote"/>
        </w:rPr>
        <w:t xml:space="preserve">(Ord. of 2-22-1993, Doc. #26393; Ord. of 3-21-1994, Doc. #27368; Ord. No. 2012-34, § 1, 5-20-2013, Doc. #1305201201; Ord. No. 2015-46, § 1, 2-8-2016, Doc. #1602081201; Ord. No. 2020-47, § 2, 9-21-2020, Doc. #2009211205)</w:t>
      </w:r>
    </w:p>
    <w:p>
      <w:pPr>
        <w:pBdr/>
        <w:spacing w:before="0" w:after="0"/>
        <w:rPr/>
        <w:sectPr>
          <w:headerReference w:type="default" r:id="rId47"/>
          <w:footerReference w:type="default" r:id="rId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67.403.</w:t>
      </w:r>
      <w:r>
        <w:rPr/>
        <w:t xml:space="preserve"> </w:t>
      </w:r>
      <w:r>
        <w:rPr/>
        <w:t xml:space="preserve">General Functions, Powers and Duties.</w:t>
      </w:r>
    </w:p>
    <w:p>
      <w:pPr>
        <w:pStyle w:val="Paragraph1"/>
        <w:pBdr/>
        <w:spacing/>
        <w:rPr/>
      </w:pPr>
      <w:r>
        <w:rPr>
          <w:rStyle w:val="Paragraph1"/>
        </w:rPr>
        <w:t xml:space="preserve">Triennially, the Committee shall review the established policies and procedures, ordinances, land development regulations, and adopted local comprehensive plan of the City of Orlando and shall recommend to the Mayor and City Council specific actions or initiatives to encourage or facilitate affordable housing while protecting the ability of property to appreciate in value. The recommendations may include the adoption, modification, or repeal of policies, procedures, ordinances, regulations, or plan provisions, including recommendations to amend the local comprehensive plan and corresponding regulations, ordinances, and other policies, and/or the creation of exceptions applicable to affordable housing. At a minimum, the Committee shall make recommendations on, and triennially thereafter evaluate the implementation of, affordable housing incentives in the areas set forth in F.S. § 420.9076. </w:t>
      </w:r>
    </w:p>
    <w:p>
      <w:pPr>
        <w:pStyle w:val="Paragraph1"/>
        <w:pBdr/>
        <w:spacing/>
        <w:rPr/>
      </w:pPr>
      <w:r>
        <w:rPr>
          <w:rStyle w:val="Paragraph1"/>
        </w:rPr>
        <w:t xml:space="preserve">The Committee's recommendations may also include other affordable housing incentive strategies identified by the Committee. </w:t>
      </w:r>
    </w:p>
    <w:p>
      <w:pPr>
        <w:pStyle w:val="HistoryNote"/>
        <w:pBdr/>
        <w:spacing/>
        <w:rPr/>
      </w:pPr>
      <w:r>
        <w:rPr>
          <w:rStyle w:val="HistoryNote"/>
        </w:rPr>
        <w:t xml:space="preserve">(Ord. of 2-22-1993, Doc. #26393; Ord. of 3-3-2008, § 1, Doc. #0803031007; Ord. No. 2012-34, § 1, 5-20-2013, Doc. #1305201201)</w:t>
      </w:r>
    </w:p>
    <w:p>
      <w:pPr>
        <w:pBdr/>
        <w:spacing w:before="0" w:after="0"/>
        <w:rPr/>
        <w:sectPr>
          <w:headerReference w:type="default" r:id="rId49"/>
          <w:footerReference w:type="default" r:id="rId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67.404.</w:t>
      </w:r>
      <w:r>
        <w:rPr/>
        <w:t xml:space="preserve"> </w:t>
      </w:r>
      <w:r>
        <w:rPr/>
        <w:t xml:space="preserve">Committee Reports.</w:t>
      </w:r>
    </w:p>
    <w:p>
      <w:pPr>
        <w:pStyle w:val="Paragraph1"/>
        <w:pBdr/>
        <w:spacing/>
        <w:rPr/>
      </w:pPr>
      <w:r>
        <w:rPr>
          <w:rStyle w:val="Paragraph1"/>
        </w:rPr>
        <w:t xml:space="preserve">The Committee shall annually file a report of its housing incentive strategies recommendations and its review of implementation of previously recommended strategies as directed by City Council in order to comply with the requirements of the State Housing Incentives Partnership Act or any applicable successor statutes thereto. Such report must be adopted by affirmative vote of a majority of the Committee at a properly noticed public hearing. For the purpose of this section properly noticed shall mean that notice of the time, date and place of such hearing has been published in a newspaper of general paid circulation in Orange County no less than seven nor more than fifteen days prior to such hearing. Such notice must contain a concise summary of the recommendations to be considered by the Committee and must advise the public where a complete copy of the tentative report may be obtained. The Committee's report shall require approval by City Council and be submitted to the Florida Housing Finance Corporation and to the entity providing statewide training and technical assistance for the Affordable Housing Catalyst Program as required by the Florida Housing Finance Corporation. </w:t>
      </w:r>
    </w:p>
    <w:p>
      <w:pPr>
        <w:pStyle w:val="HistoryNote"/>
        <w:pBdr/>
        <w:spacing/>
        <w:rPr/>
      </w:pPr>
      <w:r>
        <w:rPr>
          <w:rStyle w:val="HistoryNote"/>
        </w:rPr>
        <w:t xml:space="preserve">(Ord. of 2-22-1993, Doc. #26393; Ord. of 3-3-2008, § 1, Doc. #0803031007; Ord. No. 2015-46, § 1, 2-8-2016, Doc. #1602081201; Ord. No. 2020-47, § 2, 9-21-2020, Doc. #2009211205)</w:t>
      </w:r>
    </w:p>
    <w:p>
      <w:pPr>
        <w:pBdr/>
        <w:spacing w:before="0" w:after="0"/>
        <w:rPr/>
        <w:sectPr>
          <w:headerReference w:type="default" r:id="rId51"/>
          <w:footerReference w:type="default" r:id="rId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67.405.</w:t>
      </w:r>
      <w:r>
        <w:rPr/>
        <w:t xml:space="preserve"> </w:t>
      </w:r>
      <w:r>
        <w:rPr/>
        <w:t xml:space="preserve">Reserved.</w:t>
      </w:r>
    </w:p>
    <w:p>
      <w:pPr>
        <w:pStyle w:val="Hang1"/>
        <w:pBdr/>
        <w:spacing/>
        <w:rPr/>
      </w:pPr>
      <w:r>
        <w:rPr/>
        <w:t xml:space="preserve">Editor's note(s)—</w:t>
      </w:r>
      <w:r>
        <w:rPr>
          <w:rStyle w:val="Hang1"/>
        </w:rPr>
        <w:t xml:space="preserve">Ord. No. </w:t>
      </w:r>
      <w:r>
        <w:rPr/>
        <w:t xml:space="preserve">2020-47</w:t>
      </w:r>
      <w:r>
        <w:rPr>
          <w:rStyle w:val="Hang1"/>
        </w:rPr>
        <w:t xml:space="preserve">, § 2, adopted September 21, 2020, Doc. #2009211205, repealed § 67.405, which pertained to Affordable Housing Incentive Plan and derived from Ord. of 2-22-1993, Doc. #26393. </w:t>
      </w:r>
    </w:p>
    <w:p>
      <w:pPr>
        <w:pBdr/>
        <w:spacing w:before="0" w:after="0"/>
        <w:rPr/>
        <w:sectPr>
          <w:headerReference w:type="default" r:id="rId53"/>
          <w:footerReference w:type="default" r:id="rId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67.406.</w:t>
      </w:r>
      <w:r>
        <w:rPr/>
        <w:t xml:space="preserve"> </w:t>
      </w:r>
      <w:r>
        <w:rPr/>
        <w:t xml:space="preserve">Amendment of the Local Housing Assistance Plan.</w:t>
      </w:r>
    </w:p>
    <w:p>
      <w:pPr>
        <w:pStyle w:val="Paragraph1"/>
        <w:pBdr/>
        <w:spacing/>
        <w:rPr/>
      </w:pPr>
      <w:r>
        <w:rPr>
          <w:rStyle w:val="Paragraph1"/>
        </w:rPr>
        <w:t xml:space="preserve">Within ninety (90) days after the date the City Council receives the Committee's report, the City Council shall adopt an amendment to the City of Orlando Local Housing Assistance Plan (LHAP) to incorporate the Committee's recommendations on housing incentives, including but not limited to, the incentives specified in </w:t>
      </w:r>
      <w:r>
        <w:rPr/>
        <w:t xml:space="preserve">section 67.403</w:t>
      </w:r>
      <w:r>
        <w:rPr>
          <w:rStyle w:val="Paragraph1"/>
        </w:rPr>
        <w:t xml:space="preserve">, that City Council plans to implement. The amended LHAP shall include, at a minimum, an expedited permit process for affordable housing projects and an ongoing process for review, prior to their adoption, of any local policies, ordinances, regulations, and plan provisions that increase the cost of housing. The Florida Housing Finance Corporation shall be notified by certified mail of the adoption of the amendment and provided a copy of the approved amended plan. </w:t>
      </w:r>
    </w:p>
    <w:p>
      <w:pPr>
        <w:pStyle w:val="HistoryNote"/>
        <w:pBdr/>
        <w:spacing/>
        <w:rPr/>
      </w:pPr>
      <w:r>
        <w:rPr>
          <w:rStyle w:val="HistoryNote"/>
        </w:rPr>
        <w:t xml:space="preserve">(Ord. of 3-3-2008, § 1, Doc. #0803031007; Ord. No. 2015-46, § 1, 2-8-2016, Doc. #1602081201; Ord. No. 2020-47, § 1, 9-21-2020, Doc. #2009211205)</w:t>
      </w:r>
    </w:p>
    <w:p>
      <w:pPr>
        <w:pBdr/>
        <w:spacing w:before="0" w:after="0"/>
        <w:rPr/>
        <w:sectPr>
          <w:headerReference w:type="default" r:id="rId55"/>
          <w:footerReference w:type="default" r:id="rId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67.407—67.499.</w:t>
      </w:r>
      <w:r>
        <w:rPr/>
        <w:t xml:space="preserve"> </w:t>
      </w:r>
      <w:r>
        <w:rPr/>
        <w:t xml:space="preserve">Reserved.</w:t>
      </w:r>
    </w:p>
    <w:p>
      <w:pPr>
        <w:pBdr/>
        <w:spacing w:before="0" w:after="0"/>
        <w:rPr/>
        <w:sectPr>
          <w:headerReference w:type="default" r:id="rId57"/>
          <w:footerReference w:type="default" r:id="rId58"/>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PART 5.</w:t>
      </w:r>
      <w:r>
        <w:rPr/>
        <w:t xml:space="preserve"> </w:t>
      </w:r>
      <w:r>
        <w:rPr/>
        <w:t xml:space="preserve">ANNUAL STATUS REPORT TO THE STATE OF FLORIDA</w:t>
      </w:r>
    </w:p>
    <w:p>
      <w:pPr>
        <w:pBdr/>
        <w:spacing w:before="0" w:after="0"/>
        <w:rPr/>
        <w:sectPr>
          <w:headerReference w:type="default" r:id="rId59"/>
          <w:footerReference w:type="default" r:id="rId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67.500.</w:t>
      </w:r>
      <w:r>
        <w:rPr/>
        <w:t xml:space="preserve"> </w:t>
      </w:r>
      <w:r>
        <w:rPr/>
        <w:t xml:space="preserve">Annual Status Report.</w:t>
      </w:r>
    </w:p>
    <w:p>
      <w:pPr>
        <w:pStyle w:val="Paragraph1"/>
        <w:pBdr/>
        <w:spacing/>
        <w:rPr/>
      </w:pPr>
      <w:r>
        <w:rPr>
          <w:rStyle w:val="Paragraph1"/>
        </w:rPr>
        <w:t xml:space="preserve">The City Council shall, prior to the fifteenth day of November in each calendar year, submit a report of the City's affordable housing programs and accomplishments to the Department of Community Affairs and to the Florida Housing Finance Agency. The report shall include, but not necessarily be limited to: </w:t>
      </w:r>
    </w:p>
    <w:p>
      <w:pPr>
        <w:pStyle w:val="List2"/>
        <w:pBdr/>
        <w:spacing/>
        <w:rPr/>
      </w:pPr>
      <w:r>
        <w:rPr/>
        <w:t xml:space="preserve">(a)</w:t>
      </w:r>
      <w:r>
        <w:rPr/>
        <w:tab/>
        <w:t xml:space="preserve"/>
      </w:r>
      <w:r>
        <w:rPr/>
        <w:t xml:space="preserve">The number of people served by income, age, family size, and race and data regarding any special needs populations such as farmworkers, rural residents, and the elderly; </w:t>
      </w:r>
    </w:p>
    <w:p>
      <w:pPr>
        <w:pStyle w:val="List2"/>
        <w:pBdr/>
        <w:spacing/>
        <w:rPr/>
      </w:pPr>
      <w:r>
        <w:rPr/>
        <w:t xml:space="preserve">(b)</w:t>
      </w:r>
      <w:r>
        <w:rPr/>
        <w:tab/>
        <w:t xml:space="preserve"/>
      </w:r>
      <w:r>
        <w:rPr/>
        <w:t xml:space="preserve">The number of units and the average cost of producing the units under each program; </w:t>
      </w:r>
    </w:p>
    <w:p>
      <w:pPr>
        <w:pStyle w:val="List2"/>
        <w:pBdr/>
        <w:spacing/>
        <w:rPr/>
      </w:pPr>
      <w:r>
        <w:rPr/>
        <w:t xml:space="preserve">(c)</w:t>
      </w:r>
      <w:r>
        <w:rPr/>
        <w:tab/>
        <w:t xml:space="preserve"/>
      </w:r>
      <w:r>
        <w:rPr/>
        <w:t xml:space="preserve">The average sales price of a single-family unit and the amount of rent charged for a rental unit based on unit size; </w:t>
      </w:r>
    </w:p>
    <w:p>
      <w:pPr>
        <w:pStyle w:val="List2"/>
        <w:pBdr/>
        <w:spacing/>
        <w:rPr/>
      </w:pPr>
      <w:r>
        <w:rPr/>
        <w:t xml:space="preserve">(d)</w:t>
      </w:r>
      <w:r>
        <w:rPr/>
        <w:tab/>
        <w:t xml:space="preserve"/>
      </w:r>
      <w:r>
        <w:rPr/>
        <w:t xml:space="preserve">The number of mortgages made and the rate of default; </w:t>
      </w:r>
    </w:p>
    <w:p>
      <w:pPr>
        <w:pStyle w:val="List2"/>
        <w:pBdr/>
        <w:spacing/>
        <w:rPr/>
      </w:pPr>
      <w:r>
        <w:rPr/>
        <w:t xml:space="preserve">(e)</w:t>
      </w:r>
      <w:r>
        <w:rPr/>
        <w:tab/>
        <w:t xml:space="preserve"/>
      </w:r>
      <w:r>
        <w:rPr/>
        <w:t xml:space="preserve">A description of the implementation of the affordable housing incentive plan and the resulting reduction in housing costs; </w:t>
      </w:r>
    </w:p>
    <w:p>
      <w:pPr>
        <w:pStyle w:val="List2"/>
        <w:pBdr/>
        <w:spacing/>
        <w:rPr/>
      </w:pPr>
      <w:r>
        <w:rPr/>
        <w:t xml:space="preserve">(f)</w:t>
      </w:r>
      <w:r>
        <w:rPr/>
        <w:tab/>
        <w:t xml:space="preserve"/>
      </w:r>
      <w:r>
        <w:rPr/>
        <w:t xml:space="preserve">A concise description of the support services that are available to the residents of affordable housing provided by local programs; and </w:t>
      </w:r>
    </w:p>
    <w:p>
      <w:pPr>
        <w:pStyle w:val="List2"/>
        <w:pBdr/>
        <w:spacing/>
        <w:rPr/>
      </w:pPr>
      <w:r>
        <w:rPr/>
        <w:t xml:space="preserve">(g)</w:t>
      </w:r>
      <w:r>
        <w:rPr/>
        <w:tab/>
        <w:t xml:space="preserve"/>
      </w:r>
      <w:r>
        <w:rPr/>
        <w:t xml:space="preserve">Such other data or affordable housing accomplishments considered significant by the City Council. </w:t>
      </w:r>
    </w:p>
    <w:p>
      <w:pPr>
        <w:pStyle w:val="HistoryNote"/>
        <w:pBdr/>
        <w:spacing/>
        <w:rPr/>
      </w:pPr>
      <w:r>
        <w:rPr>
          <w:rStyle w:val="HistoryNote"/>
        </w:rPr>
        <w:t xml:space="preserve">(Ord. of 2-22-1993, Doc. #26393)</w:t>
      </w:r>
    </w:p>
    <w:p>
      <w:pPr>
        <w:pBdr/>
        <w:spacing w:before="0" w:after="0"/>
        <w:rPr/>
        <w:sectPr>
          <w:headerReference w:type="default" r:id="rId61"/>
          <w:footerReference w:type="default" r:id="rId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67.501.</w:t>
      </w:r>
      <w:r>
        <w:rPr/>
        <w:t xml:space="preserve"> </w:t>
      </w:r>
      <w:r>
        <w:rPr/>
        <w:t xml:space="preserve">Public Availability of Report.</w:t>
      </w:r>
    </w:p>
    <w:p>
      <w:pPr>
        <w:pStyle w:val="Paragraph1"/>
        <w:pBdr/>
        <w:spacing/>
        <w:rPr/>
      </w:pPr>
      <w:r>
        <w:rPr>
          <w:rStyle w:val="Paragraph1"/>
        </w:rPr>
        <w:t xml:space="preserve">The City Clerk shall maintain a copy of the Annual Status Report on file in the Clerk's office and shall make it available for review by the public during normal business hours. The Clerk shall provide copies to the public upon request and upon receipt of a reasonable charge for copying. Members of the public may submit written comments on the report to the City. </w:t>
      </w:r>
    </w:p>
    <w:p>
      <w:pPr>
        <w:pBdr/>
        <w:spacing w:before="0" w:after="0"/>
        <w:rPr/>
        <w:sectPr>
          <w:headerReference w:type="default" r:id="rId63"/>
          <w:footerReference w:type="default" r:id="rId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67.502—67.599.</w:t>
      </w:r>
      <w:r>
        <w:rPr/>
        <w:t xml:space="preserve"> </w:t>
      </w:r>
      <w:r>
        <w:rPr/>
        <w:t xml:space="preserve">Reserved.</w:t>
      </w:r>
    </w:p>
    <w:p>
      <w:pPr>
        <w:pBdr/>
        <w:spacing w:before="0" w:after="0"/>
        <w:rPr/>
        <w:sectPr>
          <w:headerReference w:type="default" r:id="rId65"/>
          <w:footerReference w:type="default" r:id="rId66"/>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PART 6.</w:t>
      </w:r>
      <w:r>
        <w:rPr/>
        <w:t xml:space="preserve"> </w:t>
      </w:r>
      <w:r>
        <w:rPr/>
        <w:t xml:space="preserve">ALTERNATIVE DEVELOPMENT STANDARDS FOR LOW AND VERY LOW INCOME HOUSING PROJECTS</w:t>
      </w:r>
    </w:p>
    <w:p>
      <w:pPr>
        <w:pBdr/>
        <w:spacing w:before="0" w:after="0"/>
        <w:rPr/>
        <w:sectPr>
          <w:headerReference w:type="default" r:id="rId67"/>
          <w:footerReference w:type="default" r:id="rId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67.600.</w:t>
      </w:r>
      <w:r>
        <w:rPr/>
        <w:t xml:space="preserve"> </w:t>
      </w:r>
      <w:r>
        <w:rPr/>
        <w:t xml:space="preserve">Purpose of Alternative Development Standards for Low and Very Low Income Housing.</w:t>
      </w:r>
    </w:p>
    <w:p>
      <w:pPr>
        <w:pStyle w:val="Paragraph1"/>
        <w:pBdr/>
        <w:spacing/>
        <w:rPr/>
      </w:pPr>
      <w:r>
        <w:rPr>
          <w:rStyle w:val="Paragraph1"/>
        </w:rPr>
        <w:t xml:space="preserve">The alternative development standards contained in this Part are intended to promote innovative design, encourage the production of low and very low income housing, and allow the more efficient use of land as compared with the conventional residential development. In order to achieve these goals, this Part provides flexible design options and incorporates cost saving measures without compromising the quality of the resulting development. </w:t>
      </w:r>
    </w:p>
    <w:p>
      <w:pPr>
        <w:pStyle w:val="Paragraph1"/>
        <w:pBdr/>
        <w:spacing/>
        <w:rPr/>
      </w:pPr>
      <w:r>
        <w:rPr>
          <w:rStyle w:val="Paragraph1"/>
        </w:rPr>
        <w:t xml:space="preserve">Growth Management Plan Consistency. The development permitted pursuant to this part shall be consistent with the Orlando Growth Management Plan Land Use goals, objectives, and policies and Future Land Use Map designations. This part implements GMP Housing Element Objective 5.1 to promote infill residential development; Policy 5.1.1 to provide residential land uses at varying densities and locations through land development code regulations; Policy 5.3.1 to ensure adequate sites are correctly planned and zoned to accommodate the projected housing growth, including low and very low income housing; and Policy 5.3.6 to establish design incentives that provide flexible design options for residential development without compromising the quality of the resulting development. </w:t>
      </w:r>
    </w:p>
    <w:p>
      <w:pPr>
        <w:pStyle w:val="HistoryNote"/>
        <w:pBdr/>
        <w:spacing/>
        <w:rPr/>
      </w:pPr>
      <w:r>
        <w:rPr>
          <w:rStyle w:val="HistoryNote"/>
        </w:rPr>
        <w:t xml:space="preserve">(Ord. of 2-22-1993, Doc. #26393; Ord. of 6-20-1994, Doc. #27637; Ord. No. 2017-24, § 2, 6-5-2017, Doc. #1706051202)</w:t>
      </w:r>
    </w:p>
    <w:p>
      <w:pPr>
        <w:pBdr/>
        <w:spacing w:before="0" w:after="0"/>
        <w:rPr/>
        <w:sectPr>
          <w:headerReference w:type="default" r:id="rId69"/>
          <w:footerReference w:type="default" r:id="rId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67.601.</w:t>
      </w:r>
      <w:r>
        <w:rPr/>
        <w:t xml:space="preserve"> </w:t>
      </w:r>
      <w:r>
        <w:rPr/>
        <w:t xml:space="preserve">Eligibility for Alternative Development Standards.</w:t>
      </w:r>
    </w:p>
    <w:p>
      <w:pPr>
        <w:pStyle w:val="Paragraph1"/>
        <w:pBdr/>
        <w:spacing/>
        <w:rPr/>
      </w:pPr>
      <w:r>
        <w:rPr>
          <w:rStyle w:val="Paragraph1"/>
        </w:rPr>
        <w:t xml:space="preserve">The following requirements shall be met in order to be eligible to utilize the alternative housing development design incentives and options contained in this part: </w:t>
      </w:r>
    </w:p>
    <w:p>
      <w:pPr>
        <w:pStyle w:val="Paragraph2"/>
        <w:pBdr/>
        <w:spacing/>
        <w:rPr/>
      </w:pPr>
      <w:r>
        <w:rPr>
          <w:i/>
        </w:rPr>
        <w:t xml:space="preserve">Minimum Unit Count.</w:t>
      </w:r>
      <w:r>
        <w:rPr>
          <w:rStyle w:val="Paragraph2"/>
        </w:rPr>
        <w:t xml:space="preserve"> The development must consist of no less than ten (10) contiguous residential units. </w:t>
      </w:r>
    </w:p>
    <w:p>
      <w:pPr>
        <w:pStyle w:val="Paragraph2"/>
        <w:pBdr/>
        <w:spacing/>
        <w:rPr/>
      </w:pPr>
      <w:r>
        <w:rPr>
          <w:i/>
        </w:rPr>
        <w:t xml:space="preserve">Low and Very Low Income Units Requirement.</w:t>
      </w:r>
      <w:r>
        <w:rPr>
          <w:rStyle w:val="Paragraph2"/>
        </w:rPr>
        <w:t xml:space="preserve"> A minimum of twenty percent (20%) of the units in the development shall meet the definition of Low and/or Very Low Income Housing set forth in this Chapter. </w:t>
      </w:r>
    </w:p>
    <w:p>
      <w:pPr>
        <w:pStyle w:val="Paragraph2"/>
        <w:pBdr/>
        <w:spacing/>
        <w:rPr/>
      </w:pPr>
      <w:r>
        <w:rPr>
          <w:i/>
        </w:rPr>
        <w:t xml:space="preserve">Affordable Housing Certification Requirement.</w:t>
      </w:r>
      <w:r>
        <w:rPr>
          <w:rStyle w:val="Paragraph2"/>
        </w:rPr>
        <w:t xml:space="preserve"> The low and very low income housing units must be certified pursuant to the Affordable Housing Certification Process as amended by City Council from time to time. An applicant seeking approval for a proposed Alternative Housing Development shall first submit an application under the Affordable Housing Certification Process seeking to have the proposed affordable units certified as such. Information regarding the Affordable Housing Certification Process shall be made available to the public by the Housing and Community Development Department upon request. </w:t>
      </w:r>
    </w:p>
    <w:p>
      <w:pPr>
        <w:pStyle w:val="HistoryNote"/>
        <w:pBdr/>
        <w:spacing/>
        <w:rPr/>
      </w:pPr>
      <w:r>
        <w:rPr>
          <w:rStyle w:val="HistoryNote"/>
        </w:rPr>
        <w:t xml:space="preserve">(Ord. of 2-22-1993, Doc. #26393; Ord. of 6-21-1993, Doc. #26697; Ord. of 6-20-1994, Doc. #27637; Ord. No. 2017-24, § 2, 6-5-2017, Doc. #1706051202)</w:t>
      </w:r>
    </w:p>
    <w:p>
      <w:pPr>
        <w:pBdr/>
        <w:spacing w:before="0" w:after="0"/>
        <w:rPr/>
        <w:sectPr>
          <w:headerReference w:type="default" r:id="rId71"/>
          <w:footerReference w:type="default" r:id="rId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67.602.</w:t>
      </w:r>
      <w:r>
        <w:rPr/>
        <w:t xml:space="preserve"> </w:t>
      </w:r>
      <w:r>
        <w:rPr/>
        <w:t xml:space="preserve">Procedural Requirements.</w:t>
      </w:r>
    </w:p>
    <w:p>
      <w:pPr>
        <w:pBdr/>
        <w:spacing/>
        <w:rPr/>
      </w:pPr>
      <w:r>
        <w:rPr>
          <w:i/>
        </w:rPr>
        <w:t xml:space="preserve">Neighborhood Compatibility Review.</w:t>
      </w:r>
      <w:r>
        <w:rPr>
          <w:rStyle w:val="Paragraph1"/>
        </w:rPr>
        <w:t xml:space="preserve"> The applicant for an Affordable Housing Development proposing to utilize the Alternative Development Standards for residential development shall undergo neighborhood compatibility review by the Planning Official to determine whether a significant negative impact is present to adjacent neighborhoods. The applicant shall submit the following documents to City Planning staff for review: </w:t>
      </w:r>
    </w:p>
    <w:p>
      <w:pPr>
        <w:pStyle w:val="List2"/>
        <w:pBdr/>
        <w:spacing/>
        <w:rPr/>
      </w:pPr>
      <w:r>
        <w:rPr/>
        <w:t xml:space="preserve">(a)</w:t>
      </w:r>
      <w:r>
        <w:rPr/>
        <w:tab/>
        <w:t xml:space="preserve"/>
      </w:r>
      <w:r>
        <w:rPr/>
        <w:t xml:space="preserve">A letter from the Housing and Community Development Department certifying the project as Affordable Housing; </w:t>
      </w:r>
    </w:p>
    <w:p>
      <w:pPr>
        <w:pStyle w:val="List2"/>
        <w:pBdr/>
        <w:spacing/>
        <w:rPr/>
      </w:pPr>
      <w:r>
        <w:rPr/>
        <w:t xml:space="preserve">(b)</w:t>
      </w:r>
      <w:r>
        <w:rPr/>
        <w:tab/>
        <w:t xml:space="preserve"/>
      </w:r>
      <w:r>
        <w:rPr/>
        <w:t xml:space="preserve">An accurate, current survey: As completed by a registered surveyor; </w:t>
      </w:r>
    </w:p>
    <w:p>
      <w:pPr>
        <w:pStyle w:val="List2"/>
        <w:pBdr/>
        <w:spacing/>
        <w:rPr/>
      </w:pPr>
      <w:r>
        <w:rPr/>
        <w:t xml:space="preserve">(c)</w:t>
      </w:r>
      <w:r>
        <w:rPr/>
        <w:tab/>
        <w:t xml:space="preserve"/>
      </w:r>
      <w:r>
        <w:rPr/>
        <w:t xml:space="preserve">A site plan: Showing the individual units on the lots and the entire property; </w:t>
      </w:r>
    </w:p>
    <w:p>
      <w:pPr>
        <w:pStyle w:val="List2"/>
        <w:pBdr/>
        <w:spacing/>
        <w:rPr/>
      </w:pPr>
      <w:r>
        <w:rPr/>
        <w:t xml:space="preserve">(d)</w:t>
      </w:r>
      <w:r>
        <w:rPr/>
        <w:tab/>
        <w:t xml:space="preserve"/>
      </w:r>
      <w:r>
        <w:rPr/>
        <w:t xml:space="preserve">Elevations and floor plans: Showing the interior and exteriors of the proposed building(s); </w:t>
      </w:r>
    </w:p>
    <w:p>
      <w:pPr>
        <w:pStyle w:val="List2"/>
        <w:pBdr/>
        <w:spacing/>
        <w:rPr/>
      </w:pPr>
      <w:r>
        <w:rPr/>
        <w:t xml:space="preserve">(e)</w:t>
      </w:r>
      <w:r>
        <w:rPr/>
        <w:tab/>
        <w:t xml:space="preserve"/>
      </w:r>
      <w:r>
        <w:rPr/>
        <w:t xml:space="preserve">Alternative development standards request: Including a statement of consistency with the standards established by this Part; </w:t>
      </w:r>
    </w:p>
    <w:p>
      <w:pPr>
        <w:pStyle w:val="List2"/>
        <w:pBdr/>
        <w:spacing/>
        <w:rPr/>
      </w:pPr>
      <w:r>
        <w:rPr/>
        <w:t xml:space="preserve">(f)</w:t>
      </w:r>
      <w:r>
        <w:rPr/>
        <w:tab/>
        <w:t xml:space="preserve"/>
      </w:r>
      <w:r>
        <w:rPr/>
        <w:t xml:space="preserve">Additional information: Any such information that may be reasonably required to carry out the purposes of this Chapter; </w:t>
      </w:r>
    </w:p>
    <w:p>
      <w:pPr>
        <w:pStyle w:val="List2"/>
        <w:pBdr/>
        <w:spacing/>
        <w:rPr/>
      </w:pPr>
      <w:r>
        <w:rPr/>
        <w:t xml:space="preserve">(g)</w:t>
      </w:r>
      <w:r>
        <w:rPr/>
        <w:tab/>
        <w:t xml:space="preserve"/>
      </w:r>
      <w:r>
        <w:rPr/>
        <w:t xml:space="preserve">Waiver by the Planning Official: The Planning Official shall be authorized to waive the informational requirements above where deemed appropriate. </w:t>
      </w:r>
    </w:p>
    <w:p>
      <w:pPr>
        <w:pBdr/>
        <w:spacing/>
        <w:rPr/>
      </w:pPr>
      <w:r>
        <w:rPr>
          <w:i/>
        </w:rPr>
        <w:t xml:space="preserve">Neighborhood Compatibility Review Criteria.</w:t>
      </w:r>
      <w:r>
        <w:rPr>
          <w:rStyle w:val="Paragraph1"/>
        </w:rPr>
        <w:t xml:space="preserve"> Because alternative housing development standards permit significantly reduced front and rear yard setbacks, these development standards may, in some instances, be insufficient to ensure compatibility with the surrounding neighborhoods. In order to ensure that the design and configuration of lots created through alternative housing development standards remains compatible with the adjacent neighborhoods, the Planning Official shall issue a written report determining whether the use of the alternative development standards will have a significantly greater negative impact on surrounding neighborhoods than residential development designed in accordance with the general development standards of the applicable zoning district. The determination shall be based upon a comparison of the proposed residential development utilizing the alternative development standards to the same development utilizing the general development standards of the applicable zoning district, with the following considerations: </w:t>
      </w:r>
    </w:p>
    <w:p>
      <w:pPr>
        <w:pStyle w:val="List2"/>
        <w:pBdr/>
        <w:spacing/>
        <w:rPr/>
      </w:pPr>
      <w:r>
        <w:rPr/>
        <w:t xml:space="preserve">(a)</w:t>
      </w:r>
      <w:r>
        <w:rPr/>
        <w:tab/>
        <w:t xml:space="preserve"/>
      </w:r>
      <w:r>
        <w:rPr/>
        <w:t xml:space="preserve">Whether the proposed building setbacks vary significantly from the applicable zoning requirements and the existing setbacks within the adjacent neighborhoods; </w:t>
      </w:r>
    </w:p>
    <w:p>
      <w:pPr>
        <w:pStyle w:val="List2"/>
        <w:pBdr/>
        <w:spacing/>
        <w:rPr/>
      </w:pPr>
      <w:r>
        <w:rPr/>
        <w:t xml:space="preserve">(b)</w:t>
      </w:r>
      <w:r>
        <w:rPr/>
        <w:tab/>
        <w:t xml:space="preserve"/>
      </w:r>
      <w:r>
        <w:rPr/>
        <w:t xml:space="preserve">Whether the proposed building envelopes are appropriate for the neighborhood and for the width and depth of the residential lots; </w:t>
      </w:r>
    </w:p>
    <w:p>
      <w:pPr>
        <w:pStyle w:val="List2"/>
        <w:pBdr/>
        <w:spacing/>
        <w:rPr/>
      </w:pPr>
      <w:r>
        <w:rPr/>
        <w:t xml:space="preserve">(c)</w:t>
      </w:r>
      <w:r>
        <w:rPr/>
        <w:tab/>
        <w:t xml:space="preserve"/>
      </w:r>
      <w:r>
        <w:rPr/>
        <w:t xml:space="preserve">Whether building setbacks significantly decrease sight-line separation between building sites; and </w:t>
      </w:r>
    </w:p>
    <w:p>
      <w:pPr>
        <w:pStyle w:val="List2"/>
        <w:pBdr/>
        <w:spacing/>
        <w:rPr/>
      </w:pPr>
      <w:r>
        <w:rPr/>
        <w:t xml:space="preserve">(d)</w:t>
      </w:r>
      <w:r>
        <w:rPr/>
        <w:tab/>
        <w:t xml:space="preserve"/>
      </w:r>
      <w:r>
        <w:rPr/>
        <w:t xml:space="preserve">Whether the massing of the proposed residential development is appropriate for the surrounding neighborhoods. </w:t>
      </w:r>
    </w:p>
    <w:p>
      <w:pPr>
        <w:pStyle w:val="Paragraph1"/>
        <w:pBdr/>
        <w:spacing/>
        <w:rPr/>
      </w:pPr>
      <w:r>
        <w:rPr>
          <w:i/>
        </w:rPr>
        <w:t xml:space="preserve">Neighborhood Compatibility Review Findings.</w:t>
      </w:r>
      <w:r>
        <w:rPr>
          <w:rStyle w:val="Paragraph1"/>
        </w:rPr>
        <w:t xml:space="preserve"> The Planning Official shall issue written findings of impact at any time before the issuance of alternative development standards approval. If a significant negative impact is present, or if the proposed development does not comply with </w:t>
      </w:r>
      <w:r>
        <w:rPr/>
        <w:t xml:space="preserve">Section 67.604</w:t>
      </w:r>
      <w:r>
        <w:rPr>
          <w:rStyle w:val="Paragraph1"/>
        </w:rPr>
        <w:t xml:space="preserve">, the Planning Official shall deny the request or, as a condition of alternative development standards approval, shall require compliance with project-specific development and design conditions to mitigate the negative impact. Whenever the applicant disagrees with the decision of the Planning Official or any conditions and safeguards imposed by the Planning Official, the applicant may elect to appeal the decision to the Municipal Planning Board (MPB). Such appeal shall be filed within 10 days of the Planning Official determination. The MPB shall review the decision and approve, deny, approve with modifications or refer the matter back to the Planning Official for further consideration based on specific instructions. If the Planning Official determines that there is no negative impact, or if the applicant agrees to comply with the development and design conditions set by the Planning Official, then the applicant need only submit all necessary documents for building permits in accordance with the Planning Official determination and the requirements of </w:t>
      </w:r>
      <w:r>
        <w:rPr/>
        <w:t xml:space="preserve">Chapter 65</w:t>
      </w:r>
      <w:r>
        <w:rPr>
          <w:rStyle w:val="Paragraph1"/>
        </w:rPr>
        <w:t xml:space="preserve">, Part 2C. </w:t>
      </w:r>
    </w:p>
    <w:p>
      <w:pPr>
        <w:pStyle w:val="Paragraph1"/>
        <w:pBdr/>
        <w:spacing/>
        <w:rPr/>
      </w:pPr>
      <w:r>
        <w:rPr>
          <w:i/>
        </w:rPr>
        <w:t xml:space="preserve">Effect of Approval.</w:t>
      </w:r>
      <w:r>
        <w:rPr>
          <w:rStyle w:val="Paragraph1"/>
        </w:rPr>
        <w:t xml:space="preserve"> If platting is required to develop the project as proposed, no building permit shall be issued except in accordance with an approved Final Plat and upon evidence that any covenants, restrictions, and easements for the alternative housing development have been duly recorded. </w:t>
      </w:r>
    </w:p>
    <w:p>
      <w:pPr>
        <w:pStyle w:val="Paragraph1"/>
        <w:pBdr/>
        <w:spacing/>
        <w:rPr/>
      </w:pPr>
      <w:r>
        <w:rPr>
          <w:i/>
        </w:rPr>
        <w:t xml:space="preserve">Variances and Modification of Standards.</w:t>
      </w:r>
      <w:r>
        <w:rPr>
          <w:rStyle w:val="Paragraph1"/>
        </w:rPr>
        <w:t xml:space="preserve"> Because the Alternative Development Standards establish reduced front, rear, and side yard setbacks, lot widths, and lot depths, variances or modification of standards to front, rear, and side yard setbacks, lot width, or lot depth shall not be permitted. Variances or modification of standards for other development site standards or building setbacks may be permitted. </w:t>
      </w:r>
    </w:p>
    <w:p>
      <w:pPr>
        <w:pStyle w:val="HistoryNote"/>
        <w:pBdr/>
        <w:spacing/>
        <w:rPr/>
      </w:pPr>
      <w:r>
        <w:rPr>
          <w:rStyle w:val="HistoryNote"/>
        </w:rPr>
        <w:t xml:space="preserve">(Ord. of 2-22-1993, Doc. #26393; Ord. of 6-20-1994, Doc. #27637; Ord. No. 2017-24, § 2, 6-5-2017, Doc. #1706051202)</w:t>
      </w:r>
    </w:p>
    <w:p>
      <w:pPr>
        <w:pBdr/>
        <w:spacing w:before="0" w:after="0"/>
        <w:rPr/>
        <w:sectPr>
          <w:headerReference w:type="default" r:id="rId73"/>
          <w:footerReference w:type="default" r:id="rId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67.603.</w:t>
      </w:r>
      <w:r>
        <w:rPr/>
        <w:t xml:space="preserve"> </w:t>
      </w:r>
      <w:r>
        <w:rPr/>
        <w:t xml:space="preserve">Specific Residential Developments.</w:t>
      </w:r>
    </w:p>
    <w:p>
      <w:pPr>
        <w:pStyle w:val="Paragraph1"/>
        <w:pBdr/>
        <w:spacing/>
        <w:rPr/>
      </w:pPr>
      <w:r>
        <w:rPr>
          <w:rStyle w:val="Paragraph1"/>
        </w:rPr>
        <w:t xml:space="preserve">Townhome, Zero-lot-line, and Z-lot development configurations may be utilized as part of an alternative housing development. </w:t>
      </w:r>
    </w:p>
    <w:p>
      <w:pPr>
        <w:pStyle w:val="HistoryNote"/>
        <w:pBdr/>
        <w:spacing/>
        <w:rPr/>
      </w:pPr>
      <w:r>
        <w:rPr>
          <w:rStyle w:val="HistoryNote"/>
        </w:rPr>
        <w:t xml:space="preserve">(Ord. of 2-22-1993, Doc. #26393; Ord. No. 2016-68, § 10, 11-14-2016, Doc. #1611141201; Ord. No. 2017-24, § 2, 6-5-2017, Doc. #1706051202; Ord. No. 2018-44, § 10, 9-4-2018, Doc. #1809041202)</w:t>
      </w:r>
    </w:p>
    <w:p>
      <w:pPr>
        <w:pBdr/>
        <w:spacing w:before="0" w:after="0"/>
        <w:rPr/>
        <w:sectPr>
          <w:headerReference w:type="default" r:id="rId75"/>
          <w:footerReference w:type="default" r:id="rId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67.604.</w:t>
      </w:r>
      <w:r>
        <w:rPr/>
        <w:t xml:space="preserve"> </w:t>
      </w:r>
      <w:r>
        <w:rPr/>
        <w:t xml:space="preserve">Development Site Standards and Principal Building Setbacks.</w:t>
      </w:r>
    </w:p>
    <w:p>
      <w:pPr>
        <w:pStyle w:val="Paragraph1"/>
        <w:pBdr/>
        <w:spacing/>
        <w:rPr/>
      </w:pPr>
      <w:r>
        <w:rPr>
          <w:rStyle w:val="Paragraph1"/>
        </w:rPr>
        <w:t xml:space="preserve">The Alternative Housing Development may be designed as an Townhome, Z-lot, or Zero-lot-line development. In all cases, the following development site standards and building setbacks shall apply: </w:t>
      </w:r>
    </w:p>
    <w:p>
      <w:pPr>
        <w:pBdr/>
        <w:spacing/>
        <w:rPr/>
      </w:pPr>
      <w:r>
        <w:rPr>
          <w:i/>
        </w:rPr>
        <w:t xml:space="preserve">Alternative Housing Development Site Standards.</w:t>
      </w:r>
    </w:p>
    <w:p>
      <w:pPr>
        <w:pStyle w:val="Block3"/>
        <w:pBdr/>
        <w:spacing/>
        <w:rPr/>
      </w:pPr>
      <w:r>
        <w:rPr>
          <w:i/>
        </w:rPr>
        <w:t xml:space="preserve">Max. Residential Density:</w:t>
      </w:r>
      <w:r>
        <w:rPr>
          <w:rStyle w:val="Block3"/>
        </w:rPr>
        <w:t xml:space="preserve"> Varies by zoning district. </w:t>
      </w:r>
    </w:p>
    <w:p>
      <w:pPr>
        <w:pBdr/>
        <w:spacing/>
        <w:rPr/>
      </w:pPr>
      <w:r>
        <w:rPr>
          <w:i/>
        </w:rPr>
        <w:t xml:space="preserve">Building Site Standards:</w:t>
      </w:r>
    </w:p>
    <w:tbl>
      <w:tblPr>
        <w:tblStyle w:val="Table1_c489d6ce-65d4-4577-9851-b846c5530a32"/>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3192"/>
        <w:gridCol w:w="3192"/>
        <w:gridCol w:w="3192"/>
      </w:tblGrid>
      <w:tr>
        <w:trPr/>
        <w:tc>
          <w:tcPr>
            <w:tcW w:type="pct" w:w="1667"/>
            <w:tcBorders/>
          </w:tcPr>
          <w:p>
            <w:pPr>
              <w:pBdr/>
              <w:spacing/>
              <w:jc w:val="left"/>
              <w:rPr/>
            </w:pPr>
            <w:r>
              <w:rPr/>
              <w:t xml:space="preserve"> Site Standards </w:t>
            </w:r>
          </w:p>
        </w:tc>
        <w:tc>
          <w:tcPr>
            <w:tcW w:type="pct" w:w="1667"/>
            <w:tcBorders/>
          </w:tcPr>
          <w:p>
            <w:pPr>
              <w:pBdr/>
              <w:spacing/>
              <w:jc w:val="left"/>
              <w:rPr/>
            </w:pPr>
            <w:r>
              <w:rPr/>
              <w:t xml:space="preserve">1-Family </w:t>
            </w:r>
          </w:p>
        </w:tc>
        <w:tc>
          <w:tcPr>
            <w:tcW w:type="pct" w:w="1667"/>
            <w:tcBorders/>
          </w:tcPr>
          <w:p>
            <w:pPr>
              <w:pBdr/>
              <w:spacing/>
              <w:jc w:val="left"/>
              <w:rPr/>
            </w:pPr>
            <w:r>
              <w:rPr/>
              <w:t xml:space="preserve">2-Family </w:t>
            </w:r>
          </w:p>
        </w:tc>
      </w:tr>
      <w:tr>
        <w:trPr/>
        <w:tc>
          <w:tcPr>
            <w:tcW w:type="pct" w:w="1667"/>
            <w:tcBorders/>
          </w:tcPr>
          <w:p>
            <w:pPr>
              <w:pBdr/>
              <w:spacing/>
              <w:jc w:val="left"/>
              <w:rPr/>
            </w:pPr>
            <w:r>
              <w:rPr/>
              <w:t xml:space="preserve">Min. Avg. all lots </w:t>
            </w:r>
          </w:p>
        </w:tc>
        <w:tc>
          <w:tcPr>
            <w:tcW w:type="pct" w:w="1667"/>
            <w:tcBorders/>
          </w:tcPr>
          <w:p>
            <w:pPr>
              <w:pBdr/>
              <w:spacing/>
              <w:jc w:val="left"/>
              <w:rPr/>
            </w:pPr>
            <w:r>
              <w:rPr/>
              <w:t xml:space="preserve">Varies by zoning district </w:t>
            </w:r>
          </w:p>
        </w:tc>
        <w:tc>
          <w:tcPr>
            <w:tcW w:type="pct" w:w="1667"/>
            <w:tcBorders/>
          </w:tcPr>
          <w:p>
            <w:pPr>
              <w:pBdr/>
              <w:spacing/>
              <w:jc w:val="left"/>
              <w:rPr/>
            </w:pPr>
          </w:p>
        </w:tc>
      </w:tr>
      <w:tr>
        <w:trPr/>
        <w:tc>
          <w:tcPr>
            <w:tcW w:type="pct" w:w="1667"/>
            <w:tcBorders/>
          </w:tcPr>
          <w:p>
            <w:pPr>
              <w:pBdr/>
              <w:spacing/>
              <w:jc w:val="left"/>
              <w:rPr/>
            </w:pPr>
            <w:r>
              <w:rPr/>
              <w:t xml:space="preserve"> Min. Area each lot </w:t>
            </w:r>
          </w:p>
        </w:tc>
        <w:tc>
          <w:tcPr>
            <w:tcW w:type="pct" w:w="1667"/>
            <w:tcBorders/>
          </w:tcPr>
          <w:p>
            <w:pPr>
              <w:pBdr/>
              <w:spacing/>
              <w:jc w:val="left"/>
              <w:rPr/>
            </w:pPr>
            <w:r>
              <w:rPr/>
              <w:t xml:space="preserve">1600 sq. ft. </w:t>
            </w:r>
          </w:p>
        </w:tc>
        <w:tc>
          <w:tcPr>
            <w:tcW w:type="pct" w:w="1667"/>
            <w:tcBorders/>
          </w:tcPr>
          <w:p>
            <w:pPr>
              <w:pBdr/>
              <w:spacing/>
              <w:jc w:val="left"/>
              <w:rPr/>
            </w:pPr>
            <w:r>
              <w:rPr/>
              <w:t xml:space="preserve">2400 sq. ft. </w:t>
            </w:r>
          </w:p>
        </w:tc>
      </w:tr>
      <w:tr>
        <w:trPr/>
        <w:tc>
          <w:tcPr>
            <w:tcW w:type="pct" w:w="1667"/>
            <w:tcBorders/>
          </w:tcPr>
          <w:p>
            <w:pPr>
              <w:pBdr/>
              <w:spacing/>
              <w:jc w:val="left"/>
              <w:rPr/>
            </w:pPr>
            <w:r>
              <w:rPr/>
              <w:t xml:space="preserve">Mean Lot Width </w:t>
            </w:r>
          </w:p>
        </w:tc>
        <w:tc>
          <w:tcPr>
            <w:tcW w:type="pct" w:w="1667"/>
            <w:tcBorders/>
          </w:tcPr>
          <w:p>
            <w:pPr>
              <w:pBdr/>
              <w:spacing/>
              <w:jc w:val="left"/>
              <w:rPr/>
            </w:pPr>
            <w:r>
              <w:rPr/>
              <w:t xml:space="preserve">None </w:t>
            </w:r>
          </w:p>
        </w:tc>
        <w:tc>
          <w:tcPr>
            <w:tcW w:type="pct" w:w="1667"/>
            <w:tcBorders/>
          </w:tcPr>
          <w:p>
            <w:pPr>
              <w:pBdr/>
              <w:spacing/>
              <w:jc w:val="left"/>
              <w:rPr/>
            </w:pPr>
            <w:r>
              <w:rPr/>
              <w:t xml:space="preserve">25 ft. </w:t>
            </w:r>
          </w:p>
        </w:tc>
      </w:tr>
      <w:tr>
        <w:trPr/>
        <w:tc>
          <w:tcPr>
            <w:tcW w:type="pct" w:w="1667"/>
            <w:tcBorders/>
          </w:tcPr>
          <w:p>
            <w:pPr>
              <w:pBdr/>
              <w:spacing/>
              <w:jc w:val="left"/>
              <w:rPr/>
            </w:pPr>
            <w:r>
              <w:rPr/>
              <w:t xml:space="preserve">Mean Lot Depth </w:t>
            </w:r>
          </w:p>
        </w:tc>
        <w:tc>
          <w:tcPr>
            <w:tcW w:type="pct" w:w="1667"/>
            <w:tcBorders/>
          </w:tcPr>
          <w:p>
            <w:pPr>
              <w:pBdr/>
              <w:spacing/>
              <w:jc w:val="left"/>
              <w:rPr/>
            </w:pPr>
            <w:r>
              <w:rPr/>
              <w:t xml:space="preserve">95 ft. </w:t>
            </w:r>
          </w:p>
        </w:tc>
        <w:tc>
          <w:tcPr>
            <w:tcW w:type="pct" w:w="1667"/>
            <w:tcBorders/>
          </w:tcPr>
          <w:p>
            <w:pPr>
              <w:pBdr/>
              <w:spacing/>
              <w:jc w:val="left"/>
              <w:rPr/>
            </w:pPr>
            <w:r>
              <w:rPr/>
              <w:t xml:space="preserve">95 ft. </w:t>
            </w:r>
          </w:p>
        </w:tc>
      </w:tr>
      <w:tr>
        <w:trPr/>
        <w:tc>
          <w:tcPr>
            <w:tcW w:type="pct" w:w="1667"/>
            <w:tcBorders/>
          </w:tcPr>
          <w:p>
            <w:pPr>
              <w:pBdr/>
              <w:spacing/>
              <w:jc w:val="left"/>
              <w:rPr/>
            </w:pPr>
            <w:r>
              <w:rPr/>
              <w:t xml:space="preserve">Max. ISR </w:t>
            </w:r>
          </w:p>
        </w:tc>
        <w:tc>
          <w:tcPr>
            <w:tcW w:type="pct" w:w="1667"/>
            <w:tcBorders/>
          </w:tcPr>
          <w:p>
            <w:pPr>
              <w:pBdr/>
              <w:spacing/>
              <w:jc w:val="left"/>
              <w:rPr/>
            </w:pPr>
            <w:r>
              <w:rPr/>
              <w:t xml:space="preserve">0.55 </w:t>
            </w:r>
          </w:p>
        </w:tc>
        <w:tc>
          <w:tcPr>
            <w:tcW w:type="pct" w:w="1667"/>
            <w:tcBorders/>
          </w:tcPr>
          <w:p>
            <w:pPr>
              <w:pBdr/>
              <w:spacing/>
              <w:jc w:val="left"/>
              <w:rPr/>
            </w:pPr>
            <w:r>
              <w:rPr/>
              <w:t xml:space="preserve">0.55 </w:t>
            </w:r>
          </w:p>
        </w:tc>
      </w:tr>
    </w:tbl>
    <w:p>
      <w:pPr>
        <w:pBdr/>
        <w:spacing/>
        <w:rPr/>
      </w:pPr>
    </w:p>
    <w:p>
      <w:pPr>
        <w:pStyle w:val="Block3"/>
        <w:pBdr/>
        <w:spacing/>
        <w:rPr/>
      </w:pPr>
      <w:r>
        <w:rPr>
          <w:i/>
        </w:rPr>
        <w:t xml:space="preserve">Principal Building Setbacks.</w:t>
      </w:r>
      <w:r>
        <w:rPr>
          <w:rStyle w:val="Block3"/>
        </w:rPr>
        <w:t xml:space="preserve"> Except as otherwise specifically permitted by this Chapter, the following standards shall apply. The front yard setback shall be measured from the face of the structure to the property line or, if present, the city services easement. If the Developer elects a 0 ft. side yard setback, the project shall be platted as a Zero-lot-line, Z-lot, or Townhome development utilizing the Alternative Development standards. For Zero-lot-line or Z-lot development, access and maintenance easements shall be required in accordance with the Zero-lot-line development standards. For Townhome development, there shall be no minimum building separation requirement; however, a minimum perimeter setback of 10 ft. shall be required in accordance with the Townhome development standards. </w:t>
      </w:r>
    </w:p>
    <w:p>
      <w:pPr>
        <w:pBdr/>
        <w:spacing/>
        <w:rPr/>
      </w:pPr>
      <w:r>
        <w:rPr>
          <w:i/>
        </w:rPr>
        <w:t xml:space="preserve">Development Standards:</w:t>
      </w:r>
    </w:p>
    <w:tbl>
      <w:tblPr>
        <w:tblStyle w:val="Table1_31867222-2bf2-4112-bead-e5ffc5e658d6"/>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788"/>
        <w:gridCol w:w="4788"/>
      </w:tblGrid>
      <w:tr>
        <w:trPr/>
        <w:tc>
          <w:tcPr>
            <w:tcW w:type="pct" w:w="2500"/>
            <w:tcBorders/>
          </w:tcPr>
          <w:p>
            <w:pPr>
              <w:pBdr/>
              <w:spacing/>
              <w:jc w:val="left"/>
              <w:rPr/>
            </w:pPr>
            <w:r>
              <w:rPr/>
              <w:t xml:space="preserve"> Development Standards </w:t>
            </w:r>
          </w:p>
        </w:tc>
        <w:tc>
          <w:tcPr>
            <w:tcW w:type="pct" w:w="2500"/>
            <w:tcBorders/>
          </w:tcPr>
          <w:p>
            <w:pPr>
              <w:pBdr/>
              <w:spacing/>
              <w:jc w:val="left"/>
              <w:rPr/>
            </w:pPr>
            <w:r>
              <w:rPr/>
              <w:t xml:space="preserve">Dimension </w:t>
            </w:r>
          </w:p>
        </w:tc>
      </w:tr>
      <w:tr>
        <w:trPr/>
        <w:tc>
          <w:tcPr>
            <w:tcW w:type="pct" w:w="2500"/>
            <w:tcBorders/>
          </w:tcPr>
          <w:p>
            <w:pPr>
              <w:pBdr/>
              <w:spacing/>
              <w:jc w:val="left"/>
              <w:rPr/>
            </w:pPr>
            <w:r>
              <w:rPr/>
              <w:t xml:space="preserve">Min. Front Yard (primary structure) </w:t>
            </w:r>
          </w:p>
        </w:tc>
        <w:tc>
          <w:tcPr>
            <w:tcW w:type="pct" w:w="2500"/>
            <w:tcBorders/>
          </w:tcPr>
          <w:p>
            <w:pPr>
              <w:pBdr/>
              <w:spacing/>
              <w:jc w:val="left"/>
              <w:rPr/>
            </w:pPr>
            <w:r>
              <w:rPr/>
              <w:t xml:space="preserve">15 ft. </w:t>
            </w:r>
          </w:p>
        </w:tc>
      </w:tr>
      <w:tr>
        <w:trPr/>
        <w:tc>
          <w:tcPr>
            <w:tcW w:type="pct" w:w="2500"/>
            <w:tcBorders/>
          </w:tcPr>
          <w:p>
            <w:pPr>
              <w:pBdr/>
              <w:spacing/>
              <w:jc w:val="left"/>
              <w:rPr/>
            </w:pPr>
            <w:r>
              <w:rPr/>
              <w:t xml:space="preserve">Min. Front Yard (garage/carport) </w:t>
            </w:r>
          </w:p>
        </w:tc>
        <w:tc>
          <w:tcPr>
            <w:tcW w:type="pct" w:w="2500"/>
            <w:tcBorders/>
          </w:tcPr>
          <w:p>
            <w:pPr>
              <w:pBdr/>
              <w:spacing/>
              <w:jc w:val="left"/>
              <w:rPr/>
            </w:pPr>
            <w:r>
              <w:rPr/>
              <w:t xml:space="preserve">20 ft. </w:t>
            </w:r>
          </w:p>
        </w:tc>
      </w:tr>
      <w:tr>
        <w:trPr/>
        <w:tc>
          <w:tcPr>
            <w:tcW w:type="pct" w:w="2500"/>
            <w:tcBorders/>
          </w:tcPr>
          <w:p>
            <w:pPr>
              <w:pBdr/>
              <w:spacing/>
              <w:jc w:val="left"/>
              <w:rPr/>
            </w:pPr>
            <w:r>
              <w:rPr/>
              <w:t xml:space="preserve">Side Yard </w:t>
            </w:r>
          </w:p>
        </w:tc>
        <w:tc>
          <w:tcPr>
            <w:tcW w:type="pct" w:w="2500"/>
            <w:tcBorders/>
          </w:tcPr>
          <w:p>
            <w:pPr>
              <w:pBdr/>
              <w:spacing/>
              <w:jc w:val="left"/>
              <w:rPr/>
            </w:pPr>
            <w:r>
              <w:rPr/>
              <w:t xml:space="preserve">0 or 5 ft. </w:t>
            </w:r>
          </w:p>
        </w:tc>
      </w:tr>
      <w:tr>
        <w:trPr/>
        <w:tc>
          <w:tcPr>
            <w:tcW w:type="pct" w:w="2500"/>
            <w:tcBorders/>
          </w:tcPr>
          <w:p>
            <w:pPr>
              <w:pBdr/>
              <w:spacing/>
              <w:jc w:val="left"/>
              <w:rPr/>
            </w:pPr>
            <w:r>
              <w:rPr/>
              <w:t xml:space="preserve">Min. Street Side Yard </w:t>
            </w:r>
          </w:p>
        </w:tc>
        <w:tc>
          <w:tcPr>
            <w:tcW w:type="pct" w:w="2500"/>
            <w:tcBorders/>
          </w:tcPr>
          <w:p>
            <w:pPr>
              <w:pBdr/>
              <w:spacing/>
              <w:jc w:val="left"/>
              <w:rPr/>
            </w:pPr>
            <w:r>
              <w:rPr/>
              <w:t xml:space="preserve">15 ft. </w:t>
            </w:r>
          </w:p>
        </w:tc>
      </w:tr>
      <w:tr>
        <w:trPr/>
        <w:tc>
          <w:tcPr>
            <w:tcW w:type="pct" w:w="2500"/>
            <w:tcBorders/>
          </w:tcPr>
          <w:p>
            <w:pPr>
              <w:pBdr/>
              <w:spacing/>
              <w:jc w:val="left"/>
              <w:rPr/>
            </w:pPr>
            <w:r>
              <w:rPr/>
              <w:t xml:space="preserve">Min. Street Side Yard (garage/carport) </w:t>
            </w:r>
          </w:p>
        </w:tc>
        <w:tc>
          <w:tcPr>
            <w:tcW w:type="pct" w:w="2500"/>
            <w:tcBorders/>
          </w:tcPr>
          <w:p>
            <w:pPr>
              <w:pBdr/>
              <w:spacing/>
              <w:jc w:val="left"/>
              <w:rPr/>
            </w:pPr>
            <w:r>
              <w:rPr/>
              <w:t xml:space="preserve">20 ft. </w:t>
            </w:r>
          </w:p>
        </w:tc>
      </w:tr>
      <w:tr>
        <w:trPr/>
        <w:tc>
          <w:tcPr>
            <w:tcW w:type="pct" w:w="2500"/>
            <w:tcBorders/>
          </w:tcPr>
          <w:p>
            <w:pPr>
              <w:pBdr/>
              <w:spacing/>
              <w:jc w:val="left"/>
              <w:rPr/>
            </w:pPr>
            <w:r>
              <w:rPr/>
              <w:t xml:space="preserve">Min. Rear Yard </w:t>
            </w:r>
          </w:p>
        </w:tc>
        <w:tc>
          <w:tcPr>
            <w:tcW w:type="pct" w:w="2500"/>
            <w:tcBorders/>
          </w:tcPr>
          <w:p>
            <w:pPr>
              <w:pBdr/>
              <w:spacing/>
              <w:jc w:val="left"/>
              <w:rPr/>
            </w:pPr>
            <w:r>
              <w:rPr/>
              <w:t xml:space="preserve">15 ft. </w:t>
            </w:r>
          </w:p>
        </w:tc>
      </w:tr>
      <w:tr>
        <w:trPr/>
        <w:tc>
          <w:tcPr>
            <w:tcW w:type="pct" w:w="2500"/>
            <w:tcBorders/>
          </w:tcPr>
          <w:p>
            <w:pPr>
              <w:pBdr/>
              <w:spacing/>
              <w:jc w:val="left"/>
              <w:rPr/>
            </w:pPr>
            <w:r>
              <w:rPr/>
              <w:t xml:space="preserve">Min. Building Separation </w:t>
            </w:r>
          </w:p>
        </w:tc>
        <w:tc>
          <w:tcPr>
            <w:tcW w:type="pct" w:w="2500"/>
            <w:tcBorders/>
          </w:tcPr>
          <w:p>
            <w:pPr>
              <w:pBdr/>
              <w:spacing/>
              <w:jc w:val="left"/>
              <w:rPr/>
            </w:pPr>
            <w:r>
              <w:rPr/>
              <w:t xml:space="preserve">10 ft. </w:t>
            </w:r>
          </w:p>
        </w:tc>
      </w:tr>
      <w:tr>
        <w:trPr/>
        <w:tc>
          <w:tcPr>
            <w:tcW w:type="pct" w:w="2500"/>
            <w:tcBorders/>
          </w:tcPr>
          <w:p>
            <w:pPr>
              <w:pBdr/>
              <w:spacing/>
              <w:jc w:val="left"/>
              <w:rPr/>
            </w:pPr>
            <w:r>
              <w:rPr/>
              <w:t xml:space="preserve">Max. Density Min. Open Space </w:t>
            </w:r>
          </w:p>
        </w:tc>
        <w:tc>
          <w:tcPr>
            <w:tcW w:type="pct" w:w="2500"/>
            <w:tcBorders/>
          </w:tcPr>
          <w:p>
            <w:pPr>
              <w:pBdr/>
              <w:spacing/>
              <w:jc w:val="left"/>
              <w:rPr/>
            </w:pPr>
            <w:r>
              <w:rPr/>
              <w:t xml:space="preserve">Same as zoning district, including bonuses. </w:t>
            </w:r>
          </w:p>
        </w:tc>
      </w:tr>
    </w:tbl>
    <w:p>
      <w:pPr>
        <w:pBdr/>
        <w:spacing/>
        <w:rPr/>
      </w:pPr>
    </w:p>
    <w:p>
      <w:pPr>
        <w:pBdr/>
        <w:spacing w:before="0" w:after="0"/>
        <w:rPr/>
        <w:sectPr>
          <w:headerReference w:type="default" r:id="rId77"/>
          <w:footerReference w:type="default" r:id="rId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67.605.</w:t>
      </w:r>
      <w:r>
        <w:rPr/>
        <w:t xml:space="preserve"> </w:t>
      </w:r>
      <w:r>
        <w:rPr/>
        <w:t xml:space="preserve">Landscaping.</w:t>
      </w:r>
    </w:p>
    <w:p>
      <w:pPr>
        <w:pStyle w:val="Paragraph1"/>
        <w:pBdr/>
        <w:spacing/>
        <w:rPr/>
      </w:pPr>
      <w:r>
        <w:rPr>
          <w:rStyle w:val="Paragraph1"/>
        </w:rPr>
        <w:t xml:space="preserve">For each certified low or very low income housing unit built the developer shall provide one canopy tree for each internal lot and two for each corner lot to be planted on those lots with certified low or very low income housing units. The Planning Official shall have the authority to waive the height and caliper requirements for these trees. The species of canopy tree shall be determined by the Planning Official, based on the Approved Plant List contained in </w:t>
      </w:r>
      <w:r>
        <w:rPr/>
        <w:t xml:space="preserve">Chapter 60</w:t>
      </w:r>
      <w:r>
        <w:rPr>
          <w:rStyle w:val="Paragraph1"/>
        </w:rPr>
        <w:t xml:space="preserve">. Other species may also be used if approved in advance by the Planning Official as being equivalent in function and quality. </w:t>
      </w:r>
    </w:p>
    <w:p>
      <w:pPr>
        <w:pStyle w:val="HistoryNote"/>
        <w:pBdr/>
        <w:spacing/>
        <w:rPr/>
      </w:pPr>
      <w:r>
        <w:rPr>
          <w:rStyle w:val="HistoryNote"/>
        </w:rPr>
        <w:t xml:space="preserve">(Ord. of 2-22-1993, Doc. #26393)</w:t>
      </w:r>
    </w:p>
    <w:p>
      <w:pPr>
        <w:pBdr/>
        <w:spacing w:before="0" w:after="0"/>
        <w:rPr/>
        <w:sectPr>
          <w:headerReference w:type="default" r:id="rId79"/>
          <w:footerReference w:type="default" r:id="rId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67.606.</w:t>
      </w:r>
      <w:r>
        <w:rPr/>
        <w:t xml:space="preserve"> </w:t>
      </w:r>
      <w:r>
        <w:rPr/>
        <w:t xml:space="preserve">Alternative Housing Transportation Standards.</w:t>
      </w:r>
    </w:p>
    <w:p>
      <w:pPr>
        <w:pStyle w:val="List1"/>
        <w:pBdr/>
        <w:spacing/>
        <w:rPr/>
      </w:pPr>
      <w:r>
        <w:rPr/>
        <w:t xml:space="preserve">(a)</w:t>
      </w:r>
      <w:r>
        <w:rPr/>
        <w:tab/>
        <w:t xml:space="preserve"/>
      </w:r>
      <w:r>
        <w:rPr/>
        <w:t xml:space="preserve">Alternative Housing streets shall be designed to function as local streets. It shall be the responsibility of the developer to ensure the proper function where vehicular noise, congestion and speeds are minimized through the use of a combination of landscape, hardscape and road surface treatment. The street right-of-way and optional city services easement shall support multi-modal transportation including autos, pedestrians, and bicycles. </w:t>
      </w:r>
    </w:p>
    <w:p>
      <w:pPr>
        <w:pStyle w:val="List1"/>
        <w:pBdr/>
        <w:spacing/>
        <w:rPr/>
      </w:pPr>
      <w:r>
        <w:rPr/>
        <w:t xml:space="preserve">(b)</w:t>
      </w:r>
      <w:r>
        <w:rPr/>
        <w:tab/>
        <w:t xml:space="preserve"/>
      </w:r>
      <w:r>
        <w:rPr/>
        <w:t xml:space="preserve">The internal street system shall be designed so that at least ninety percent (90%) of the street segments interconnect. </w:t>
      </w:r>
    </w:p>
    <w:p>
      <w:pPr>
        <w:pStyle w:val="List1"/>
        <w:pBdr/>
        <w:spacing/>
        <w:rPr/>
      </w:pPr>
      <w:r>
        <w:rPr/>
        <w:t xml:space="preserve">(c)</w:t>
      </w:r>
      <w:r>
        <w:rPr/>
        <w:tab/>
        <w:t xml:space="preserve"/>
      </w:r>
      <w:r>
        <w:rPr/>
        <w:t xml:space="preserve">Wherever an Alternative Housing development abuts unplatted land or a future development phase of the same development, street stubs shall provide access to abutting properties or to logically extend the street system into the surrounding area. </w:t>
      </w:r>
    </w:p>
    <w:p>
      <w:pPr>
        <w:pStyle w:val="List1"/>
        <w:pBdr/>
        <w:spacing/>
        <w:rPr/>
      </w:pPr>
      <w:r>
        <w:rPr/>
        <w:t xml:space="preserve">(d)</w:t>
      </w:r>
      <w:r>
        <w:rPr/>
        <w:tab/>
        <w:t xml:space="preserve"/>
      </w:r>
      <w:r>
        <w:rPr>
          <w:i/>
        </w:rPr>
        <w:t xml:space="preserve">Parking Standards/Residential Development.</w:t>
      </w:r>
    </w:p>
    <w:p>
      <w:pPr>
        <w:pStyle w:val="List2"/>
        <w:pBdr/>
        <w:spacing/>
        <w:rPr/>
      </w:pPr>
      <w:r>
        <w:rPr/>
        <w:t xml:space="preserve">(1)</w:t>
      </w:r>
      <w:r>
        <w:rPr/>
        <w:tab/>
        <w:t xml:space="preserve"/>
      </w:r>
      <w:r>
        <w:rPr/>
        <w:t xml:space="preserve">Parking for single family and two family development shall be designed and constructed as a paved or acceptable alternative hard surface. </w:t>
      </w:r>
    </w:p>
    <w:p>
      <w:pPr>
        <w:pStyle w:val="List2"/>
        <w:pBdr/>
        <w:spacing/>
        <w:rPr/>
      </w:pPr>
      <w:r>
        <w:rPr/>
        <w:t xml:space="preserve">(2)</w:t>
      </w:r>
      <w:r>
        <w:rPr/>
        <w:tab/>
        <w:t xml:space="preserve"/>
      </w:r>
      <w:r>
        <w:rPr/>
        <w:t xml:space="preserve">All required parking spaces for single family and two family development shall be located outside the required front yard setback. For two family development, on-street parking directly abutting a lot may be counted toward fulfilling the off-street parking requirement except where lot width, driveway widths or location, street widths or other right-of-way design elements limits the number of available on-street parking spaces. One parking space credit shall be given for each full space abutting a lot on streets with a minimum 24′ wide pavement width, not including curb and gutter. Where an on-street space abuts more than one lot, no parking space credit shall be given. Where on-street parking is credited, access drives shall be situated so that there is a minimum of one full parking space in front of each lot. </w:t>
      </w:r>
    </w:p>
    <w:p>
      <w:pPr>
        <w:pStyle w:val="List1"/>
        <w:pBdr/>
        <w:spacing/>
        <w:rPr/>
      </w:pPr>
      <w:r>
        <w:rPr/>
        <w:t xml:space="preserve">(e)</w:t>
      </w:r>
      <w:r>
        <w:rPr/>
        <w:tab/>
        <w:t xml:space="preserve"/>
      </w:r>
      <w:r>
        <w:rPr/>
        <w:t xml:space="preserve">Those streets determined during Preliminary Plat or Short Form Plat review to function as residential collectors shall conform with the standards established in </w:t>
      </w:r>
      <w:r>
        <w:rPr/>
        <w:t xml:space="preserve">Chapter 61</w:t>
      </w:r>
      <w:r>
        <w:rPr/>
        <w:t xml:space="preserve"> or as modified by the City Transportation Engineer and City Engineer. Those streets determined to be classified higher than a residential collector shall conform to the Land Development Code Access Management Standards. Alleys and One way Local Streets shall be permitted only at the discretion of the Public Works Director and the Planning Official. The remaining streets shall conform with the following cross section standards: </w:t>
      </w:r>
    </w:p>
    <w:p>
      <w:pPr>
        <w:pStyle w:val="List2"/>
        <w:pBdr/>
        <w:spacing/>
        <w:rPr/>
      </w:pPr>
      <w:r>
        <w:rPr/>
        <w:t xml:space="preserve">(1)</w:t>
      </w:r>
      <w:r>
        <w:rPr/>
        <w:tab/>
        <w:t xml:space="preserve"/>
      </w:r>
      <w:r>
        <w:rPr>
          <w:i/>
        </w:rPr>
        <w:t xml:space="preserve">AH Local Street #1:</w:t>
      </w:r>
      <w:r>
        <w:rPr/>
        <w:t xml:space="preserve"> Provides access for service vehicles and access to adjacent land use. Local Streets #1 should carry only traffic having either destination or origin on the street itself. Local Streets #1 may interconnect with streets outside the Alternative Housing development. </w:t>
      </w:r>
    </w:p>
    <w:p>
      <w:pPr>
        <w:pStyle w:val="Block4"/>
        <w:pBdr/>
        <w:spacing/>
        <w:rPr/>
      </w:pPr>
      <w:r>
        <w:rPr>
          <w:i/>
        </w:rPr>
        <w:t xml:space="preserve">Land Use:</w:t>
      </w:r>
      <w:r>
        <w:rPr>
          <w:rStyle w:val="Block4"/>
        </w:rPr>
        <w:t xml:space="preserve"> Single family, two family. </w:t>
      </w:r>
    </w:p>
    <w:p>
      <w:pPr>
        <w:pBdr/>
        <w:spacing/>
        <w:rPr/>
      </w:pPr>
      <w:r>
        <w:rPr>
          <w:i/>
        </w:rPr>
        <w:t xml:space="preserve">Max. Density:</w:t>
      </w:r>
      <w:r>
        <w:rPr>
          <w:rStyle w:val="Block4"/>
        </w:rPr>
        <w:t xml:space="preserve"> 12 du/ac. </w:t>
      </w:r>
    </w:p>
    <w:tbl>
      <w:tblPr>
        <w:tblStyle w:val="Table1_5e909e67-ec88-4f7a-b536-87f849bf2848"/>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788"/>
        <w:gridCol w:w="4788"/>
      </w:tblGrid>
      <w:tr>
        <w:trPr/>
        <w:tc>
          <w:tcPr>
            <w:tcW w:type="pct" w:w="2500"/>
            <w:tcBorders/>
          </w:tcPr>
          <w:p>
            <w:pPr>
              <w:pBdr/>
              <w:spacing/>
              <w:jc w:val="left"/>
              <w:rPr/>
            </w:pPr>
            <w:r>
              <w:rPr/>
              <w:t xml:space="preserve"> Specs </w:t>
            </w:r>
          </w:p>
        </w:tc>
        <w:tc>
          <w:tcPr>
            <w:tcW w:type="pct" w:w="2500"/>
            <w:tcBorders/>
          </w:tcPr>
          <w:p>
            <w:pPr>
              <w:pBdr/>
              <w:spacing/>
              <w:jc w:val="center"/>
              <w:rPr/>
            </w:pPr>
            <w:r>
              <w:rPr/>
              <w:t xml:space="preserve">Alternative Specs </w:t>
            </w:r>
          </w:p>
        </w:tc>
      </w:tr>
      <w:tr>
        <w:trPr/>
        <w:tc>
          <w:tcPr>
            <w:tcW w:type="pct" w:w="2500"/>
            <w:tcBorders/>
          </w:tcPr>
          <w:p>
            <w:pPr>
              <w:pBdr/>
              <w:spacing/>
              <w:jc w:val="left"/>
              <w:rPr/>
            </w:pPr>
            <w:r>
              <w:rPr/>
              <w:t xml:space="preserve">50′ ROW </w:t>
            </w:r>
          </w:p>
        </w:tc>
        <w:tc>
          <w:tcPr>
            <w:tcW w:type="pct" w:w="2500"/>
            <w:tcBorders/>
          </w:tcPr>
          <w:p>
            <w:pPr>
              <w:pBdr/>
              <w:spacing/>
              <w:jc w:val="left"/>
              <w:rPr/>
            </w:pPr>
            <w:r>
              <w:rPr/>
              <w:t xml:space="preserve">40′ ROW (sidewalks located in easements outside of the right-of-way) </w:t>
            </w:r>
          </w:p>
        </w:tc>
      </w:tr>
      <w:tr>
        <w:trPr/>
        <w:tc>
          <w:tcPr>
            <w:tcW w:type="pct" w:w="2500"/>
            <w:tcBorders/>
          </w:tcPr>
          <w:p>
            <w:pPr>
              <w:pBdr/>
              <w:spacing/>
              <w:jc w:val="left"/>
              <w:rPr/>
            </w:pPr>
            <w:r>
              <w:rPr/>
              <w:t xml:space="preserve">24′, 20′, or 18′, total pavement widths* </w:t>
            </w:r>
          </w:p>
        </w:tc>
        <w:tc>
          <w:tcPr>
            <w:tcW w:type="pct" w:w="2500"/>
            <w:tcBorders/>
          </w:tcPr>
          <w:p>
            <w:pPr>
              <w:pBdr/>
              <w:spacing/>
              <w:jc w:val="left"/>
              <w:rPr/>
            </w:pPr>
            <w:r>
              <w:rPr/>
              <w:t xml:space="preserve">24′, 20′, or 18′ total pavement widths* </w:t>
            </w:r>
          </w:p>
        </w:tc>
      </w:tr>
      <w:tr>
        <w:trPr/>
        <w:tc>
          <w:tcPr>
            <w:tcW w:type="pct" w:w="2500"/>
            <w:tcBorders/>
          </w:tcPr>
          <w:p>
            <w:pPr>
              <w:pBdr/>
              <w:spacing/>
              <w:jc w:val="left"/>
              <w:rPr/>
            </w:pPr>
            <w:r>
              <w:rPr/>
              <w:t xml:space="preserve">Two 5′ wide sidewalks </w:t>
            </w:r>
          </w:p>
        </w:tc>
        <w:tc>
          <w:tcPr>
            <w:tcW w:type="pct" w:w="2500"/>
            <w:tcBorders/>
          </w:tcPr>
          <w:p>
            <w:pPr>
              <w:pBdr/>
              <w:spacing/>
              <w:jc w:val="left"/>
              <w:rPr/>
            </w:pPr>
            <w:r>
              <w:rPr/>
              <w:t xml:space="preserve">Two 5′ wide sidewalk easements </w:t>
            </w:r>
          </w:p>
        </w:tc>
      </w:tr>
      <w:tr>
        <w:trPr/>
        <w:tc>
          <w:tcPr>
            <w:tcW w:type="pct" w:w="2500"/>
            <w:tcBorders/>
          </w:tcPr>
          <w:p>
            <w:pPr>
              <w:pBdr/>
              <w:spacing/>
              <w:jc w:val="left"/>
              <w:rPr/>
            </w:pPr>
            <w:r>
              <w:rPr/>
              <w:t xml:space="preserve">Two 6′ wide parkways** </w:t>
            </w:r>
          </w:p>
        </w:tc>
        <w:tc>
          <w:tcPr>
            <w:tcW w:type="pct" w:w="2500"/>
            <w:tcBorders/>
          </w:tcPr>
          <w:p>
            <w:pPr>
              <w:pBdr/>
              <w:spacing/>
              <w:jc w:val="left"/>
              <w:rPr/>
            </w:pPr>
            <w:r>
              <w:rPr/>
              <w:t xml:space="preserve">Two 6′ wide parkways** </w:t>
            </w:r>
          </w:p>
        </w:tc>
      </w:tr>
      <w:tr>
        <w:trPr/>
        <w:tc>
          <w:tcPr>
            <w:tcW w:type="pct" w:w="2500"/>
            <w:tcBorders/>
          </w:tcPr>
          <w:p>
            <w:pPr>
              <w:pBdr/>
              <w:spacing/>
              <w:jc w:val="left"/>
              <w:rPr/>
            </w:pPr>
            <w:r>
              <w:rPr/>
              <w:t xml:space="preserve">Two unmarked travel lanes </w:t>
            </w:r>
          </w:p>
        </w:tc>
        <w:tc>
          <w:tcPr>
            <w:tcW w:type="pct" w:w="2500"/>
            <w:tcBorders/>
          </w:tcPr>
          <w:p>
            <w:pPr>
              <w:pBdr/>
              <w:spacing/>
              <w:jc w:val="left"/>
              <w:rPr/>
            </w:pPr>
            <w:r>
              <w:rPr/>
              <w:t xml:space="preserve">Two unmarked travel lanes </w:t>
            </w:r>
          </w:p>
        </w:tc>
      </w:tr>
      <w:tr>
        <w:trPr/>
        <w:tc>
          <w:tcPr>
            <w:tcW w:type="pct" w:w="2500"/>
            <w:tcBorders/>
          </w:tcPr>
          <w:p>
            <w:pPr>
              <w:pBdr/>
              <w:spacing/>
              <w:jc w:val="left"/>
              <w:rPr/>
            </w:pPr>
            <w:r>
              <w:rPr/>
              <w:t xml:space="preserve">Parking lanes* </w:t>
            </w:r>
          </w:p>
        </w:tc>
        <w:tc>
          <w:tcPr>
            <w:tcW w:type="pct" w:w="2500"/>
            <w:tcBorders/>
          </w:tcPr>
          <w:p>
            <w:pPr>
              <w:pBdr/>
              <w:spacing/>
              <w:jc w:val="left"/>
              <w:rPr/>
            </w:pPr>
            <w:r>
              <w:rPr/>
              <w:t xml:space="preserve">Parking lanes* </w:t>
            </w:r>
          </w:p>
        </w:tc>
      </w:tr>
      <w:tr>
        <w:trPr/>
        <w:tc>
          <w:tcPr>
            <w:tcW w:type="pct" w:w="2500"/>
            <w:tcBorders/>
          </w:tcPr>
          <w:p>
            <w:pPr>
              <w:pBdr/>
              <w:spacing/>
              <w:jc w:val="left"/>
              <w:rPr/>
            </w:pPr>
            <w:r>
              <w:rPr/>
              <w:t xml:space="preserve">15′ minimum curb radii </w:t>
            </w:r>
          </w:p>
        </w:tc>
        <w:tc>
          <w:tcPr>
            <w:tcW w:type="pct" w:w="2500"/>
            <w:tcBorders/>
          </w:tcPr>
          <w:p>
            <w:pPr>
              <w:pBdr/>
              <w:spacing/>
              <w:jc w:val="left"/>
              <w:rPr/>
            </w:pPr>
            <w:r>
              <w:rPr/>
              <w:t xml:space="preserve">15′ minimum curb radii </w:t>
            </w:r>
          </w:p>
        </w:tc>
      </w:tr>
      <w:tr>
        <w:trPr/>
        <w:tc>
          <w:tcPr>
            <w:tcW w:type="pct" w:w="2500"/>
            <w:tcBorders/>
          </w:tcPr>
          <w:p>
            <w:pPr>
              <w:pBdr/>
              <w:spacing/>
              <w:jc w:val="left"/>
              <w:rPr/>
            </w:pPr>
            <w:r>
              <w:rPr/>
              <w:t xml:space="preserve">25 mph posted speed limit </w:t>
            </w:r>
          </w:p>
        </w:tc>
        <w:tc>
          <w:tcPr>
            <w:tcW w:type="pct" w:w="2500"/>
            <w:tcBorders/>
          </w:tcPr>
          <w:p>
            <w:pPr>
              <w:pBdr/>
              <w:spacing/>
              <w:jc w:val="left"/>
              <w:rPr/>
            </w:pPr>
            <w:r>
              <w:rPr/>
              <w:t xml:space="preserve">25 mph posted speed limit </w:t>
            </w:r>
          </w:p>
        </w:tc>
      </w:tr>
      <w:tr>
        <w:trPr/>
        <w:tc>
          <w:tcPr>
            <w:tcW w:type="pct" w:w="2500"/>
            <w:tcBorders/>
          </w:tcPr>
          <w:p>
            <w:pPr>
              <w:pBdr/>
              <w:spacing/>
              <w:jc w:val="left"/>
              <w:rPr/>
            </w:pPr>
            <w:r>
              <w:rPr/>
              <w:t xml:space="preserve">2′ standard curb and gutter both sides </w:t>
            </w:r>
          </w:p>
        </w:tc>
        <w:tc>
          <w:tcPr>
            <w:tcW w:type="pct" w:w="2500"/>
            <w:tcBorders/>
          </w:tcPr>
          <w:p>
            <w:pPr>
              <w:pBdr/>
              <w:spacing/>
              <w:jc w:val="left"/>
              <w:rPr/>
            </w:pPr>
            <w:r>
              <w:rPr/>
              <w:t xml:space="preserve">2′ standard curb and gutter both sides </w:t>
            </w:r>
          </w:p>
        </w:tc>
      </w:tr>
    </w:tbl>
    <w:p>
      <w:pPr>
        <w:pBdr/>
        <w:spacing/>
        <w:rPr/>
      </w:pPr>
    </w:p>
    <w:p>
      <w:pPr>
        <w:pStyle w:val="Block4"/>
        <w:pBdr/>
        <w:spacing/>
        <w:rPr/>
      </w:pPr>
      <w:r>
        <w:rPr>
          <w:rStyle w:val="Block4"/>
        </w:rPr>
        <w:t xml:space="preserve">*Pavement Width and Parking Lane Alternatives: </w:t>
      </w:r>
    </w:p>
    <w:p>
      <w:pPr>
        <w:pStyle w:val="List4"/>
        <w:pBdr/>
        <w:spacing/>
        <w:rPr/>
      </w:pPr>
      <w:r>
        <w:rPr/>
        <w:t xml:space="preserve">a)</w:t>
      </w:r>
      <w:r>
        <w:rPr/>
        <w:tab/>
        <w:t xml:space="preserve"/>
      </w:r>
      <w:r>
        <w:rPr/>
        <w:t xml:space="preserve">As part of the 24′ total pavement width, two unmarked parking lanes are permitted. </w:t>
      </w:r>
    </w:p>
    <w:p>
      <w:pPr>
        <w:pStyle w:val="List4"/>
        <w:pBdr/>
        <w:spacing/>
        <w:rPr/>
      </w:pPr>
      <w:r>
        <w:rPr/>
        <w:t xml:space="preserve">b)</w:t>
      </w:r>
      <w:r>
        <w:rPr/>
        <w:tab/>
        <w:t xml:space="preserve"/>
      </w:r>
      <w:r>
        <w:rPr/>
        <w:t xml:space="preserve">As part of 20′ total pavement width, one unmarked parking lane is permitted with "no parking" signs posted by the developer on one side of the street. </w:t>
      </w:r>
    </w:p>
    <w:p>
      <w:pPr>
        <w:pStyle w:val="List4"/>
        <w:pBdr/>
        <w:spacing/>
        <w:rPr/>
      </w:pPr>
      <w:r>
        <w:rPr/>
        <w:t xml:space="preserve">c)</w:t>
      </w:r>
      <w:r>
        <w:rPr/>
        <w:tab/>
        <w:t xml:space="preserve"/>
      </w:r>
      <w:r>
        <w:rPr/>
        <w:t xml:space="preserve">As part of the 18′ total pavement width, no on-street parking shall be permitted, and the developer shall be required to post "no-parking" signs on both sides of the street. </w:t>
      </w:r>
    </w:p>
    <w:p>
      <w:pPr>
        <w:pStyle w:val="Block4"/>
        <w:pBdr/>
        <w:spacing/>
        <w:rPr/>
      </w:pPr>
      <w:r>
        <w:rPr>
          <w:rStyle w:val="Block4"/>
        </w:rPr>
        <w:t xml:space="preserve">**The 6′ wide parkway can be reduced to 3′ wide with the approval of the City Engineer and City Transportation Engineer. </w:t>
      </w:r>
    </w:p>
    <w:p>
      <w:pPr>
        <w:pStyle w:val="ImageCenter"/>
        <w:pBdr/>
        <w:spacing/>
        <w:rPr/>
      </w:pPr>
      <w:r>
        <w:rPr/>
        <w:drawing>
          <wp:inline>
            <wp:extent cx="3048000" cy="1574800"/>
            <wp:docPr id="1" descr="67_022.png" name="Drawing 0"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a:srcRect/>
                    <a:stretch>
                      <a:fillRect/>
                    </a:stretch>
                  </pic:blipFill>
                  <pic:spPr bwMode="auto">
                    <a:xfrm>
                      <a:off x="0" y="0"/>
                      <a:ext cx="3048000" cy="1574800"/>
                    </a:xfrm>
                    <a:prstGeom prst="rect">
                      <a:avLst/>
                    </a:prstGeom>
                  </pic:spPr>
                </pic:pic>
              </a:graphicData>
            </a:graphic>
          </wp:inline>
        </w:drawing>
      </w:r>
    </w:p>
    <w:p>
      <w:pPr>
        <w:pStyle w:val="List2"/>
        <w:pBdr/>
        <w:spacing/>
        <w:rPr/>
      </w:pPr>
      <w:r>
        <w:rPr/>
        <w:t xml:space="preserve">(2)</w:t>
      </w:r>
      <w:r>
        <w:rPr/>
        <w:tab/>
        <w:t xml:space="preserve"/>
      </w:r>
      <w:r>
        <w:rPr>
          <w:i/>
        </w:rPr>
        <w:t xml:space="preserve">AH Local Street #2:</w:t>
      </w:r>
      <w:r>
        <w:rPr/>
        <w:t xml:space="preserve"> Provides access for service related vehicles and access to adjoining land use. The Local Street #2 may carry a small amount of residential through traffic generated from AH local streets. </w:t>
      </w:r>
    </w:p>
    <w:p>
      <w:pPr>
        <w:pStyle w:val="Block4"/>
        <w:pBdr/>
        <w:spacing/>
        <w:rPr/>
      </w:pPr>
      <w:r>
        <w:rPr>
          <w:i/>
        </w:rPr>
        <w:t xml:space="preserve">Land Use:</w:t>
      </w:r>
      <w:r>
        <w:rPr>
          <w:rStyle w:val="Block4"/>
        </w:rPr>
        <w:t xml:space="preserve"> Single family, two family. </w:t>
      </w:r>
    </w:p>
    <w:p>
      <w:pPr>
        <w:pBdr/>
        <w:spacing/>
        <w:rPr/>
      </w:pPr>
      <w:r>
        <w:rPr>
          <w:i/>
        </w:rPr>
        <w:t xml:space="preserve">Max. Density:</w:t>
      </w:r>
      <w:r>
        <w:rPr>
          <w:rStyle w:val="Block4"/>
        </w:rPr>
        <w:t xml:space="preserve"> 21 du/ac. </w:t>
      </w:r>
    </w:p>
    <w:tbl>
      <w:tblPr>
        <w:tblStyle w:val="Table1_27ac3a8e-117b-4dbb-8a39-9f10a966051e"/>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788"/>
        <w:gridCol w:w="4788"/>
      </w:tblGrid>
      <w:tr>
        <w:trPr/>
        <w:tc>
          <w:tcPr>
            <w:tcW w:type="pct" w:w="2500"/>
            <w:tcBorders/>
          </w:tcPr>
          <w:p>
            <w:pPr>
              <w:pBdr/>
              <w:spacing/>
              <w:jc w:val="left"/>
              <w:rPr/>
            </w:pPr>
            <w:r>
              <w:rPr/>
              <w:t xml:space="preserve"> Specs </w:t>
            </w:r>
          </w:p>
        </w:tc>
        <w:tc>
          <w:tcPr>
            <w:tcW w:type="pct" w:w="2500"/>
            <w:tcBorders/>
          </w:tcPr>
          <w:p>
            <w:pPr>
              <w:pBdr/>
              <w:spacing/>
              <w:jc w:val="center"/>
              <w:rPr/>
            </w:pPr>
            <w:r>
              <w:rPr/>
              <w:t xml:space="preserve">Alternative Specs </w:t>
            </w:r>
          </w:p>
        </w:tc>
      </w:tr>
      <w:tr>
        <w:trPr/>
        <w:tc>
          <w:tcPr>
            <w:tcW w:type="pct" w:w="2500"/>
            <w:tcBorders/>
          </w:tcPr>
          <w:p>
            <w:pPr>
              <w:pBdr/>
              <w:spacing/>
              <w:jc w:val="left"/>
              <w:rPr/>
            </w:pPr>
            <w:r>
              <w:rPr/>
              <w:t xml:space="preserve">62′ ROW </w:t>
            </w:r>
          </w:p>
        </w:tc>
        <w:tc>
          <w:tcPr>
            <w:tcW w:type="pct" w:w="2500"/>
            <w:tcBorders/>
          </w:tcPr>
          <w:p>
            <w:pPr>
              <w:pBdr/>
              <w:spacing/>
              <w:jc w:val="left"/>
              <w:rPr/>
            </w:pPr>
            <w:r>
              <w:rPr/>
              <w:t xml:space="preserve">50′ ROW* (sidewalks located in easements outside of the right-of-way) </w:t>
            </w:r>
          </w:p>
        </w:tc>
      </w:tr>
      <w:tr>
        <w:trPr/>
        <w:tc>
          <w:tcPr>
            <w:tcW w:type="pct" w:w="2500"/>
            <w:tcBorders/>
          </w:tcPr>
          <w:p>
            <w:pPr>
              <w:pBdr/>
              <w:spacing/>
              <w:jc w:val="left"/>
              <w:rPr/>
            </w:pPr>
            <w:r>
              <w:rPr/>
              <w:t xml:space="preserve">34′, 24′, 20′, or 18′ total pavement widths* </w:t>
            </w:r>
          </w:p>
        </w:tc>
        <w:tc>
          <w:tcPr>
            <w:tcW w:type="pct" w:w="2500"/>
            <w:tcBorders/>
          </w:tcPr>
          <w:p>
            <w:pPr>
              <w:pBdr/>
              <w:spacing/>
              <w:jc w:val="left"/>
              <w:rPr/>
            </w:pPr>
            <w:r>
              <w:rPr/>
              <w:t xml:space="preserve">34′, 24′, 20′, or 18′ total pavement widths* </w:t>
            </w:r>
          </w:p>
        </w:tc>
      </w:tr>
      <w:tr>
        <w:trPr/>
        <w:tc>
          <w:tcPr>
            <w:tcW w:type="pct" w:w="2500"/>
            <w:tcBorders/>
          </w:tcPr>
          <w:p>
            <w:pPr>
              <w:pBdr/>
              <w:spacing/>
              <w:jc w:val="left"/>
              <w:rPr/>
            </w:pPr>
            <w:r>
              <w:rPr/>
              <w:t xml:space="preserve">Two 5′ wide sidewalks </w:t>
            </w:r>
          </w:p>
        </w:tc>
        <w:tc>
          <w:tcPr>
            <w:tcW w:type="pct" w:w="2500"/>
            <w:tcBorders/>
          </w:tcPr>
          <w:p>
            <w:pPr>
              <w:pBdr/>
              <w:spacing/>
              <w:jc w:val="left"/>
              <w:rPr/>
            </w:pPr>
            <w:r>
              <w:rPr/>
              <w:t xml:space="preserve">Two 5′ wide sidewalk easements </w:t>
            </w:r>
          </w:p>
        </w:tc>
      </w:tr>
      <w:tr>
        <w:trPr/>
        <w:tc>
          <w:tcPr>
            <w:tcW w:type="pct" w:w="2500"/>
            <w:tcBorders/>
          </w:tcPr>
          <w:p>
            <w:pPr>
              <w:pBdr/>
              <w:spacing/>
              <w:jc w:val="left"/>
              <w:rPr/>
            </w:pPr>
            <w:r>
              <w:rPr/>
              <w:t xml:space="preserve">Two 7′ wide parkways** </w:t>
            </w:r>
          </w:p>
        </w:tc>
        <w:tc>
          <w:tcPr>
            <w:tcW w:type="pct" w:w="2500"/>
            <w:tcBorders/>
          </w:tcPr>
          <w:p>
            <w:pPr>
              <w:pBdr/>
              <w:spacing/>
              <w:jc w:val="left"/>
              <w:rPr/>
            </w:pPr>
            <w:r>
              <w:rPr/>
              <w:t xml:space="preserve">Two 6′ wide parkways** </w:t>
            </w:r>
          </w:p>
        </w:tc>
      </w:tr>
      <w:tr>
        <w:trPr/>
        <w:tc>
          <w:tcPr>
            <w:tcW w:type="pct" w:w="2500"/>
            <w:tcBorders/>
          </w:tcPr>
          <w:p>
            <w:pPr>
              <w:pBdr/>
              <w:spacing/>
              <w:jc w:val="left"/>
              <w:rPr/>
            </w:pPr>
            <w:r>
              <w:rPr/>
              <w:t xml:space="preserve">Two unmarked travel lanes </w:t>
            </w:r>
          </w:p>
        </w:tc>
        <w:tc>
          <w:tcPr>
            <w:tcW w:type="pct" w:w="2500"/>
            <w:tcBorders/>
          </w:tcPr>
          <w:p>
            <w:pPr>
              <w:pBdr/>
              <w:spacing/>
              <w:jc w:val="left"/>
              <w:rPr/>
            </w:pPr>
            <w:r>
              <w:rPr/>
              <w:t xml:space="preserve">Two unmarked travel lanes </w:t>
            </w:r>
          </w:p>
        </w:tc>
      </w:tr>
      <w:tr>
        <w:trPr/>
        <w:tc>
          <w:tcPr>
            <w:tcW w:type="pct" w:w="2500"/>
            <w:tcBorders/>
          </w:tcPr>
          <w:p>
            <w:pPr>
              <w:pBdr/>
              <w:spacing/>
              <w:jc w:val="left"/>
              <w:rPr/>
            </w:pPr>
            <w:r>
              <w:rPr/>
              <w:t xml:space="preserve">Parking lanes* </w:t>
            </w:r>
          </w:p>
        </w:tc>
        <w:tc>
          <w:tcPr>
            <w:tcW w:type="pct" w:w="2500"/>
            <w:tcBorders/>
          </w:tcPr>
          <w:p>
            <w:pPr>
              <w:pBdr/>
              <w:spacing/>
              <w:jc w:val="left"/>
              <w:rPr/>
            </w:pPr>
            <w:r>
              <w:rPr/>
              <w:t xml:space="preserve">Parking lanes* </w:t>
            </w:r>
          </w:p>
        </w:tc>
      </w:tr>
      <w:tr>
        <w:trPr/>
        <w:tc>
          <w:tcPr>
            <w:tcW w:type="pct" w:w="2500"/>
            <w:tcBorders/>
          </w:tcPr>
          <w:p>
            <w:pPr>
              <w:pBdr/>
              <w:spacing/>
              <w:jc w:val="left"/>
              <w:rPr/>
            </w:pPr>
            <w:r>
              <w:rPr/>
              <w:t xml:space="preserve">15′ minimum curb radii </w:t>
            </w:r>
          </w:p>
        </w:tc>
        <w:tc>
          <w:tcPr>
            <w:tcW w:type="pct" w:w="2500"/>
            <w:tcBorders/>
          </w:tcPr>
          <w:p>
            <w:pPr>
              <w:pBdr/>
              <w:spacing/>
              <w:jc w:val="left"/>
              <w:rPr/>
            </w:pPr>
            <w:r>
              <w:rPr/>
              <w:t xml:space="preserve">15′ minimum curb radii </w:t>
            </w:r>
          </w:p>
        </w:tc>
      </w:tr>
      <w:tr>
        <w:trPr/>
        <w:tc>
          <w:tcPr>
            <w:tcW w:type="pct" w:w="2500"/>
            <w:tcBorders/>
          </w:tcPr>
          <w:p>
            <w:pPr>
              <w:pBdr/>
              <w:spacing/>
              <w:jc w:val="left"/>
              <w:rPr/>
            </w:pPr>
            <w:r>
              <w:rPr/>
              <w:t xml:space="preserve">25 mph posted speed limit </w:t>
            </w:r>
          </w:p>
        </w:tc>
        <w:tc>
          <w:tcPr>
            <w:tcW w:type="pct" w:w="2500"/>
            <w:tcBorders/>
          </w:tcPr>
          <w:p>
            <w:pPr>
              <w:pBdr/>
              <w:spacing/>
              <w:jc w:val="left"/>
              <w:rPr/>
            </w:pPr>
            <w:r>
              <w:rPr/>
              <w:t xml:space="preserve">25 mph posted speed limit </w:t>
            </w:r>
          </w:p>
        </w:tc>
      </w:tr>
      <w:tr>
        <w:trPr/>
        <w:tc>
          <w:tcPr>
            <w:tcW w:type="pct" w:w="2500"/>
            <w:tcBorders/>
          </w:tcPr>
          <w:p>
            <w:pPr>
              <w:pBdr/>
              <w:spacing/>
              <w:jc w:val="left"/>
              <w:rPr/>
            </w:pPr>
            <w:r>
              <w:rPr/>
              <w:t xml:space="preserve">2′ standard curb and gutter both sides </w:t>
            </w:r>
          </w:p>
        </w:tc>
        <w:tc>
          <w:tcPr>
            <w:tcW w:type="pct" w:w="2500"/>
            <w:tcBorders/>
          </w:tcPr>
          <w:p>
            <w:pPr>
              <w:pBdr/>
              <w:spacing/>
              <w:jc w:val="left"/>
              <w:rPr/>
            </w:pPr>
            <w:r>
              <w:rPr/>
              <w:t xml:space="preserve">2′ standard curb and gutter both sides </w:t>
            </w:r>
          </w:p>
        </w:tc>
      </w:tr>
    </w:tbl>
    <w:p>
      <w:pPr>
        <w:pBdr/>
        <w:spacing/>
        <w:rPr/>
      </w:pPr>
    </w:p>
    <w:p>
      <w:pPr>
        <w:pStyle w:val="Block4"/>
        <w:pBdr/>
        <w:spacing/>
        <w:rPr/>
      </w:pPr>
      <w:r>
        <w:rPr>
          <w:rStyle w:val="Block4"/>
        </w:rPr>
        <w:t xml:space="preserve">*Pavement Width and Parking Lane Alternatives: </w:t>
      </w:r>
    </w:p>
    <w:p>
      <w:pPr>
        <w:pStyle w:val="Block4"/>
        <w:pBdr/>
        <w:spacing/>
        <w:rPr/>
      </w:pPr>
      <w:r>
        <w:rPr>
          <w:rStyle w:val="Block4"/>
        </w:rPr>
        <w:t xml:space="preserve">The parking lanes on AH Local Street #2 shall be unmarked unless striped parking is approved by the City Transportation Engineer. </w:t>
      </w:r>
    </w:p>
    <w:p>
      <w:pPr>
        <w:pStyle w:val="List4"/>
        <w:pBdr/>
        <w:spacing/>
        <w:rPr/>
      </w:pPr>
      <w:r>
        <w:rPr/>
        <w:t xml:space="preserve">a)</w:t>
      </w:r>
      <w:r>
        <w:rPr/>
        <w:tab/>
        <w:t xml:space="preserve"/>
      </w:r>
      <w:r>
        <w:rPr/>
        <w:t xml:space="preserve">As part of the 34′ total pavement width, two unmarked parking lanes are permitted. </w:t>
      </w:r>
    </w:p>
    <w:p>
      <w:pPr>
        <w:pStyle w:val="List4"/>
        <w:pBdr/>
        <w:spacing/>
        <w:rPr/>
      </w:pPr>
      <w:r>
        <w:rPr/>
        <w:t xml:space="preserve">b)</w:t>
      </w:r>
      <w:r>
        <w:rPr/>
        <w:tab/>
        <w:t xml:space="preserve"/>
      </w:r>
      <w:r>
        <w:rPr/>
        <w:t xml:space="preserve">As part of the 24′ total pavement width, two unmarked parking lanes are permitted. </w:t>
      </w:r>
    </w:p>
    <w:p>
      <w:pPr>
        <w:pStyle w:val="List4"/>
        <w:pBdr/>
        <w:spacing/>
        <w:rPr/>
      </w:pPr>
      <w:r>
        <w:rPr/>
        <w:t xml:space="preserve">c)</w:t>
      </w:r>
      <w:r>
        <w:rPr/>
        <w:tab/>
        <w:t xml:space="preserve"/>
      </w:r>
      <w:r>
        <w:rPr/>
        <w:t xml:space="preserve">As part of the 20′ total pavement width, one unmarked parking lane is permitted with "no parking" signs posted by the developer on one side of the street. </w:t>
      </w:r>
    </w:p>
    <w:p>
      <w:pPr>
        <w:pStyle w:val="List4"/>
        <w:pBdr/>
        <w:spacing/>
        <w:rPr/>
      </w:pPr>
      <w:r>
        <w:rPr/>
        <w:t xml:space="preserve">d)</w:t>
      </w:r>
      <w:r>
        <w:rPr/>
        <w:tab/>
        <w:t xml:space="preserve"/>
      </w:r>
      <w:r>
        <w:rPr/>
        <w:t xml:space="preserve">As part of the 18′ total pavement width, no on-street parking shall be permitted, and the developer shall be required to post "no-parking" signs on both sides of the street. </w:t>
      </w:r>
    </w:p>
    <w:p>
      <w:pPr>
        <w:pStyle w:val="Block4"/>
        <w:pBdr/>
        <w:spacing/>
        <w:rPr/>
      </w:pPr>
      <w:r>
        <w:rPr>
          <w:rStyle w:val="Block4"/>
        </w:rPr>
        <w:t xml:space="preserve">**The parkway widths may be reduced to 6′ to permit the 50′ alternative right-of-way width. The parkways can be further reduced to 3′ wide with the approval of the City Engineer and the City Transportation Engineer. </w:t>
      </w:r>
    </w:p>
    <w:p>
      <w:pPr>
        <w:pStyle w:val="ImageCenter"/>
        <w:pBdr/>
        <w:spacing/>
        <w:rPr/>
      </w:pPr>
      <w:r>
        <w:rPr/>
        <w:drawing>
          <wp:inline>
            <wp:extent cx="3810000" cy="1739900"/>
            <wp:docPr id="2" descr="67_023.png" name="Drawing 1"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a:srcRect/>
                    <a:stretch>
                      <a:fillRect/>
                    </a:stretch>
                  </pic:blipFill>
                  <pic:spPr bwMode="auto">
                    <a:xfrm>
                      <a:off x="0" y="0"/>
                      <a:ext cx="3810000" cy="1739900"/>
                    </a:xfrm>
                    <a:prstGeom prst="rect">
                      <a:avLst/>
                    </a:prstGeom>
                  </pic:spPr>
                </pic:pic>
              </a:graphicData>
            </a:graphic>
          </wp:inline>
        </w:drawing>
      </w:r>
    </w:p>
    <w:p>
      <w:pPr>
        <w:pStyle w:val="List2"/>
        <w:pBdr/>
        <w:spacing/>
        <w:rPr/>
      </w:pPr>
      <w:r>
        <w:rPr/>
        <w:t xml:space="preserve">(3)</w:t>
      </w:r>
      <w:r>
        <w:rPr/>
        <w:tab/>
        <w:t xml:space="preserve"/>
      </w:r>
      <w:r>
        <w:rPr>
          <w:i/>
        </w:rPr>
        <w:t xml:space="preserve">AH Cul-de-Sac:</w:t>
      </w:r>
      <w:r>
        <w:rPr/>
        <w:t xml:space="preserve"> Purpose is to provide access for service vehicles and access to lower density land uses and to allow flexibility in the design of AH cross sections. </w:t>
      </w:r>
    </w:p>
    <w:p>
      <w:pPr>
        <w:pStyle w:val="Block4"/>
        <w:pBdr/>
        <w:spacing/>
        <w:rPr/>
      </w:pPr>
      <w:r>
        <w:rPr>
          <w:i/>
        </w:rPr>
        <w:t xml:space="preserve">Land Use:</w:t>
      </w:r>
      <w:r>
        <w:rPr>
          <w:rStyle w:val="Block4"/>
        </w:rPr>
        <w:t xml:space="preserve"> Single family, two family. </w:t>
      </w:r>
    </w:p>
    <w:p>
      <w:pPr>
        <w:pBdr/>
        <w:spacing/>
        <w:rPr/>
      </w:pPr>
      <w:r>
        <w:rPr>
          <w:i/>
        </w:rPr>
        <w:t xml:space="preserve">Specs:</w:t>
      </w:r>
      <w:r>
        <w:rPr>
          <w:rStyle w:val="Block4"/>
        </w:rPr>
        <w:t xml:space="preserve"> (Both options align with Local Street #1): </w:t>
      </w:r>
    </w:p>
    <w:tbl>
      <w:tblPr>
        <w:tblStyle w:val="Table1_85f55ba8-8506-4c3e-a4ce-95943a18e10c"/>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788"/>
        <w:gridCol w:w="4788"/>
      </w:tblGrid>
      <w:tr>
        <w:trPr/>
        <w:tc>
          <w:tcPr>
            <w:tcW w:type="pct" w:w="2500"/>
            <w:tcBorders/>
          </w:tcPr>
          <w:p>
            <w:pPr>
              <w:pBdr/>
              <w:spacing/>
              <w:jc w:val="left"/>
              <w:rPr/>
            </w:pPr>
            <w:r>
              <w:rPr/>
              <w:t xml:space="preserve"> Option A* </w:t>
            </w:r>
          </w:p>
        </w:tc>
        <w:tc>
          <w:tcPr>
            <w:tcW w:type="pct" w:w="2500"/>
            <w:tcBorders/>
          </w:tcPr>
          <w:p>
            <w:pPr>
              <w:pBdr/>
              <w:spacing/>
              <w:jc w:val="center"/>
              <w:rPr/>
            </w:pPr>
            <w:r>
              <w:rPr/>
              <w:t xml:space="preserve">Option B* </w:t>
            </w:r>
          </w:p>
        </w:tc>
      </w:tr>
      <w:tr>
        <w:trPr/>
        <w:tc>
          <w:tcPr>
            <w:tcW w:type="pct" w:w="2500"/>
            <w:tcBorders/>
          </w:tcPr>
          <w:p>
            <w:pPr>
              <w:pBdr/>
              <w:spacing/>
              <w:jc w:val="left"/>
              <w:rPr/>
            </w:pPr>
            <w:r>
              <w:rPr/>
              <w:t xml:space="preserve">39′ radius ROW </w:t>
            </w:r>
          </w:p>
        </w:tc>
        <w:tc>
          <w:tcPr>
            <w:tcW w:type="pct" w:w="2500"/>
            <w:tcBorders/>
          </w:tcPr>
          <w:p>
            <w:pPr>
              <w:pBdr/>
              <w:spacing/>
              <w:jc w:val="left"/>
              <w:rPr/>
            </w:pPr>
            <w:r>
              <w:rPr/>
              <w:t xml:space="preserve">52′ radius ROW </w:t>
            </w:r>
          </w:p>
        </w:tc>
      </w:tr>
      <w:tr>
        <w:trPr/>
        <w:tc>
          <w:tcPr>
            <w:tcW w:type="pct" w:w="2500"/>
            <w:tcBorders/>
          </w:tcPr>
          <w:p>
            <w:pPr>
              <w:pBdr/>
              <w:spacing/>
              <w:jc w:val="left"/>
              <w:rPr/>
            </w:pPr>
          </w:p>
        </w:tc>
        <w:tc>
          <w:tcPr>
            <w:tcW w:type="pct" w:w="2500"/>
            <w:tcBorders/>
          </w:tcPr>
          <w:p>
            <w:pPr>
              <w:pBdr/>
              <w:spacing/>
              <w:jc w:val="left"/>
              <w:rPr/>
            </w:pPr>
            <w:r>
              <w:rPr/>
              <w:t xml:space="preserve"> 5′ sidewalk </w:t>
            </w:r>
          </w:p>
        </w:tc>
      </w:tr>
      <w:tr>
        <w:trPr/>
        <w:tc>
          <w:tcPr>
            <w:tcW w:type="pct" w:w="2500"/>
            <w:tcBorders/>
          </w:tcPr>
          <w:p>
            <w:pPr>
              <w:pBdr/>
              <w:spacing/>
              <w:jc w:val="left"/>
              <w:rPr/>
            </w:pPr>
          </w:p>
        </w:tc>
        <w:tc>
          <w:tcPr>
            <w:tcW w:type="pct" w:w="2500"/>
            <w:tcBorders/>
          </w:tcPr>
          <w:p>
            <w:pPr>
              <w:pBdr/>
              <w:spacing/>
              <w:jc w:val="left"/>
              <w:rPr/>
            </w:pPr>
            <w:r>
              <w:rPr/>
              <w:t xml:space="preserve"> 25′ radius center landscaped island with curbs or decorative pavers </w:t>
            </w:r>
          </w:p>
        </w:tc>
      </w:tr>
      <w:tr>
        <w:trPr/>
        <w:tc>
          <w:tcPr>
            <w:tcW w:type="pct" w:w="2500"/>
            <w:tcBorders/>
          </w:tcPr>
          <w:p>
            <w:pPr>
              <w:pBdr/>
              <w:spacing/>
              <w:jc w:val="left"/>
              <w:rPr/>
            </w:pPr>
            <w:r>
              <w:rPr/>
              <w:t xml:space="preserve">7′ wide parkway </w:t>
            </w:r>
          </w:p>
        </w:tc>
        <w:tc>
          <w:tcPr>
            <w:tcW w:type="pct" w:w="2500"/>
            <w:tcBorders/>
          </w:tcPr>
          <w:p>
            <w:pPr>
              <w:pBdr/>
              <w:spacing/>
              <w:jc w:val="left"/>
              <w:rPr/>
            </w:pPr>
            <w:r>
              <w:rPr/>
              <w:t xml:space="preserve">7′ wide parkway </w:t>
            </w:r>
          </w:p>
        </w:tc>
      </w:tr>
      <w:tr>
        <w:trPr/>
        <w:tc>
          <w:tcPr>
            <w:tcW w:type="pct" w:w="2500"/>
            <w:tcBorders/>
          </w:tcPr>
          <w:p>
            <w:pPr>
              <w:pBdr/>
              <w:spacing/>
              <w:jc w:val="left"/>
              <w:rPr/>
            </w:pPr>
            <w:r>
              <w:rPr/>
              <w:t xml:space="preserve">30′ radius paved area </w:t>
            </w:r>
          </w:p>
        </w:tc>
        <w:tc>
          <w:tcPr>
            <w:tcW w:type="pct" w:w="2500"/>
            <w:tcBorders/>
          </w:tcPr>
          <w:p>
            <w:pPr>
              <w:pBdr/>
              <w:spacing/>
              <w:jc w:val="left"/>
              <w:rPr/>
            </w:pPr>
            <w:r>
              <w:rPr/>
              <w:t xml:space="preserve">20′ paved travel lane </w:t>
            </w:r>
          </w:p>
        </w:tc>
      </w:tr>
      <w:tr>
        <w:trPr/>
        <w:tc>
          <w:tcPr>
            <w:tcW w:type="pct" w:w="2500"/>
            <w:tcBorders/>
          </w:tcPr>
          <w:p>
            <w:pPr>
              <w:pBdr/>
              <w:spacing/>
              <w:jc w:val="left"/>
              <w:rPr/>
            </w:pPr>
            <w:r>
              <w:rPr/>
              <w:t xml:space="preserve">15 mph posted speed limit </w:t>
            </w:r>
          </w:p>
        </w:tc>
        <w:tc>
          <w:tcPr>
            <w:tcW w:type="pct" w:w="2500"/>
            <w:tcBorders/>
          </w:tcPr>
          <w:p>
            <w:pPr>
              <w:pBdr/>
              <w:spacing/>
              <w:jc w:val="left"/>
              <w:rPr/>
            </w:pPr>
            <w:r>
              <w:rPr/>
              <w:t xml:space="preserve">15 mph posted speed limit </w:t>
            </w:r>
          </w:p>
        </w:tc>
      </w:tr>
      <w:tr>
        <w:trPr/>
        <w:tc>
          <w:tcPr>
            <w:tcW w:type="pct" w:w="2500"/>
            <w:tcBorders/>
          </w:tcPr>
          <w:p>
            <w:pPr>
              <w:pBdr/>
              <w:spacing/>
              <w:jc w:val="left"/>
              <w:rPr/>
            </w:pPr>
            <w:r>
              <w:rPr/>
              <w:t xml:space="preserve">2′ standard curb and gutter </w:t>
            </w:r>
          </w:p>
        </w:tc>
        <w:tc>
          <w:tcPr>
            <w:tcW w:type="pct" w:w="2500"/>
            <w:tcBorders/>
          </w:tcPr>
          <w:p>
            <w:pPr>
              <w:pBdr/>
              <w:spacing/>
              <w:jc w:val="left"/>
              <w:rPr/>
            </w:pPr>
            <w:r>
              <w:rPr/>
              <w:t xml:space="preserve">2′ standard curb and gutter </w:t>
            </w:r>
          </w:p>
        </w:tc>
      </w:tr>
    </w:tbl>
    <w:p>
      <w:pPr>
        <w:pBdr/>
        <w:spacing/>
        <w:rPr/>
      </w:pPr>
    </w:p>
    <w:p>
      <w:pPr>
        <w:pStyle w:val="Block4"/>
        <w:pBdr/>
        <w:spacing/>
        <w:rPr/>
      </w:pPr>
      <w:r>
        <w:rPr>
          <w:rStyle w:val="Block4"/>
        </w:rPr>
        <w:t xml:space="preserve">*Culs-de-sac shall be on street segments no longer than 700′. 7′ wide parkway is optional and can be reduced to 3′ wide with approval of the City Engineer and City Transportation Engineer. </w:t>
      </w:r>
    </w:p>
    <w:p>
      <w:pPr>
        <w:pStyle w:val="Block4"/>
        <w:pBdr/>
        <w:spacing/>
        <w:rPr/>
      </w:pPr>
      <w:r>
        <w:rPr>
          <w:rStyle w:val="Block4"/>
        </w:rPr>
        <w:t xml:space="preserve">No street parking shall be permitted on circle. "No parking" signs shall be installed by the Developer per the MUTCD. </w:t>
      </w:r>
    </w:p>
    <w:p>
      <w:pPr>
        <w:pStyle w:val="ImageCenter"/>
        <w:pBdr/>
        <w:spacing/>
        <w:rPr/>
      </w:pPr>
      <w:r>
        <w:rPr/>
        <w:drawing>
          <wp:inline>
            <wp:extent cx="3810000" cy="2667000"/>
            <wp:docPr id="3" descr="67_025.png" name="Drawing 2"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a:srcRect/>
                    <a:stretch>
                      <a:fillRect/>
                    </a:stretch>
                  </pic:blipFill>
                  <pic:spPr bwMode="auto">
                    <a:xfrm>
                      <a:off x="0" y="0"/>
                      <a:ext cx="3810000" cy="2667000"/>
                    </a:xfrm>
                    <a:prstGeom prst="rect">
                      <a:avLst/>
                    </a:prstGeom>
                  </pic:spPr>
                </pic:pic>
              </a:graphicData>
            </a:graphic>
          </wp:inline>
        </w:drawing>
      </w:r>
    </w:p>
    <w:p>
      <w:pPr>
        <w:pStyle w:val="HistoryNote"/>
        <w:pBdr/>
        <w:spacing/>
        <w:rPr/>
      </w:pPr>
      <w:r>
        <w:rPr>
          <w:rStyle w:val="HistoryNote"/>
        </w:rPr>
        <w:t xml:space="preserve">(Ord. of 2-22-1993, Doc. #26393; Ord. of 6-20-1994, Doc. #27637)</w:t>
      </w:r>
    </w:p>
    <w:p>
      <w:pPr>
        <w:pBdr/>
        <w:spacing w:before="0" w:after="0"/>
        <w:rPr/>
        <w:sectPr>
          <w:headerReference w:type="default" r:id="rId84"/>
          <w:footerReference w:type="default" r:id="rId8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67.607.</w:t>
      </w:r>
      <w:r>
        <w:rPr/>
        <w:t xml:space="preserve"> </w:t>
      </w:r>
      <w:r>
        <w:rPr/>
        <w:t xml:space="preserve">Performance Standards for Low and Very Low Income Housing.</w:t>
      </w:r>
    </w:p>
    <w:p>
      <w:pPr>
        <w:pStyle w:val="Paragraph1"/>
        <w:pBdr/>
        <w:spacing/>
        <w:rPr/>
      </w:pPr>
      <w:r>
        <w:rPr>
          <w:rStyle w:val="Paragraph1"/>
        </w:rPr>
        <w:t xml:space="preserve">The Alternative Housing Development is intended to allow an alternative development pattern throughout the City which encourages low and very low income housing by providing cost savings and flexible design options without compromising the quality of the development. The alternative development pattern shall incorporate positive design characteristics in the following ways: </w:t>
      </w:r>
    </w:p>
    <w:p>
      <w:pPr>
        <w:pStyle w:val="List2"/>
        <w:pBdr/>
        <w:spacing/>
        <w:rPr/>
      </w:pPr>
      <w:r>
        <w:rPr/>
        <w:t xml:space="preserve">(a)</w:t>
      </w:r>
      <w:r>
        <w:rPr/>
        <w:tab/>
        <w:t xml:space="preserve"/>
      </w:r>
      <w:r>
        <w:rPr/>
        <w:t xml:space="preserve">allow the combination of architectural styles, building forms, and building requirements within an Alternative Housing Development; </w:t>
      </w:r>
    </w:p>
    <w:p>
      <w:pPr>
        <w:pStyle w:val="List2"/>
        <w:pBdr/>
        <w:spacing/>
        <w:rPr/>
      </w:pPr>
      <w:r>
        <w:rPr/>
        <w:t xml:space="preserve">(b)</w:t>
      </w:r>
      <w:r>
        <w:rPr/>
        <w:tab/>
        <w:t xml:space="preserve"/>
      </w:r>
      <w:r>
        <w:rPr/>
        <w:t xml:space="preserve">promote innovative residential design and allow more efficient use of land thereby making available needed housing at a more affordable cost; </w:t>
      </w:r>
    </w:p>
    <w:p>
      <w:pPr>
        <w:pStyle w:val="List2"/>
        <w:pBdr/>
        <w:spacing/>
        <w:rPr/>
      </w:pPr>
      <w:r>
        <w:rPr/>
        <w:t xml:space="preserve">(c)</w:t>
      </w:r>
      <w:r>
        <w:rPr/>
        <w:tab/>
        <w:t xml:space="preserve"/>
      </w:r>
      <w:r>
        <w:rPr/>
        <w:t xml:space="preserve">encourage the utilization of the Crime Prevention Through Environmental Design (CPTED) standards to design for the safety of the neighborhood as a whole; </w:t>
      </w:r>
    </w:p>
    <w:p>
      <w:pPr>
        <w:pStyle w:val="List2"/>
        <w:pBdr/>
        <w:spacing/>
        <w:rPr/>
      </w:pPr>
      <w:r>
        <w:rPr/>
        <w:t xml:space="preserve">(d)</w:t>
      </w:r>
      <w:r>
        <w:rPr/>
        <w:tab/>
        <w:t xml:space="preserve"/>
      </w:r>
      <w:r>
        <w:rPr/>
        <w:t xml:space="preserve">incorporate the positive design features of the Traditional City including orientation towards the street and pedestrian access; </w:t>
      </w:r>
    </w:p>
    <w:p>
      <w:pPr>
        <w:pStyle w:val="List2"/>
        <w:pBdr/>
        <w:spacing/>
        <w:rPr/>
      </w:pPr>
      <w:r>
        <w:rPr/>
        <w:t xml:space="preserve">(e)</w:t>
      </w:r>
      <w:r>
        <w:rPr/>
        <w:tab/>
        <w:t xml:space="preserve"/>
      </w:r>
      <w:r>
        <w:rPr/>
        <w:t xml:space="preserve">provide for future additions to the home by incorporating a floor plan and other features such as a roofed porch that facilitate expansion of the existing unit; and </w:t>
      </w:r>
    </w:p>
    <w:p>
      <w:pPr>
        <w:pStyle w:val="List2"/>
        <w:pBdr/>
        <w:spacing/>
        <w:rPr/>
      </w:pPr>
      <w:r>
        <w:rPr/>
        <w:t xml:space="preserve">(f)</w:t>
      </w:r>
      <w:r>
        <w:rPr/>
        <w:tab/>
        <w:t xml:space="preserve"/>
      </w:r>
      <w:r>
        <w:rPr/>
        <w:t xml:space="preserve">encourage traffic calming devices where appropriate. </w:t>
      </w:r>
    </w:p>
    <w:p>
      <w:pPr>
        <w:pStyle w:val="HistoryNote"/>
        <w:pBdr/>
        <w:spacing/>
        <w:rPr/>
      </w:pPr>
      <w:r>
        <w:rPr>
          <w:rStyle w:val="HistoryNote"/>
        </w:rPr>
        <w:t xml:space="preserve">(Ord. of 2-22-1993, Doc. #26393)</w:t>
      </w:r>
    </w:p>
    <w:p>
      <w:pPr>
        <w:pBdr/>
        <w:spacing w:before="0" w:after="0"/>
        <w:rPr/>
        <w:sectPr>
          <w:headerReference w:type="default" r:id="rId86"/>
          <w:footerReference w:type="default" r:id="rId8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67.608.</w:t>
      </w:r>
      <w:r>
        <w:rPr/>
        <w:t xml:space="preserve"> </w:t>
      </w:r>
      <w:r>
        <w:rPr/>
        <w:t xml:space="preserve">Residential District Standards.</w:t>
      </w:r>
    </w:p>
    <w:p>
      <w:pPr>
        <w:pStyle w:val="Paragraph1"/>
        <w:pBdr/>
        <w:spacing/>
        <w:rPr/>
      </w:pPr>
      <w:r>
        <w:rPr>
          <w:rStyle w:val="Paragraph1"/>
        </w:rPr>
        <w:t xml:space="preserve">In evaluating a proposed Alternative Housing Development, the Municipal Planning Board and City Council shall consider the following criteria: </w:t>
      </w:r>
    </w:p>
    <w:p>
      <w:pPr>
        <w:pStyle w:val="List2"/>
        <w:pBdr/>
        <w:spacing/>
        <w:rPr/>
      </w:pPr>
      <w:r>
        <w:rPr/>
        <w:t xml:space="preserve">(a)</w:t>
      </w:r>
      <w:r>
        <w:rPr/>
        <w:tab/>
        <w:t xml:space="preserve"/>
      </w:r>
      <w:r>
        <w:rPr>
          <w:i/>
        </w:rPr>
        <w:t xml:space="preserve">Conflicts with other Code Sections.</w:t>
      </w:r>
      <w:r>
        <w:rPr/>
        <w:t xml:space="preserve"> All other Land Development Code regulations shall apply. If there is a conflict between the Alternative Housing standards and other sections of the Land Development Code, then the Alternative Housing standards shall apply. </w:t>
      </w:r>
    </w:p>
    <w:p>
      <w:pPr>
        <w:pStyle w:val="List2"/>
        <w:pBdr/>
        <w:spacing/>
        <w:rPr/>
      </w:pPr>
      <w:r>
        <w:rPr/>
        <w:t xml:space="preserve">(b)</w:t>
      </w:r>
      <w:r>
        <w:rPr/>
        <w:tab/>
        <w:t xml:space="preserve"/>
      </w:r>
      <w:r>
        <w:rPr>
          <w:i/>
        </w:rPr>
        <w:t xml:space="preserve">Orientation.</w:t>
      </w:r>
      <w:r>
        <w:rPr/>
        <w:t xml:space="preserve"> At least one public entrance of each principal structure shall be oriented towards the front lot line or street side lot line. The front exterior walls of such structures shall each contain a minimum of 15% transparent or translucent material on each story below the roof line. The side street exterior walls of such structures shall each contain a minimum of 10% transparent or translucent material on each story below the roof line. The transparent or translucent material requirement shall apply only to new construction or to those areas of a structure which are altered in the course of substantial enlargement or improvement. Garage facades shall not be included in the transparent/translucent calculation. </w:t>
      </w:r>
    </w:p>
    <w:p>
      <w:pPr>
        <w:pStyle w:val="List2"/>
        <w:pBdr/>
        <w:spacing/>
        <w:rPr/>
      </w:pPr>
      <w:r>
        <w:rPr/>
        <w:t xml:space="preserve">(c)</w:t>
      </w:r>
      <w:r>
        <w:rPr/>
        <w:tab/>
        <w:t xml:space="preserve"/>
      </w:r>
      <w:r>
        <w:rPr>
          <w:i/>
        </w:rPr>
        <w:t xml:space="preserve">Pedestrian Access.</w:t>
      </w:r>
      <w:r>
        <w:rPr/>
        <w:t xml:space="preserve"> Pedestrian access from the public sidewalk, street right of way or driveway to the front doorway of the residential principal structure shall be provided via an improved hard surface. A pedestrian access up to 75 square feet that is separate from the driveway shall not be calculated as impervious surface. </w:t>
      </w:r>
    </w:p>
    <w:p>
      <w:pPr>
        <w:pStyle w:val="List2"/>
        <w:pBdr/>
        <w:spacing/>
        <w:rPr/>
      </w:pPr>
      <w:r>
        <w:rPr/>
        <w:t xml:space="preserve">(d)</w:t>
      </w:r>
      <w:r>
        <w:rPr/>
        <w:tab/>
        <w:t xml:space="preserve"/>
      </w:r>
      <w:r>
        <w:rPr>
          <w:i/>
        </w:rPr>
        <w:t xml:space="preserve">Garages and Carports.</w:t>
      </w:r>
      <w:r>
        <w:rPr/>
        <w:t xml:space="preserve"> All garages or carports (whether attached to or detached from the principal structure) shall be set back from the front lot line a distance at least equal to that of the principal structure or required front yard setback, whichever is greater. </w:t>
      </w:r>
    </w:p>
    <w:p>
      <w:pPr>
        <w:pStyle w:val="List2"/>
        <w:pBdr/>
        <w:spacing/>
        <w:rPr/>
      </w:pPr>
      <w:r>
        <w:rPr/>
        <w:t xml:space="preserve">(e)</w:t>
      </w:r>
      <w:r>
        <w:rPr/>
        <w:tab/>
        <w:t xml:space="preserve"/>
      </w:r>
      <w:r>
        <w:rPr>
          <w:i/>
        </w:rPr>
        <w:t xml:space="preserve">Porches.</w:t>
      </w:r>
      <w:r>
        <w:rPr/>
        <w:t xml:space="preserve"> Each front entrance shall be designed to include an open front porch, a screened front porch, or a front stoop. </w:t>
      </w:r>
    </w:p>
    <w:p>
      <w:pPr>
        <w:pStyle w:val="List2"/>
        <w:pBdr/>
        <w:spacing/>
        <w:rPr/>
      </w:pPr>
      <w:r>
        <w:rPr/>
        <w:t xml:space="preserve">(f)</w:t>
      </w:r>
      <w:r>
        <w:rPr/>
        <w:tab/>
        <w:t xml:space="preserve"/>
      </w:r>
      <w:r>
        <w:rPr>
          <w:i/>
        </w:rPr>
        <w:t xml:space="preserve">Expansion.</w:t>
      </w:r>
      <w:r>
        <w:rPr/>
        <w:t xml:space="preserve"> Each certified affordable residential unit shall be designed for cost efficient expansion by providing for expansion in the rear, the addition of a second floor, or an additional unfinished room. This expansion area shall not include enclosure of the garage or carport as living space. </w:t>
      </w:r>
    </w:p>
    <w:p>
      <w:pPr>
        <w:pStyle w:val="List2"/>
        <w:pBdr/>
        <w:spacing/>
        <w:rPr/>
      </w:pPr>
      <w:r>
        <w:rPr/>
        <w:t xml:space="preserve">(g)</w:t>
      </w:r>
      <w:r>
        <w:rPr/>
        <w:tab/>
        <w:t xml:space="preserve"/>
      </w:r>
      <w:r>
        <w:rPr>
          <w:i/>
        </w:rPr>
        <w:t xml:space="preserve">Storage.</w:t>
      </w:r>
      <w:r>
        <w:rPr/>
        <w:t xml:space="preserve"> Each certified residential unit shall have storage space above the garage with a drop-down ladder, an outside storage area, or sufficient storage space within the house, to equal a minimum of 50 sq. ft. </w:t>
      </w:r>
    </w:p>
    <w:p>
      <w:pPr>
        <w:pStyle w:val="HistoryNote"/>
        <w:pBdr/>
        <w:spacing/>
        <w:rPr/>
      </w:pPr>
      <w:r>
        <w:rPr>
          <w:rStyle w:val="HistoryNote"/>
        </w:rPr>
        <w:t xml:space="preserve">(Ord. of 2-22-1993, Doc. #26393)</w:t>
      </w:r>
    </w:p>
    <w:p>
      <w:pPr>
        <w:pBdr/>
        <w:spacing w:before="0" w:after="0"/>
        <w:rPr/>
        <w:sectPr>
          <w:headerReference w:type="default" r:id="rId88"/>
          <w:footerReference w:type="default" r:id="rId8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67.609—67.699.</w:t>
      </w:r>
      <w:r>
        <w:rPr/>
        <w:t xml:space="preserve"> </w:t>
      </w:r>
      <w:r>
        <w:rPr/>
        <w:t xml:space="preserve">Reserved.</w:t>
      </w:r>
    </w:p>
    <w:p>
      <w:pPr>
        <w:pBdr/>
        <w:spacing w:before="0" w:after="0"/>
        <w:rPr/>
        <w:sectPr>
          <w:headerReference w:type="default" r:id="rId90"/>
          <w:footerReference w:type="default" r:id="rId91"/>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PART 7.</w:t>
      </w:r>
      <w:r>
        <w:rPr/>
        <w:t xml:space="preserve"> </w:t>
      </w:r>
      <w:r>
        <w:rPr/>
        <w:t xml:space="preserve">AFFORDABLE HOUSING TRUST FUND</w:t>
      </w:r>
    </w:p>
    <w:p>
      <w:pPr>
        <w:pBdr/>
        <w:spacing w:before="0" w:after="0"/>
        <w:rPr/>
        <w:sectPr>
          <w:headerReference w:type="default" r:id="rId92"/>
          <w:footerReference w:type="default" r:id="rId9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67.700.</w:t>
      </w:r>
      <w:r>
        <w:rPr/>
        <w:t xml:space="preserve"> </w:t>
      </w:r>
      <w:r>
        <w:rPr/>
        <w:t xml:space="preserve">Purpose and Establishment of the Affordable Housing Trust Fund.</w:t>
      </w:r>
    </w:p>
    <w:p>
      <w:pPr>
        <w:pStyle w:val="List1"/>
        <w:pBdr/>
        <w:spacing/>
        <w:rPr/>
      </w:pPr>
      <w:r>
        <w:rPr/>
        <w:t xml:space="preserve">(a)</w:t>
      </w:r>
      <w:r>
        <w:rPr/>
        <w:tab/>
        <w:t xml:space="preserve"/>
      </w:r>
      <w:r>
        <w:rPr/>
        <w:t xml:space="preserve">The Affordable Housing Trust Fund is established for the purpose of providing the financial resources and the leverage necessary to create and preserve affordable housing units in the City of Orlando. </w:t>
      </w:r>
    </w:p>
    <w:p>
      <w:pPr>
        <w:pStyle w:val="List1"/>
        <w:pBdr/>
        <w:spacing/>
        <w:rPr/>
      </w:pPr>
      <w:r>
        <w:rPr/>
        <w:t xml:space="preserve">(b)</w:t>
      </w:r>
      <w:r>
        <w:rPr/>
        <w:tab/>
        <w:t xml:space="preserve"/>
      </w:r>
      <w:r>
        <w:rPr/>
        <w:t xml:space="preserve">The amount of the City's annual contribution to the Affordable Housing Trust Fund shall be discretionary and determined annually as part of the City's annual budgeting process. The City may also make an initial or other supplemental contributions to the Affordable Housing Trust Fund at any point in the fiscal year as it deems appropriate. </w:t>
      </w:r>
    </w:p>
    <w:p>
      <w:pPr>
        <w:pStyle w:val="List1"/>
        <w:pBdr/>
        <w:spacing/>
        <w:rPr/>
      </w:pPr>
      <w:r>
        <w:rPr/>
        <w:t xml:space="preserve">(c)</w:t>
      </w:r>
      <w:r>
        <w:rPr/>
        <w:tab/>
        <w:t xml:space="preserve"/>
      </w:r>
      <w:r>
        <w:rPr/>
        <w:t xml:space="preserve">The City's Chief Financial Officer is hereby directed to establish and maintain a separate fund known as the Affordable Housing Trust Fund within the accounts of the City. </w:t>
      </w:r>
    </w:p>
    <w:p>
      <w:pPr>
        <w:pStyle w:val="List1"/>
        <w:pBdr/>
        <w:spacing/>
        <w:rPr/>
      </w:pPr>
      <w:r>
        <w:rPr/>
        <w:t xml:space="preserve">(d)</w:t>
      </w:r>
      <w:r>
        <w:rPr/>
        <w:tab/>
        <w:t xml:space="preserve"/>
      </w:r>
      <w:r>
        <w:rPr/>
        <w:t xml:space="preserve">The Affordable Housing Trust Fund shall be separately stated as an individual fund in the City's annual budget. </w:t>
      </w:r>
    </w:p>
    <w:p>
      <w:pPr>
        <w:pStyle w:val="List1"/>
        <w:pBdr/>
        <w:spacing/>
        <w:rPr/>
      </w:pPr>
      <w:r>
        <w:rPr/>
        <w:t xml:space="preserve">(e)</w:t>
      </w:r>
      <w:r>
        <w:rPr/>
        <w:tab/>
        <w:t xml:space="preserve"/>
      </w:r>
      <w:r>
        <w:rPr/>
        <w:t xml:space="preserve">The Affordable Housing Trust Fund shall be self-perpetuating from year-to-year unless, or until, specifically terminated by the City Council. </w:t>
      </w:r>
    </w:p>
    <w:p>
      <w:pPr>
        <w:pStyle w:val="List1"/>
        <w:pBdr/>
        <w:spacing/>
        <w:rPr/>
      </w:pPr>
      <w:r>
        <w:rPr/>
        <w:t xml:space="preserve">(f)</w:t>
      </w:r>
      <w:r>
        <w:rPr/>
        <w:tab/>
        <w:t xml:space="preserve"/>
      </w:r>
      <w:r>
        <w:rPr/>
        <w:t xml:space="preserve">The City Council may terminate the Affordable Housing Trust Fund by majority vote at any time, subject to any agreements entered into which obligate the use of existing funds. Any excess funds available after termination shall be considered to be general fund revenue. </w:t>
      </w:r>
    </w:p>
    <w:p>
      <w:pPr>
        <w:pStyle w:val="HistoryNote"/>
        <w:pBdr/>
        <w:spacing/>
        <w:rPr/>
      </w:pPr>
      <w:r>
        <w:rPr>
          <w:rStyle w:val="HistoryNote"/>
        </w:rPr>
        <w:t xml:space="preserve">(Ord. No. 2023-23, § 1, 9-11-2023)</w:t>
      </w:r>
    </w:p>
    <w:p>
      <w:pPr>
        <w:pBdr/>
        <w:spacing w:before="0" w:after="0"/>
        <w:rPr/>
        <w:sectPr>
          <w:headerReference w:type="default" r:id="rId94"/>
          <w:footerReference w:type="default" r:id="rId9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67.701.</w:t>
      </w:r>
      <w:r>
        <w:rPr/>
        <w:t xml:space="preserve"> </w:t>
      </w:r>
      <w:r>
        <w:rPr/>
        <w:t xml:space="preserve">Affordable Housing Trust Fund Administration.</w:t>
      </w:r>
    </w:p>
    <w:p>
      <w:pPr>
        <w:pStyle w:val="Paragraph1"/>
        <w:pBdr/>
        <w:spacing/>
        <w:rPr/>
      </w:pPr>
      <w:r>
        <w:rPr>
          <w:rStyle w:val="Paragraph1"/>
        </w:rPr>
        <w:t xml:space="preserve">The Affordable Housing Trust Fund shall be administered in accordance with the policies and procedures established in Section 193.1 or other applicable policy within the Policies and Procedures Manual for the City of Orlando, as may be amended from time to time. </w:t>
      </w:r>
    </w:p>
    <w:p>
      <w:pPr>
        <w:pStyle w:val="HistoryNote"/>
        <w:pBdr/>
        <w:spacing/>
        <w:rPr/>
      </w:pPr>
      <w:r>
        <w:rPr>
          <w:rStyle w:val="HistoryNote"/>
        </w:rPr>
        <w:t xml:space="preserve">(Ord. No. 2023-23, § 1, 9-11-2023, Doc. #2309111201)</w:t>
      </w:r>
    </w:p>
    <w:p>
      <w:pPr>
        <w:pBdr/>
        <w:spacing w:before="0" w:after="0"/>
        <w:rPr/>
        <w:sectPr>
          <w:headerReference w:type="default" r:id="rId96"/>
          <w:footerReference w:type="default" r:id="rId9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67.702.</w:t>
      </w:r>
      <w:r>
        <w:rPr/>
        <w:t xml:space="preserve"> </w:t>
      </w:r>
      <w:r>
        <w:rPr/>
        <w:t xml:space="preserve">Annual Budget Requirements.</w:t>
      </w:r>
    </w:p>
    <w:p>
      <w:pPr>
        <w:pStyle w:val="Paragraph1"/>
        <w:pBdr/>
        <w:spacing/>
        <w:rPr/>
      </w:pPr>
      <w:r>
        <w:rPr>
          <w:rStyle w:val="Paragraph1"/>
        </w:rPr>
        <w:t xml:space="preserve">In approving the City's annual budget, the City Council shall have the absolute discretion during its annual budgeting process to include an allocation of funds for any amount, or no amount at all, of general revenue funds for the Affordable Housing Trust Fund. </w:t>
      </w:r>
    </w:p>
    <w:p>
      <w:pPr>
        <w:pStyle w:val="HistoryNote"/>
        <w:pBdr/>
        <w:spacing/>
        <w:rPr/>
      </w:pPr>
      <w:r>
        <w:rPr>
          <w:rStyle w:val="HistoryNote"/>
        </w:rPr>
        <w:t xml:space="preserve">(Ord. No. 2023-23, § 1, 9-11-2023, Doc. #2309111201)</w:t>
      </w:r>
    </w:p>
    <w:p>
      <w:pPr>
        <w:pBdr/>
        <w:spacing w:before="0" w:after="0"/>
        <w:rPr/>
        <w:sectPr>
          <w:headerReference w:type="default" r:id="rId98"/>
          <w:footerReference w:type="default" r:id="rId9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67.703.</w:t>
      </w:r>
      <w:r>
        <w:rPr/>
        <w:t xml:space="preserve"> </w:t>
      </w:r>
      <w:r>
        <w:rPr/>
        <w:t xml:space="preserve">Allocation and Use of Funds.</w:t>
      </w:r>
    </w:p>
    <w:p>
      <w:pPr>
        <w:pStyle w:val="List1"/>
        <w:pBdr/>
        <w:spacing/>
        <w:rPr/>
      </w:pPr>
      <w:r>
        <w:rPr/>
        <w:t xml:space="preserve">(a)</w:t>
      </w:r>
      <w:r>
        <w:rPr/>
        <w:tab/>
        <w:t xml:space="preserve"/>
      </w:r>
      <w:r>
        <w:rPr/>
        <w:t xml:space="preserve">All monies allocated by the City Council for the Affordable Housing Trust Fund shall be deposited into it. Monies deposited into the Affordable Housing Trust Fund, including any interest earnings on such monies, shall be used solely for the purposes set forth in Section 193.1 or other applicable policy within the Policies and Procedures Manual for the City of Orlando, as may be amended from time to time. </w:t>
      </w:r>
    </w:p>
    <w:p>
      <w:pPr>
        <w:pStyle w:val="List1"/>
        <w:pBdr/>
        <w:spacing/>
        <w:rPr/>
      </w:pPr>
      <w:r>
        <w:rPr/>
        <w:t xml:space="preserve">(b)</w:t>
      </w:r>
      <w:r>
        <w:rPr/>
        <w:tab/>
        <w:t xml:space="preserve"/>
      </w:r>
      <w:r>
        <w:rPr/>
        <w:t xml:space="preserve">No monies in the Affordable Housing Trust Fund may be used for administrative expenses, except for staff costs set forth in Section 193.1 (10) of the Policies and Procedures Manual for the City of Orlando. </w:t>
      </w:r>
    </w:p>
    <w:p>
      <w:pPr>
        <w:pStyle w:val="List1"/>
        <w:pBdr/>
        <w:spacing/>
        <w:rPr/>
      </w:pPr>
      <w:r>
        <w:rPr/>
        <w:t xml:space="preserve">(c)</w:t>
      </w:r>
      <w:r>
        <w:rPr/>
        <w:tab/>
        <w:t xml:space="preserve"/>
      </w:r>
      <w:r>
        <w:rPr/>
        <w:t xml:space="preserve">Funds deposited in the Affordable Housing Trust Fund that are not expended by the close of any City fiscal year shall be carried forward to the next succeeding fiscal year. </w:t>
      </w:r>
    </w:p>
    <w:p>
      <w:pPr>
        <w:pStyle w:val="List1"/>
        <w:pBdr/>
        <w:spacing/>
        <w:rPr/>
      </w:pPr>
      <w:r>
        <w:rPr/>
        <w:t xml:space="preserve">(d)</w:t>
      </w:r>
      <w:r>
        <w:rPr/>
        <w:tab/>
        <w:t xml:space="preserve"/>
      </w:r>
      <w:r>
        <w:rPr/>
        <w:t xml:space="preserve">The books and records of the Affordable Housing Trust Fund shall be subject to Chapter 119, Florida Statutes, and shall also be subject to City and State audit as required by law. </w:t>
      </w:r>
    </w:p>
    <w:p>
      <w:pPr>
        <w:pStyle w:val="HistoryNote"/>
        <w:pBdr/>
        <w:spacing/>
        <w:rPr/>
      </w:pPr>
      <w:r>
        <w:rPr>
          <w:rStyle w:val="HistoryNote"/>
        </w:rPr>
        <w:t xml:space="preserve">(Ord. No. 2023-23, § 1, 9-11-2023, Doc. #2309111201)</w:t>
      </w:r>
    </w:p>
    <w:p>
      <w:pPr>
        <w:pBdr/>
        <w:spacing w:before="0" w:after="0"/>
        <w:rPr/>
        <w:sectPr>
          <w:headerReference w:type="default" r:id="rId100"/>
          <w:footerReference w:type="default" r:id="rId10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67.704—67.799.</w:t>
      </w:r>
      <w:r>
        <w:rPr/>
        <w:t xml:space="preserve"> </w:t>
      </w:r>
      <w:r>
        <w:rPr/>
        <w:t xml:space="preserve">Reserved.</w:t>
      </w:r>
    </w:p>
    <w:p>
      <w:pPr>
        <w:pBdr/>
        <w:spacing w:before="0" w:after="0"/>
        <w:rPr/>
      </w:pPr>
    </w:p>
    <w:sectPr>
      <w:headerReference w:type="default" r:id="rId102"/>
      <w:footerReference w:type="default" r:id="rId103"/>
      <w:type w:val="continuous"/>
      <w:pgSz w:w="12240" w:h="15840"/>
      <w:pgMar w:top="1440" w:right="1440" w:bottom="1440" w:left="1440" w:header="720" w:footer="720" w:gutter="0"/>
      <w:pgBorders/>
      <w:pgNumType w:fmt="decimal"/>
      <w:cols w:equalWidth="1" w:space="720"/>
    </w:sectPr>
  </w:body>
</w:document>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09:25:42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notes.xml><?xml version="1.0" encoding="utf-8"?>
<w:footnotes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footnote w:type="separator" w:id="-1">
    <w:p>
      <w:pPr>
        <w:spacing/>
        <w:rPr/>
      </w:pPr>
      <w:r>
        <w:rPr/>
        <w:separator/>
        <w:t xml:space="preserve"/>
      </w:r>
    </w:p>
  </w:footnote>
  <w:footnote w:type="continuationSeparator" w:id="0">
    <w:p>
      <w:pPr>
        <w:spacing/>
        <w:rPr/>
      </w:pPr>
      <w:r>
        <w:rPr/>
        <w:continuationSeparator/>
        <w:t xml:space="preserve"/>
      </w:r>
    </w:p>
  </w:footnote>
  <w:footnote w:id="1">
    <w:p>
      <w:pPr>
        <w:pStyle w:val="Hang1"/>
        <w:pBdr/>
        <w:spacing/>
        <w:rPr/>
      </w:pPr>
      <w:r>
        <w:rPr>
          <w:rStyle w:val="FootnoteReference"/>
        </w:rPr>
        <w:footnoteRef/>
      </w:r>
      <w:r>
        <w:rPr/>
        <w:t xml:space="preserve">Editor's note(s)—</w:t>
      </w:r>
      <w:r>
        <w:rPr>
          <w:rStyle w:val="Hang1"/>
        </w:rPr>
        <w:t xml:space="preserve">Ord. of 2-22-1993, Doc. #26393, amended the Code by adopting a new ch. 67, "Affordable Housing." </w:t>
      </w: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67 AFFORDABLE HOUSING</w:t>
    </w:r>
    <w:r>
      <w:rPr/>
      <w:br/>
    </w:r>
  </w:p>
  <w:p>
    <w:pPr>
      <w:pStyle w:val="HeaderCenter"/>
      <w:pBdr>
        <w:top w:val="single" w:color="auto" w:sz="4" w:space="0"/>
      </w:pBdr>
      <w:spacing/>
      <w:rPr/>
    </w:pP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67 - AFFORDABLE HOUSING</w:t>
    </w:r>
    <w:r>
      <w:rPr/>
      <w:br/>
    </w:r>
    <w:r>
      <w:rPr/>
      <w:t xml:space="preserve">PART 1. INTRODUCTION</w:t>
    </w:r>
    <w:r>
      <w:rPr/>
      <w:br/>
    </w:r>
  </w:p>
  <w:p>
    <w:pPr>
      <w:pStyle w:val="HeaderCenter"/>
      <w:pBdr>
        <w:top w:val="single" w:color="auto" w:sz="4" w:space="0"/>
      </w:pBdr>
      <w:spacing/>
      <w:rPr/>
    </w:pP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67 - AFFORDABLE HOUSING</w:t>
    </w:r>
    <w:r>
      <w:rPr/>
      <w:br/>
    </w:r>
    <w:r>
      <w:rPr/>
      <w:t xml:space="preserve">PART 2. LOCAL HOUSING ASSISTANCE TRUST FUND</w:t>
    </w:r>
    <w:r>
      <w:rPr/>
      <w:br/>
    </w:r>
  </w:p>
  <w:p>
    <w:pPr>
      <w:pStyle w:val="HeaderCenter"/>
      <w:pBdr>
        <w:top w:val="single" w:color="auto" w:sz="4" w:space="0"/>
      </w:pBdr>
      <w:spacing/>
      <w:rPr/>
    </w:pPr>
  </w:p>
</w:hdr>
</file>

<file path=word/header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67 - AFFORDABLE HOUSING</w:t>
    </w:r>
    <w:r>
      <w:rPr/>
      <w:br/>
    </w:r>
    <w:r>
      <w:rPr/>
      <w:t xml:space="preserve">PART 3. LOCAL HOUSING ASSISTANCE PROGRAM</w:t>
    </w:r>
    <w:r>
      <w:rPr/>
      <w:br/>
    </w:r>
  </w:p>
  <w:p>
    <w:pPr>
      <w:pStyle w:val="HeaderCenter"/>
      <w:pBdr>
        <w:top w:val="single" w:color="auto" w:sz="4" w:space="0"/>
      </w:pBdr>
      <w:spacing/>
      <w:rPr/>
    </w:pPr>
  </w:p>
</w:hdr>
</file>

<file path=word/header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67 - AFFORDABLE HOUSING</w:t>
    </w:r>
    <w:r>
      <w:rPr/>
      <w:br/>
    </w:r>
    <w:r>
      <w:rPr/>
      <w:t xml:space="preserve">PART 4. AFFORDABLE HOUSING ADVISORY COMMITTEE</w:t>
    </w:r>
    <w:r>
      <w:rPr/>
      <w:br/>
    </w:r>
  </w:p>
  <w:p>
    <w:pPr>
      <w:pStyle w:val="HeaderCenter"/>
      <w:pBdr>
        <w:top w:val="single" w:color="auto" w:sz="4" w:space="0"/>
      </w:pBdr>
      <w:spacing/>
      <w:rPr/>
    </w:pPr>
  </w:p>
</w:hdr>
</file>

<file path=word/header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67 - AFFORDABLE HOUSING</w:t>
    </w:r>
    <w:r>
      <w:rPr/>
      <w:br/>
    </w:r>
    <w:r>
      <w:rPr/>
      <w:t xml:space="preserve">PART 5. ANNUAL STATUS REPORT TO THE STATE OF FLORIDA</w:t>
    </w:r>
    <w:r>
      <w:rPr/>
      <w:br/>
    </w:r>
  </w:p>
  <w:p>
    <w:pPr>
      <w:pStyle w:val="HeaderCenter"/>
      <w:pBdr>
        <w:top w:val="single" w:color="auto" w:sz="4" w:space="0"/>
      </w:pBdr>
      <w:spacing/>
      <w:rPr/>
    </w:pPr>
  </w:p>
</w:hdr>
</file>

<file path=word/header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67 - AFFORDABLE HOUSING</w:t>
    </w:r>
    <w:r>
      <w:rPr/>
      <w:br/>
    </w:r>
    <w:r>
      <w:rPr/>
      <w:t xml:space="preserve">PART 6. ALTERNATIVE DEVELOPMENT STANDARDS FOR LOW AND VERY LOW INCOME HOUSING PROJECTS</w:t>
    </w:r>
    <w:r>
      <w:rPr/>
      <w:br/>
    </w:r>
  </w:p>
  <w:p>
    <w:pPr>
      <w:pStyle w:val="HeaderCenter"/>
      <w:pBdr>
        <w:top w:val="single" w:color="auto" w:sz="4" w:space="0"/>
      </w:pBdr>
      <w:spacing/>
      <w:rPr/>
    </w:pPr>
  </w:p>
</w:hdr>
</file>

<file path=word/header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67 - AFFORDABLE HOUSING</w:t>
    </w:r>
    <w:r>
      <w:rPr/>
      <w:br/>
    </w:r>
    <w:r>
      <w:rPr/>
      <w:t xml:space="preserve">PART 7. AFFORDABLE HOUSING TRUST FUND</w:t>
    </w:r>
    <w:r>
      <w:rPr/>
      <w:br/>
    </w:r>
  </w:p>
  <w:p>
    <w:pPr>
      <w:pStyle w:val="HeaderCenter"/>
      <w:pBdr>
        <w:top w:val="single" w:color="auto" w:sz="4" w:space="0"/>
      </w:pBdr>
      <w:spacing/>
      <w:rPr/>
    </w:pPr>
  </w:p>
</w:hdr>
</file>

<file path=word/header9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start w:val="1"/>
      <w:numFmt w:val="bullet"/>
      <w:pStyle w:val="ListBullet"/>
      <w:suff w:val="tab"/>
      <w:lvlText w:val=""/>
      <w:pPr>
        <w:pBdr/>
        <w:tabs>
          <w:tab w:val="num" w:pos="360"/>
        </w:tabs>
        <w:spacing/>
        <w:ind w:left="36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1">
    <w:nsid w:val="FFFFFF88"/>
    <w:lvl w:ilvl="0">
      <w:start w:val="1"/>
      <w:numFmt w:val="decimal"/>
      <w:pStyle w:val="ListNumber"/>
      <w:suff w:val="tab"/>
      <w:lvlText w:val="%1."/>
      <w:pPr>
        <w:pBdr/>
        <w:tabs>
          <w:tab w:val="num" w:pos="360"/>
        </w:tabs>
        <w:spacing/>
        <w:ind w:left="36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2">
    <w:nsid w:val="FFFFFF83"/>
    <w:lvl w:ilvl="0">
      <w:start w:val="1"/>
      <w:numFmt w:val="bullet"/>
      <w:pStyle w:val="ListBullet2"/>
      <w:suff w:val="tab"/>
      <w:lvlText w:val=""/>
      <w:pPr>
        <w:pBdr/>
        <w:tabs>
          <w:tab w:val="num" w:pos="720"/>
        </w:tabs>
        <w:spacing/>
        <w:ind w:left="72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3">
    <w:nsid w:val="FFFFFF82"/>
    <w:lvl w:ilvl="0">
      <w:start w:val="1"/>
      <w:numFmt w:val="bullet"/>
      <w:pStyle w:val="ListBullet3"/>
      <w:suff w:val="tab"/>
      <w:lvlText w:val=""/>
      <w:pPr>
        <w:pBdr/>
        <w:tabs>
          <w:tab w:val="num" w:pos="1080"/>
        </w:tabs>
        <w:spacing/>
        <w:ind w:left="108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4">
    <w:nsid w:val="FFFFFF81"/>
    <w:lvl w:ilvl="0">
      <w:start w:val="1"/>
      <w:numFmt w:val="bullet"/>
      <w:pStyle w:val="ListBullet4"/>
      <w:suff w:val="tab"/>
      <w:lvlText w:val=""/>
      <w:pPr>
        <w:pBdr/>
        <w:tabs>
          <w:tab w:val="num" w:pos="1440"/>
        </w:tabs>
        <w:spacing/>
        <w:ind w:left="144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5">
    <w:nsid w:val="FFFFFF80"/>
    <w:lvl w:ilvl="0">
      <w:start w:val="1"/>
      <w:numFmt w:val="bullet"/>
      <w:pStyle w:val="ListBullet5"/>
      <w:suff w:val="tab"/>
      <w:lvlText w:val=""/>
      <w:pPr>
        <w:pBdr/>
        <w:tabs>
          <w:tab w:val="num" w:pos="1800"/>
        </w:tabs>
        <w:spacing/>
        <w:ind w:left="180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6">
    <w:nsid w:val="FFFFFF7F"/>
    <w:lvl w:ilvl="0">
      <w:start w:val="1"/>
      <w:numFmt w:val="decimal"/>
      <w:pStyle w:val="ListNumber2"/>
      <w:suff w:val="tab"/>
      <w:lvlText w:val="%1."/>
      <w:pPr>
        <w:pBdr/>
        <w:tabs>
          <w:tab w:val="num" w:pos="720"/>
        </w:tabs>
        <w:spacing/>
        <w:ind w:left="72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7">
    <w:nsid w:val="FFFFFF7E"/>
    <w:lvl w:ilvl="0">
      <w:start w:val="1"/>
      <w:numFmt w:val="decimal"/>
      <w:pStyle w:val="ListNumber3"/>
      <w:suff w:val="tab"/>
      <w:lvlText w:val="%1."/>
      <w:pPr>
        <w:pBdr/>
        <w:tabs>
          <w:tab w:val="num" w:pos="1080"/>
        </w:tabs>
        <w:spacing/>
        <w:ind w:left="108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8">
    <w:nsid w:val="FFFFFF7D"/>
    <w:lvl w:ilvl="0">
      <w:start w:val="1"/>
      <w:numFmt w:val="decimal"/>
      <w:pStyle w:val="ListNumber4"/>
      <w:suff w:val="tab"/>
      <w:lvlText w:val="%1."/>
      <w:pPr>
        <w:pBdr/>
        <w:tabs>
          <w:tab w:val="num" w:pos="1440"/>
        </w:tabs>
        <w:spacing/>
        <w:ind w:left="144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9">
    <w:nsid w:val="15ABC09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
    <w:nsid w:val="262E33E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
    <w:nsid w:val="34F482F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
    <w:nsid w:val="5E21CB2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
    <w:nsid w:val="67A8E59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
    <w:nsid w:val="0684EDB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
    <w:nsid w:val="67EE309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
    <w:nsid w:val="7876895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
    <w:nsid w:val="5F6A6D1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
    <w:nsid w:val="5B9D4C0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
    <w:nsid w:val="6D90760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
    <w:nsid w:val="7212B5F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
    <w:nsid w:val="18898DD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
    <w:nsid w:val="76F1963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
    <w:nsid w:val="7C81304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
    <w:nsid w:val="4E41867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
    <w:nsid w:val="2C28713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
    <w:nsid w:val="7B02D8F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
    <w:nsid w:val="238C6EE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
    <w:nsid w:val="6A0A662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
    <w:nsid w:val="717EE94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
    <w:nsid w:val="0100367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
    <w:nsid w:val="3961C96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
    <w:nsid w:val="044800D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
    <w:nsid w:val="18E067C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
    <w:nsid w:val="6420DFD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
    <w:nsid w:val="1E374B4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
    <w:nsid w:val="1850908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
    <w:nsid w:val="6A475D2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
    <w:nsid w:val="04CAFF9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
    <w:nsid w:val="7F1908A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
    <w:nsid w:val="7A38553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
    <w:nsid w:val="3134B91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
    <w:nsid w:val="15AF835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
    <w:nsid w:val="6F85F32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
    <w:nsid w:val="227C24E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
    <w:nsid w:val="11A69E1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
    <w:nsid w:val="37D6EDD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
    <w:nsid w:val="4338FC9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8">
    <w:nsid w:val="11F060E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9">
    <w:nsid w:val="7A30250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0">
    <w:nsid w:val="00318EF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1">
    <w:nsid w:val="7BDB8A3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2">
    <w:nsid w:val="2292D70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3">
    <w:nsid w:val="2579104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4">
    <w:nsid w:val="121DA22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5">
    <w:nsid w:val="4D4A93A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6">
    <w:nsid w:val="5233535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7">
    <w:nsid w:val="6E44696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8">
    <w:nsid w:val="04C708C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pBdr/>
        <w:spacing w:before="40" w:after="120"/>
        <w:jc w:val="both"/>
      </w:pPr>
    </w:pPrDefault>
  </w:docDefaults>
  <w:style w:type="paragraph" w:styleId="Normal" w:default="1">
    <w:name w:val="Normal"/>
    <w:semiHidden/>
    <w:qFormat/>
    <w:pPr>
      <w:pBdr/>
      <w:spacing/>
      <w:jc w:val="left"/>
    </w:pPr>
    <w:rPr>
      <w:rFonts w:ascii="Calibri" w:hAnsi="Calibri"/>
      <w:sz w:val="20"/>
    </w:rPr>
  </w:style>
  <w:style w:type="paragraph" w:styleId="Heading1">
    <w:name w:val="Heading 1"/>
    <w:basedOn w:val="Normal"/>
    <w:next w:val="Block1"/>
    <w:link w:val="Heading1Char"/>
    <w:uiPriority w:val="1"/>
    <w:qFormat/>
    <w:pPr>
      <w:keepNext/>
      <w:keepLines/>
      <w:pBdr/>
      <w:spacing w:before="120" w:after="240" w:line="276" w:lineRule="auto"/>
      <w:jc w:val="center"/>
      <w:outlineLvl w:val="0"/>
    </w:pPr>
    <w:rPr>
      <w:b/>
      <w:sz w:val="32"/>
      <w:szCs w:val="32"/>
    </w:rPr>
  </w:style>
  <w:style w:type="paragraph" w:styleId="Heading2">
    <w:name w:val="Heading 2"/>
    <w:basedOn w:val="Heading1"/>
    <w:next w:val="Block1"/>
    <w:link w:val="Heading2Char"/>
    <w:uiPriority w:val="1"/>
    <w:qFormat/>
    <w:pPr>
      <w:pBdr/>
      <w:spacing/>
      <w:outlineLvl w:val="1"/>
    </w:pPr>
    <w:rPr>
      <w:rFonts w:eastAsia="Times New Roman"/>
      <w:sz w:val="28"/>
    </w:rPr>
  </w:style>
  <w:style w:type="paragraph" w:styleId="Hang1" w:customStyle="1">
    <w:name w:val="Hang 1"/>
    <w:basedOn w:val="Normal"/>
    <w:uiPriority w:val="8"/>
    <w:qFormat/>
    <w:pPr>
      <w:pBdr/>
      <w:spacing/>
      <w:ind w:left="475" w:hanging="475"/>
    </w:pPr>
    <w:rPr/>
  </w:style>
  <w:style w:type="character" w:styleId="DefaultParagraphFont" w:default="1">
    <w:name w:val="Default Paragraph Font"/>
    <w:uiPriority w:val="1"/>
    <w:semiHidden/>
    <w:unhideWhenUsed/>
    <w:rPr/>
  </w:style>
  <w:style w:type="character" w:styleId="FootnoteReference">
    <w:name w:val="Footnote Reference"/>
    <w:basedOn w:val="DefaultParagraphFont"/>
    <w:uiPriority w:val="99"/>
    <w:semiHidden/>
    <w:unhideWhenUsed/>
    <w:rPr>
      <w:vertAlign w:val="superscript"/>
    </w:rPr>
  </w:style>
  <w:style w:type="paragraph" w:styleId="HeaderCenter" w:customStyle="1">
    <w:name w:val="Header Center"/>
    <w:basedOn w:val="Normal"/>
    <w:qFormat/>
    <w:pPr>
      <w:pBdr/>
      <w:spacing w:after="40"/>
      <w:jc w:val="center"/>
    </w:pPr>
    <w:rPr/>
  </w:style>
  <w:style w:type="paragraph" w:styleId="FooterLeft" w:customStyle="1">
    <w:name w:val="Footer Left"/>
    <w:basedOn w:val="Normal"/>
    <w:qFormat/>
    <w:pPr>
      <w:pBdr/>
      <w:tabs>
        <w:tab w:val="right" w:pos="9360"/>
      </w:tabs>
      <w:spacing w:after="40"/>
    </w:pPr>
    <w:rPr>
      <w:sz w:val="18"/>
    </w:rPr>
  </w:style>
  <w:style w:type="paragraph" w:styleId="FooterCenter" w:customStyle="1">
    <w:name w:val="Footer Center"/>
    <w:basedOn w:val="FooterLeft"/>
    <w:qFormat/>
    <w:pPr>
      <w:pBdr/>
      <w:spacing/>
      <w:jc w:val="center"/>
    </w:pPr>
    <w:rPr/>
  </w:style>
  <w:style w:type="paragraph" w:styleId="Heading3">
    <w:name w:val="Heading 3"/>
    <w:basedOn w:val="Heading2"/>
    <w:next w:val="Block1"/>
    <w:link w:val="Heading3Char"/>
    <w:uiPriority w:val="1"/>
    <w:qFormat/>
    <w:pPr>
      <w:pBdr/>
      <w:spacing w:after="220"/>
      <w:outlineLvl w:val="2"/>
    </w:pPr>
    <w:rPr>
      <w:rFonts w:eastAsiaTheme="majorEastAsia" w:cstheme="majorBidi"/>
      <w:i/>
      <w:szCs w:val="24"/>
    </w:rPr>
  </w:style>
  <w:style w:type="paragraph" w:styleId="Heading4">
    <w:name w:val="Heading 4"/>
    <w:basedOn w:val="Heading3"/>
    <w:next w:val="Block1"/>
    <w:link w:val="Heading4Char"/>
    <w:uiPriority w:val="1"/>
    <w:qFormat/>
    <w:pPr>
      <w:pBdr/>
      <w:spacing w:after="200"/>
      <w:outlineLvl w:val="3"/>
    </w:pPr>
    <w:rPr>
      <w:b w:val="0"/>
      <w:iCs/>
    </w:rPr>
  </w:style>
  <w:style w:type="paragraph" w:styleId="Heading5">
    <w:name w:val="Heading 5"/>
    <w:basedOn w:val="Heading4"/>
    <w:next w:val="Block1"/>
    <w:link w:val="Heading5Char"/>
    <w:uiPriority w:val="1"/>
    <w:qFormat/>
    <w:pPr>
      <w:pBdr/>
      <w:spacing/>
      <w:outlineLvl w:val="4"/>
    </w:pPr>
    <w:rPr>
      <w:b/>
      <w:i w:val="0"/>
      <w:sz w:val="26"/>
    </w:rPr>
  </w:style>
  <w:style w:type="paragraph" w:styleId="Heading6">
    <w:name w:val="Heading 6"/>
    <w:basedOn w:val="Heading5"/>
    <w:next w:val="Block1"/>
    <w:link w:val="Heading6Char"/>
    <w:uiPriority w:val="1"/>
    <w:qFormat/>
    <w:pPr>
      <w:pBdr/>
      <w:spacing/>
      <w:outlineLvl w:val="5"/>
    </w:pPr>
    <w:rPr>
      <w:i/>
    </w:rPr>
  </w:style>
  <w:style w:type="paragraph" w:styleId="Heading7">
    <w:name w:val="Heading 7"/>
    <w:basedOn w:val="Heading6"/>
    <w:next w:val="Block1"/>
    <w:link w:val="Heading7Char"/>
    <w:uiPriority w:val="1"/>
    <w:pPr>
      <w:pBdr/>
      <w:spacing w:after="180"/>
      <w:outlineLvl w:val="6"/>
    </w:pPr>
    <w:rPr>
      <w:b w:val="0"/>
      <w:iCs w:val="0"/>
    </w:rPr>
  </w:style>
  <w:style w:type="paragraph" w:styleId="Heading8">
    <w:name w:val="Heading 8"/>
    <w:basedOn w:val="Heading7"/>
    <w:next w:val="Block1"/>
    <w:link w:val="Heading8Char"/>
    <w:uiPriority w:val="1"/>
    <w:pPr>
      <w:pBdr/>
      <w:spacing/>
      <w:outlineLvl w:val="7"/>
    </w:pPr>
    <w:rPr>
      <w:b/>
      <w:i w:val="0"/>
      <w:sz w:val="24"/>
      <w:szCs w:val="21"/>
    </w:rPr>
  </w:style>
  <w:style w:type="paragraph" w:styleId="Heading9">
    <w:name w:val="Heading 9"/>
    <w:basedOn w:val="Heading8"/>
    <w:next w:val="Block1"/>
    <w:link w:val="Heading9Char"/>
    <w:uiPriority w:val="1"/>
    <w:pPr>
      <w:pBdr/>
      <w:spacing w:after="160"/>
      <w:outlineLvl w:val="8"/>
    </w:pPr>
    <w:rPr>
      <w:i/>
      <w:iCs/>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character" w:styleId="Heading1Char" w:customStyle="1">
    <w:name w:val="Heading 1 Char"/>
    <w:basedOn w:val="DefaultParagraphFont"/>
    <w:link w:val="Heading1"/>
    <w:uiPriority w:val="1"/>
    <w:rPr>
      <w:rFonts w:ascii="Calibri" w:hAnsi="Calibri"/>
      <w:b/>
      <w:sz w:val="32"/>
      <w:szCs w:val="32"/>
    </w:rPr>
  </w:style>
  <w:style w:type="paragraph" w:styleId="NoSpacing" w:customStyle="1">
    <w:name w:val="No Spacing"/>
    <w:basedOn w:val="Normal"/>
    <w:uiPriority w:val="99"/>
    <w:unhideWhenUsed/>
    <w:pPr>
      <w:pBdr/>
      <w:spacing w:after="0"/>
      <w:contextualSpacing/>
    </w:pPr>
    <w:rPr/>
  </w:style>
  <w:style w:type="character" w:styleId="Heading2Char" w:customStyle="1">
    <w:name w:val="Heading 2 Char"/>
    <w:basedOn w:val="DefaultParagraphFont"/>
    <w:link w:val="Heading2"/>
    <w:uiPriority w:val="1"/>
    <w:rPr>
      <w:rFonts w:asciiTheme="majorHAnsi" w:hAnsiTheme="majorHAnsi" w:eastAsia="Times New Roman"/>
      <w:b/>
      <w:sz w:val="28"/>
      <w:szCs w:val="32"/>
    </w:rPr>
  </w:style>
  <w:style w:type="character" w:styleId="Heading3Char" w:customStyle="1">
    <w:name w:val="Heading 3 Char"/>
    <w:basedOn w:val="DefaultParagraphFont"/>
    <w:link w:val="Heading3"/>
    <w:uiPriority w:val="1"/>
    <w:rPr>
      <w:rFonts w:asciiTheme="majorHAnsi" w:hAnsiTheme="majorHAnsi" w:eastAsiaTheme="majorEastAsia" w:cstheme="majorBidi"/>
      <w:b/>
      <w:i/>
      <w:sz w:val="28"/>
    </w:rPr>
  </w:style>
  <w:style w:type="paragraph" w:styleId="ListParagraph">
    <w:name w:val="List Paragraph"/>
    <w:basedOn w:val="Normal"/>
    <w:uiPriority w:val="98"/>
    <w:semiHidden/>
    <w:qFormat/>
    <w:pPr>
      <w:pBdr/>
      <w:spacing/>
      <w:ind w:left="475" w:hanging="475"/>
    </w:pPr>
    <w:rPr/>
  </w:style>
  <w:style w:type="character" w:styleId="Heading4Char" w:customStyle="1">
    <w:name w:val="Heading 4 Char"/>
    <w:basedOn w:val="DefaultParagraphFont"/>
    <w:link w:val="Heading4"/>
    <w:uiPriority w:val="1"/>
    <w:rPr>
      <w:rFonts w:asciiTheme="majorHAnsi" w:hAnsiTheme="majorHAnsi" w:eastAsiaTheme="majorEastAsia" w:cstheme="majorBidi"/>
      <w:i/>
      <w:iCs/>
      <w:sz w:val="28"/>
    </w:rPr>
  </w:style>
  <w:style w:type="character" w:styleId="Heading5Char" w:customStyle="1">
    <w:name w:val="Heading 5 Char"/>
    <w:basedOn w:val="DefaultParagraphFont"/>
    <w:link w:val="Heading5"/>
    <w:uiPriority w:val="1"/>
    <w:rPr>
      <w:rFonts w:asciiTheme="majorHAnsi" w:hAnsiTheme="majorHAnsi" w:eastAsiaTheme="majorEastAsia" w:cstheme="majorBidi"/>
      <w:b/>
      <w:iCs/>
      <w:sz w:val="26"/>
    </w:rPr>
  </w:style>
  <w:style w:type="paragraph" w:styleId="Section" w:customStyle="1">
    <w:name w:val="Section"/>
    <w:basedOn w:val="Heading1"/>
    <w:next w:val="Block1"/>
    <w:uiPriority w:val="1"/>
    <w:qFormat/>
    <w:pPr>
      <w:pBdr/>
      <w:spacing w:before="180" w:after="120"/>
      <w:ind w:left="950" w:hanging="950"/>
      <w:jc w:val="left"/>
      <w:outlineLvl w:val="5"/>
    </w:pPr>
    <w:rPr>
      <w:sz w:val="24"/>
    </w:rPr>
  </w:style>
  <w:style w:type="paragraph" w:styleId="List1" w:customStyle="1">
    <w:name w:val="List 1"/>
    <w:basedOn w:val="Hang1"/>
    <w:uiPriority w:val="5"/>
    <w:qFormat/>
    <w:pPr>
      <w:pBdr/>
      <w:spacing/>
    </w:pPr>
    <w:rPr/>
  </w:style>
  <w:style w:type="paragraph" w:styleId="ListParagraph2" w:customStyle="1">
    <w:name w:val="List Paragraph 2"/>
    <w:basedOn w:val="List1"/>
    <w:uiPriority w:val="98"/>
    <w:semiHidden/>
    <w:unhideWhenUsed/>
    <w:qFormat/>
    <w:pPr>
      <w:pBdr/>
      <w:spacing/>
      <w:ind w:left="950"/>
    </w:pPr>
    <w:rPr/>
  </w:style>
  <w:style w:type="paragraph" w:styleId="Block1" w:customStyle="1">
    <w:name w:val="Block 1"/>
    <w:basedOn w:val="Normal"/>
    <w:uiPriority w:val="3"/>
    <w:qFormat/>
    <w:pPr>
      <w:pBdr/>
      <w:spacing/>
    </w:pPr>
    <w:rPr/>
  </w:style>
  <w:style w:type="paragraph" w:styleId="HistoryNote" w:customStyle="1">
    <w:name w:val="History Note"/>
    <w:basedOn w:val="Block1"/>
    <w:next w:val="Section"/>
    <w:uiPriority w:val="2"/>
    <w:qFormat/>
    <w:pPr>
      <w:pBdr/>
      <w:spacing w:after="240"/>
    </w:pPr>
    <w:rPr/>
  </w:style>
  <w:style w:type="paragraph" w:styleId="FootnoteText">
    <w:name w:val="Footnote Text"/>
    <w:basedOn w:val="Normal"/>
    <w:link w:val="FootnoteTextChar"/>
    <w:uiPriority w:val="99"/>
    <w:unhideWhenUsed/>
    <w:pPr>
      <w:pBdr/>
      <w:spacing w:after="0"/>
    </w:pPr>
    <w:rPr>
      <w:szCs w:val="20"/>
    </w:rPr>
  </w:style>
  <w:style w:type="character" w:styleId="FootnoteTextChar" w:customStyle="1">
    <w:name w:val="Footnote Text Char"/>
    <w:basedOn w:val="DefaultParagraphFont"/>
    <w:link w:val="FootnoteText"/>
    <w:uiPriority w:val="99"/>
    <w:rPr>
      <w:rFonts w:ascii="Calibri" w:hAnsi="Calibri"/>
      <w:sz w:val="20"/>
      <w:szCs w:val="20"/>
    </w:rPr>
  </w:style>
  <w:style w:type="paragraph" w:styleId="TOC1">
    <w:name w:val="TOC 1"/>
    <w:basedOn w:val="Normal"/>
    <w:next w:val="TOC2"/>
    <w:uiPriority w:val="69"/>
    <w:unhideWhenUsed/>
    <w:qFormat/>
    <w:pPr>
      <w:pBdr/>
      <w:tabs>
        <w:tab w:val="right" w:leader="dot" w:pos="9000"/>
      </w:tabs>
      <w:spacing w:after="60" w:line="276" w:lineRule="auto"/>
      <w:ind w:left="245" w:hanging="245"/>
    </w:pPr>
    <w:rPr/>
  </w:style>
  <w:style w:type="paragraph" w:styleId="TOC2">
    <w:name w:val="TOC 2"/>
    <w:basedOn w:val="TOC1"/>
    <w:next w:val="TOC3"/>
    <w:uiPriority w:val="69"/>
    <w:unhideWhenUsed/>
    <w:qFormat/>
    <w:pPr>
      <w:pBdr/>
      <w:spacing/>
      <w:ind w:left="720"/>
    </w:pPr>
    <w:rPr/>
  </w:style>
  <w:style w:type="paragraph" w:styleId="TOC3">
    <w:name w:val="TOC 3"/>
    <w:basedOn w:val="TOC2"/>
    <w:next w:val="TOC4"/>
    <w:uiPriority w:val="69"/>
    <w:unhideWhenUsed/>
    <w:qFormat/>
    <w:pPr>
      <w:pBdr/>
      <w:spacing/>
      <w:ind w:left="1195"/>
    </w:pPr>
    <w:rPr/>
  </w:style>
  <w:style w:type="paragraph" w:styleId="TOC4">
    <w:name w:val="TOC 4"/>
    <w:basedOn w:val="TOC3"/>
    <w:next w:val="TOC5"/>
    <w:uiPriority w:val="69"/>
    <w:unhideWhenUsed/>
    <w:qFormat/>
    <w:pPr>
      <w:pBdr/>
      <w:spacing/>
      <w:ind w:left="1685"/>
    </w:pPr>
    <w:rPr/>
  </w:style>
  <w:style w:type="paragraph" w:styleId="Index1">
    <w:name w:val="Index 1"/>
    <w:basedOn w:val="TOC1"/>
    <w:next w:val="Index2"/>
    <w:uiPriority w:val="99"/>
    <w:unhideWhenUsed/>
    <w:pPr>
      <w:pBdr/>
      <w:spacing/>
    </w:pPr>
    <w:rPr/>
  </w:style>
  <w:style w:type="paragraph" w:styleId="Index2">
    <w:name w:val="Index 2"/>
    <w:basedOn w:val="TOC2"/>
    <w:next w:val="Index3"/>
    <w:uiPriority w:val="99"/>
    <w:unhideWhenUsed/>
    <w:pPr>
      <w:pBdr/>
      <w:spacing/>
    </w:pPr>
    <w:rPr/>
  </w:style>
  <w:style w:type="paragraph" w:styleId="Index3">
    <w:name w:val="Index 3"/>
    <w:basedOn w:val="TOC3"/>
    <w:next w:val="Index4"/>
    <w:uiPriority w:val="99"/>
    <w:unhideWhenUsed/>
    <w:pPr>
      <w:pBdr/>
      <w:spacing/>
    </w:pPr>
    <w:rPr/>
  </w:style>
  <w:style w:type="paragraph" w:styleId="Index4">
    <w:name w:val="Index 4"/>
    <w:basedOn w:val="TOC4"/>
    <w:next w:val="Index6"/>
    <w:uiPriority w:val="99"/>
    <w:unhideWhenUsed/>
    <w:pPr>
      <w:pBdr/>
      <w:spacing/>
    </w:pPr>
    <w:rPr/>
  </w:style>
  <w:style w:type="paragraph" w:styleId="TOC5">
    <w:name w:val="TOC 5"/>
    <w:basedOn w:val="TOC4"/>
    <w:next w:val="TOC6"/>
    <w:uiPriority w:val="69"/>
    <w:unhideWhenUsed/>
    <w:qFormat/>
    <w:pPr>
      <w:pBdr/>
      <w:spacing/>
      <w:ind w:left="2160"/>
    </w:pPr>
    <w:rPr/>
  </w:style>
  <w:style w:type="paragraph" w:styleId="Index5">
    <w:name w:val="Index 5"/>
    <w:basedOn w:val="TOC5"/>
    <w:next w:val="Index6"/>
    <w:uiPriority w:val="99"/>
    <w:unhideWhenUsed/>
    <w:pPr>
      <w:pBdr/>
      <w:spacing/>
    </w:pPr>
    <w:rPr/>
  </w:style>
  <w:style w:type="paragraph" w:styleId="TOC6">
    <w:name w:val="TOC 6"/>
    <w:basedOn w:val="TOC5"/>
    <w:uiPriority w:val="69"/>
    <w:unhideWhenUsed/>
    <w:qFormat/>
    <w:pPr>
      <w:pBdr/>
      <w:spacing/>
      <w:ind w:left="2635"/>
    </w:pPr>
    <w:rPr/>
  </w:style>
  <w:style w:type="paragraph" w:styleId="Index6">
    <w:name w:val="Index 6"/>
    <w:basedOn w:val="TOC6"/>
    <w:next w:val="Index7"/>
    <w:uiPriority w:val="99"/>
    <w:unhideWhenUsed/>
    <w:pPr>
      <w:pBdr/>
      <w:spacing/>
    </w:pPr>
    <w:rPr/>
  </w:style>
  <w:style w:type="paragraph" w:styleId="TOC7">
    <w:name w:val="TOC 7"/>
    <w:basedOn w:val="TOC6"/>
    <w:next w:val="TOC8"/>
    <w:uiPriority w:val="69"/>
    <w:unhideWhenUsed/>
    <w:qFormat/>
    <w:pPr>
      <w:pBdr/>
      <w:spacing/>
      <w:ind w:left="3125"/>
    </w:pPr>
    <w:rPr/>
  </w:style>
  <w:style w:type="paragraph" w:styleId="Index7">
    <w:name w:val="Index 7"/>
    <w:basedOn w:val="TOC7"/>
    <w:next w:val="Index8"/>
    <w:uiPriority w:val="99"/>
    <w:unhideWhenUsed/>
    <w:pPr>
      <w:pBdr/>
      <w:spacing/>
    </w:pPr>
    <w:rPr/>
  </w:style>
  <w:style w:type="paragraph" w:styleId="TOC8">
    <w:name w:val="TOC 8"/>
    <w:basedOn w:val="TOC7"/>
    <w:next w:val="TOC9"/>
    <w:uiPriority w:val="69"/>
    <w:unhideWhenUsed/>
    <w:qFormat/>
    <w:pPr>
      <w:pBdr/>
      <w:spacing/>
      <w:ind w:left="3600"/>
    </w:pPr>
    <w:rPr/>
  </w:style>
  <w:style w:type="paragraph" w:styleId="Index8">
    <w:name w:val="Index 8"/>
    <w:basedOn w:val="TOC8"/>
    <w:next w:val="Index9"/>
    <w:uiPriority w:val="99"/>
    <w:unhideWhenUsed/>
    <w:pPr>
      <w:pBdr/>
      <w:spacing/>
    </w:pPr>
    <w:rPr/>
  </w:style>
  <w:style w:type="paragraph" w:styleId="TOC9">
    <w:name w:val="TOC 9"/>
    <w:basedOn w:val="TOC8"/>
    <w:uiPriority w:val="69"/>
    <w:unhideWhenUsed/>
    <w:qFormat/>
    <w:pPr>
      <w:pBdr/>
      <w:spacing/>
      <w:ind w:left="4075"/>
    </w:pPr>
    <w:rPr/>
  </w:style>
  <w:style w:type="paragraph" w:styleId="Index9">
    <w:name w:val="Index 9"/>
    <w:basedOn w:val="TOC9"/>
    <w:uiPriority w:val="99"/>
    <w:unhideWhenUsed/>
    <w:pPr>
      <w:pBdr/>
      <w:spacing/>
    </w:pPr>
    <w:rPr/>
  </w:style>
  <w:style w:type="paragraph" w:styleId="Paragraph1" w:customStyle="1">
    <w:name w:val="Paragraph 1"/>
    <w:basedOn w:val="Normal"/>
    <w:uiPriority w:val="7"/>
    <w:qFormat/>
    <w:pPr>
      <w:pBdr/>
      <w:spacing/>
      <w:ind w:firstLine="475"/>
    </w:pPr>
    <w:rPr/>
  </w:style>
  <w:style w:type="paragraph" w:styleId="NormalWeb">
    <w:name w:val="Normal (Web)"/>
    <w:basedOn w:val="Normal"/>
    <w:uiPriority w:val="99"/>
    <w:semiHidden/>
    <w:unhideWhenUsed/>
    <w:pPr>
      <w:pBdr/>
      <w:spacing w:before="100" w:beforeAutospacing="1" w:after="100" w:afterAutospacing="1"/>
    </w:pPr>
    <w:rPr>
      <w:rFonts w:ascii="Verdana" w:hAnsi="Verdana" w:eastAsia="Times New Roman" w:cs="Times New Roman"/>
    </w:rPr>
  </w:style>
  <w:style w:type="paragraph" w:styleId="Title">
    <w:name w:val="Title"/>
    <w:basedOn w:val="Normal"/>
    <w:next w:val="Normal"/>
    <w:link w:val="TitleChar"/>
    <w:unhideWhenUsed/>
    <w:pPr>
      <w:pBdr/>
      <w:spacing w:after="0" w:line="480" w:lineRule="auto"/>
      <w:contextualSpacing/>
      <w:jc w:val="center"/>
      <w:outlineLvl w:val="0"/>
    </w:pPr>
    <w:rPr>
      <w:rFonts w:eastAsiaTheme="majorEastAsia" w:cstheme="majorBidi"/>
      <w:b/>
      <w:spacing w:val="-10"/>
      <w:kern w:val="28"/>
      <w:sz w:val="52"/>
      <w:szCs w:val="56"/>
    </w:rPr>
  </w:style>
  <w:style w:type="character" w:styleId="TitleChar" w:customStyle="1">
    <w:name w:val="Title Char"/>
    <w:basedOn w:val="DefaultParagraphFont"/>
    <w:link w:val="Title"/>
    <w:rPr>
      <w:rFonts w:ascii="Calibri" w:hAnsi="Calibri" w:eastAsiaTheme="majorEastAsia" w:cstheme="majorBidi"/>
      <w:b/>
      <w:spacing w:val="-10"/>
      <w:kern w:val="28"/>
      <w:sz w:val="52"/>
      <w:szCs w:val="56"/>
    </w:rPr>
  </w:style>
  <w:style w:type="paragraph" w:styleId="ReferenceNote" w:customStyle="1">
    <w:name w:val="Reference Note"/>
    <w:basedOn w:val="Block1"/>
    <w:next w:val="Block1"/>
    <w:uiPriority w:val="2"/>
    <w:qFormat/>
    <w:pPr>
      <w:pBdr/>
      <w:spacing/>
    </w:pPr>
    <w:rPr/>
  </w:style>
  <w:style w:type="paragraph" w:styleId="List2">
    <w:name w:val="List 2"/>
    <w:basedOn w:val="List1"/>
    <w:uiPriority w:val="5"/>
    <w:qFormat/>
    <w:pPr>
      <w:pBdr/>
      <w:spacing/>
      <w:ind w:left="950"/>
    </w:pPr>
    <w:rPr/>
  </w:style>
  <w:style w:type="paragraph" w:styleId="Block2" w:customStyle="1">
    <w:name w:val="Block 2"/>
    <w:basedOn w:val="Block1"/>
    <w:uiPriority w:val="3"/>
    <w:unhideWhenUsed/>
    <w:qFormat/>
    <w:pPr>
      <w:pBdr/>
      <w:spacing/>
      <w:ind w:left="475"/>
    </w:pPr>
    <w:rPr/>
  </w:style>
  <w:style w:type="paragraph" w:styleId="Block3" w:customStyle="1">
    <w:name w:val="Block 3"/>
    <w:basedOn w:val="Block2"/>
    <w:uiPriority w:val="3"/>
    <w:unhideWhenUsed/>
    <w:qFormat/>
    <w:pPr>
      <w:pBdr/>
      <w:spacing/>
      <w:ind w:left="950"/>
    </w:pPr>
    <w:rPr/>
  </w:style>
  <w:style w:type="paragraph" w:styleId="Block4" w:customStyle="1">
    <w:name w:val="Block 4"/>
    <w:basedOn w:val="Block3"/>
    <w:uiPriority w:val="3"/>
    <w:unhideWhenUsed/>
    <w:qFormat/>
    <w:pPr>
      <w:pBdr/>
      <w:spacing/>
      <w:ind w:left="1440"/>
    </w:pPr>
    <w:rPr/>
  </w:style>
  <w:style w:type="paragraph" w:styleId="Block5" w:customStyle="1">
    <w:name w:val="Block 5"/>
    <w:basedOn w:val="Block4"/>
    <w:uiPriority w:val="3"/>
    <w:unhideWhenUsed/>
    <w:qFormat/>
    <w:pPr>
      <w:pBdr/>
      <w:spacing/>
      <w:ind w:left="1915"/>
    </w:pPr>
    <w:rPr/>
  </w:style>
  <w:style w:type="paragraph" w:styleId="Block6" w:customStyle="1">
    <w:name w:val="Block 6"/>
    <w:basedOn w:val="Block5"/>
    <w:uiPriority w:val="3"/>
    <w:unhideWhenUsed/>
    <w:pPr>
      <w:pBdr/>
      <w:spacing/>
      <w:ind w:left="2390"/>
    </w:pPr>
    <w:rPr/>
  </w:style>
  <w:style w:type="paragraph" w:styleId="Block7" w:customStyle="1">
    <w:name w:val="Block 7"/>
    <w:basedOn w:val="Block6"/>
    <w:uiPriority w:val="3"/>
    <w:unhideWhenUsed/>
    <w:pPr>
      <w:pBdr/>
      <w:spacing/>
      <w:ind w:left="2880"/>
    </w:pPr>
    <w:rPr/>
  </w:style>
  <w:style w:type="paragraph" w:styleId="Block8" w:customStyle="1">
    <w:name w:val="Block 8"/>
    <w:basedOn w:val="Block7"/>
    <w:uiPriority w:val="3"/>
    <w:unhideWhenUsed/>
    <w:pPr>
      <w:pBdr/>
      <w:spacing/>
      <w:ind w:left="3355"/>
    </w:pPr>
    <w:rPr/>
  </w:style>
  <w:style w:type="paragraph" w:styleId="Block9" w:customStyle="1">
    <w:name w:val="Block 9"/>
    <w:basedOn w:val="Block8"/>
    <w:uiPriority w:val="3"/>
    <w:unhideWhenUsed/>
    <w:pPr>
      <w:pBdr/>
      <w:spacing/>
      <w:ind w:left="3830"/>
    </w:pPr>
    <w:rPr/>
  </w:style>
  <w:style w:type="paragraph" w:styleId="List3">
    <w:name w:val="List 3"/>
    <w:basedOn w:val="List2"/>
    <w:uiPriority w:val="5"/>
    <w:unhideWhenUsed/>
    <w:qFormat/>
    <w:pPr>
      <w:pBdr/>
      <w:spacing/>
      <w:ind w:left="1425"/>
    </w:pPr>
    <w:rPr/>
  </w:style>
  <w:style w:type="paragraph" w:styleId="List4">
    <w:name w:val="List 4"/>
    <w:basedOn w:val="List3"/>
    <w:uiPriority w:val="5"/>
    <w:unhideWhenUsed/>
    <w:qFormat/>
    <w:pPr>
      <w:pBdr/>
      <w:spacing/>
      <w:ind w:left="1915"/>
    </w:pPr>
    <w:rPr/>
  </w:style>
  <w:style w:type="paragraph" w:styleId="List5">
    <w:name w:val="List 5"/>
    <w:basedOn w:val="List4"/>
    <w:uiPriority w:val="5"/>
    <w:unhideWhenUsed/>
    <w:qFormat/>
    <w:pPr>
      <w:pBdr/>
      <w:spacing/>
      <w:ind w:left="2865"/>
    </w:pPr>
    <w:rPr/>
  </w:style>
  <w:style w:type="paragraph" w:styleId="List6" w:customStyle="1">
    <w:name w:val="List 6"/>
    <w:basedOn w:val="List5"/>
    <w:uiPriority w:val="5"/>
    <w:unhideWhenUsed/>
    <w:pPr>
      <w:pBdr/>
      <w:spacing/>
      <w:ind w:left="3355"/>
    </w:pPr>
    <w:rPr/>
  </w:style>
  <w:style w:type="paragraph" w:styleId="List7" w:customStyle="1">
    <w:name w:val="List 7"/>
    <w:basedOn w:val="List6"/>
    <w:uiPriority w:val="5"/>
    <w:unhideWhenUsed/>
    <w:pPr>
      <w:pBdr/>
      <w:spacing/>
      <w:ind w:left="3830"/>
    </w:pPr>
    <w:rPr/>
  </w:style>
  <w:style w:type="paragraph" w:styleId="List8" w:customStyle="1">
    <w:name w:val="List 8"/>
    <w:basedOn w:val="List7"/>
    <w:uiPriority w:val="5"/>
    <w:unhideWhenUsed/>
    <w:pPr>
      <w:pBdr/>
      <w:spacing/>
      <w:ind w:left="4305"/>
    </w:pPr>
    <w:rPr/>
  </w:style>
  <w:style w:type="paragraph" w:styleId="List9" w:customStyle="1">
    <w:name w:val="List 9"/>
    <w:basedOn w:val="List8"/>
    <w:uiPriority w:val="5"/>
    <w:unhideWhenUsed/>
    <w:pPr>
      <w:pBdr/>
      <w:spacing/>
      <w:ind w:left="4795"/>
    </w:pPr>
    <w:rPr/>
  </w:style>
  <w:style w:type="paragraph" w:styleId="Hang2" w:customStyle="1">
    <w:name w:val="Hang 2"/>
    <w:basedOn w:val="Hang1"/>
    <w:uiPriority w:val="8"/>
    <w:unhideWhenUsed/>
    <w:qFormat/>
    <w:pPr>
      <w:pBdr/>
      <w:spacing/>
      <w:ind w:left="950"/>
    </w:pPr>
    <w:rPr/>
  </w:style>
  <w:style w:type="paragraph" w:styleId="Hang3" w:customStyle="1">
    <w:name w:val="Hang 3"/>
    <w:basedOn w:val="Hang2"/>
    <w:uiPriority w:val="8"/>
    <w:unhideWhenUsed/>
    <w:qFormat/>
    <w:pPr>
      <w:pBdr/>
      <w:spacing/>
      <w:ind w:left="1425"/>
    </w:pPr>
    <w:rPr/>
  </w:style>
  <w:style w:type="paragraph" w:styleId="Hang4" w:customStyle="1">
    <w:name w:val="Hang 4"/>
    <w:basedOn w:val="Hang3"/>
    <w:uiPriority w:val="8"/>
    <w:unhideWhenUsed/>
    <w:qFormat/>
    <w:pPr>
      <w:pBdr/>
      <w:spacing/>
      <w:ind w:left="1915"/>
    </w:pPr>
    <w:rPr/>
  </w:style>
  <w:style w:type="paragraph" w:styleId="Hang5" w:customStyle="1">
    <w:name w:val="Hang 5"/>
    <w:basedOn w:val="Hang4"/>
    <w:uiPriority w:val="8"/>
    <w:unhideWhenUsed/>
    <w:qFormat/>
    <w:pPr>
      <w:pBdr/>
      <w:spacing/>
      <w:ind w:left="2390"/>
    </w:pPr>
    <w:rPr/>
  </w:style>
  <w:style w:type="paragraph" w:styleId="Hang6" w:customStyle="1">
    <w:name w:val="Hang 6"/>
    <w:basedOn w:val="Hang5"/>
    <w:uiPriority w:val="8"/>
    <w:unhideWhenUsed/>
    <w:pPr>
      <w:pBdr/>
      <w:spacing/>
      <w:ind w:left="2865"/>
    </w:pPr>
    <w:rPr/>
  </w:style>
  <w:style w:type="paragraph" w:styleId="Hang7" w:customStyle="1">
    <w:name w:val="Hang 7"/>
    <w:basedOn w:val="Hang6"/>
    <w:uiPriority w:val="8"/>
    <w:unhideWhenUsed/>
    <w:pPr>
      <w:pBdr/>
      <w:spacing/>
      <w:ind w:left="3355"/>
    </w:pPr>
    <w:rPr/>
  </w:style>
  <w:style w:type="paragraph" w:styleId="Hang8" w:customStyle="1">
    <w:name w:val="Hang 8"/>
    <w:basedOn w:val="Hang7"/>
    <w:uiPriority w:val="8"/>
    <w:unhideWhenUsed/>
    <w:pPr>
      <w:pBdr/>
      <w:spacing/>
      <w:ind w:left="3830"/>
    </w:pPr>
    <w:rPr/>
  </w:style>
  <w:style w:type="paragraph" w:styleId="Hang9" w:customStyle="1">
    <w:name w:val="Hang 9"/>
    <w:basedOn w:val="Hang8"/>
    <w:uiPriority w:val="8"/>
    <w:unhideWhenUsed/>
    <w:pPr>
      <w:pBdr/>
      <w:spacing/>
      <w:ind w:left="4305"/>
    </w:pPr>
    <w:rPr/>
  </w:style>
  <w:style w:type="paragraph" w:styleId="Paragraph2" w:customStyle="1">
    <w:name w:val="Paragraph 2"/>
    <w:basedOn w:val="Paragraph1"/>
    <w:uiPriority w:val="7"/>
    <w:unhideWhenUsed/>
    <w:qFormat/>
    <w:pPr>
      <w:pBdr/>
      <w:spacing/>
      <w:ind w:left="475"/>
    </w:pPr>
    <w:rPr/>
  </w:style>
  <w:style w:type="paragraph" w:styleId="Paragraph3" w:customStyle="1">
    <w:name w:val="Paragraph 3"/>
    <w:basedOn w:val="Paragraph2"/>
    <w:uiPriority w:val="7"/>
    <w:unhideWhenUsed/>
    <w:qFormat/>
    <w:pPr>
      <w:pBdr/>
      <w:spacing/>
      <w:ind w:left="950"/>
    </w:pPr>
    <w:rPr/>
  </w:style>
  <w:style w:type="paragraph" w:styleId="Paragraph4" w:customStyle="1">
    <w:name w:val="Paragraph 4"/>
    <w:basedOn w:val="Paragraph3"/>
    <w:uiPriority w:val="7"/>
    <w:unhideWhenUsed/>
    <w:qFormat/>
    <w:pPr>
      <w:pBdr/>
      <w:spacing/>
      <w:ind w:left="1440"/>
    </w:pPr>
    <w:rPr/>
  </w:style>
  <w:style w:type="paragraph" w:styleId="Paragraph5" w:customStyle="1">
    <w:name w:val="Paragraph 5"/>
    <w:basedOn w:val="Paragraph4"/>
    <w:uiPriority w:val="7"/>
    <w:unhideWhenUsed/>
    <w:qFormat/>
    <w:pPr>
      <w:pBdr/>
      <w:spacing/>
      <w:ind w:left="1915"/>
    </w:pPr>
    <w:rPr/>
  </w:style>
  <w:style w:type="paragraph" w:styleId="Paragraph6" w:customStyle="1">
    <w:name w:val="Paragraph 6"/>
    <w:basedOn w:val="Paragraph5"/>
    <w:uiPriority w:val="7"/>
    <w:unhideWhenUsed/>
    <w:pPr>
      <w:pBdr/>
      <w:spacing/>
      <w:ind w:left="2880"/>
    </w:pPr>
    <w:rPr/>
  </w:style>
  <w:style w:type="paragraph" w:styleId="Paragraph7" w:customStyle="1">
    <w:name w:val="Paragraph 7"/>
    <w:basedOn w:val="Paragraph6"/>
    <w:uiPriority w:val="7"/>
    <w:unhideWhenUsed/>
    <w:pPr>
      <w:pBdr/>
      <w:spacing/>
      <w:ind w:left="3355"/>
    </w:pPr>
    <w:rPr/>
  </w:style>
  <w:style w:type="paragraph" w:styleId="Paragraph8" w:customStyle="1">
    <w:name w:val="Paragraph 8"/>
    <w:basedOn w:val="Paragraph7"/>
    <w:uiPriority w:val="7"/>
    <w:unhideWhenUsed/>
    <w:pPr>
      <w:pBdr/>
      <w:spacing/>
      <w:ind w:left="3830"/>
    </w:pPr>
    <w:rPr/>
  </w:style>
  <w:style w:type="paragraph" w:styleId="Paragraph9" w:customStyle="1">
    <w:name w:val="Paragraph 9"/>
    <w:basedOn w:val="Paragraph8"/>
    <w:uiPriority w:val="7"/>
    <w:unhideWhenUsed/>
    <w:pPr>
      <w:pBdr/>
      <w:spacing/>
      <w:ind w:left="4320"/>
    </w:pPr>
    <w:rPr/>
  </w:style>
  <w:style w:type="character" w:styleId="Heading6Char" w:customStyle="1">
    <w:name w:val="Heading 6 Char"/>
    <w:basedOn w:val="DefaultParagraphFont"/>
    <w:link w:val="Heading6"/>
    <w:uiPriority w:val="1"/>
    <w:rPr>
      <w:rFonts w:asciiTheme="majorHAnsi" w:hAnsiTheme="majorHAnsi" w:eastAsiaTheme="majorEastAsia" w:cstheme="majorBidi"/>
      <w:b/>
      <w:i/>
      <w:iCs/>
      <w:sz w:val="26"/>
    </w:rPr>
  </w:style>
  <w:style w:type="character" w:styleId="Heading8Char" w:customStyle="1">
    <w:name w:val="Heading 8 Char"/>
    <w:basedOn w:val="DefaultParagraphFont"/>
    <w:link w:val="Heading8"/>
    <w:uiPriority w:val="1"/>
    <w:rPr>
      <w:rFonts w:ascii="Calibri" w:hAnsi="Calibri" w:eastAsiaTheme="majorEastAsia" w:cstheme="majorBidi"/>
      <w:b/>
      <w:szCs w:val="21"/>
    </w:rPr>
  </w:style>
  <w:style w:type="character" w:styleId="Heading7Char" w:customStyle="1">
    <w:name w:val="Heading 7 Char"/>
    <w:basedOn w:val="DefaultParagraphFont"/>
    <w:link w:val="Heading7"/>
    <w:uiPriority w:val="1"/>
    <w:rPr>
      <w:rFonts w:asciiTheme="majorHAnsi" w:hAnsiTheme="majorHAnsi" w:eastAsiaTheme="majorEastAsia" w:cstheme="majorBidi"/>
      <w:i/>
      <w:sz w:val="26"/>
    </w:rPr>
  </w:style>
  <w:style w:type="character" w:styleId="Heading9Char" w:customStyle="1">
    <w:name w:val="Heading 9 Char"/>
    <w:basedOn w:val="DefaultParagraphFont"/>
    <w:link w:val="Heading9"/>
    <w:uiPriority w:val="1"/>
    <w:rPr>
      <w:rFonts w:ascii="Calibri" w:hAnsi="Calibri" w:eastAsiaTheme="majorEastAsia" w:cstheme="majorBidi"/>
      <w:b/>
      <w:i/>
      <w:iCs/>
      <w:szCs w:val="21"/>
    </w:rPr>
  </w:style>
  <w:style w:type="paragraph" w:styleId="Subsect1" w:customStyle="1">
    <w:name w:val="Subsect 1"/>
    <w:basedOn w:val="Section"/>
    <w:next w:val="Block1"/>
    <w:uiPriority w:val="1"/>
    <w:qFormat/>
    <w:pPr>
      <w:pBdr/>
      <w:spacing/>
      <w:outlineLvl w:val="6"/>
    </w:pPr>
    <w:rPr>
      <w:u w:val="single"/>
    </w:rPr>
  </w:style>
  <w:style w:type="paragraph" w:styleId="Subsect2" w:customStyle="1">
    <w:name w:val="Subsect 2"/>
    <w:basedOn w:val="Subsect1"/>
    <w:next w:val="Block1"/>
    <w:uiPriority w:val="1"/>
    <w:qFormat/>
    <w:pPr>
      <w:pBdr/>
      <w:spacing/>
      <w:outlineLvl w:val="7"/>
    </w:pPr>
    <w:rPr>
      <w:i/>
    </w:rPr>
  </w:style>
  <w:style w:type="paragraph" w:styleId="Subsect3" w:customStyle="1">
    <w:name w:val="Subsect 3"/>
    <w:basedOn w:val="Subsect2"/>
    <w:next w:val="Block1"/>
    <w:uiPriority w:val="1"/>
    <w:qFormat/>
    <w:pPr>
      <w:pBdr/>
      <w:spacing/>
      <w:outlineLvl w:val="8"/>
    </w:pPr>
    <w:rPr>
      <w:b w:val="0"/>
      <w:i w:val="0"/>
    </w:rPr>
  </w:style>
  <w:style w:type="table" w:styleId="NormalTable_bba5edc1-afa4-4e5e-b6c2-05021a0947c1" w:customStyle="1">
    <w:name w:val="Normal Table_bba5edc1-afa4-4e5e-b6c2-05021a0947c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bba5edc1-afa4-4e5e-b6c2-05021a0947c1"/>
    <w:uiPriority w:val="39"/>
    <w:pPr>
      <w:pBdr/>
      <w:spacing w:before="0" w:after="0"/>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style>
  <w:style w:type="paragraph" w:styleId="ImageCaptionBelowLeft" w:customStyle="1">
    <w:name w:val="Image Caption Below Left"/>
    <w:basedOn w:val="Block1"/>
    <w:next w:val="Block1"/>
    <w:qFormat/>
    <w:pPr>
      <w:widowControl w:val="false"/>
      <w:pBdr/>
      <w:spacing/>
    </w:pPr>
    <w:rPr>
      <w:b/>
    </w:rPr>
  </w:style>
  <w:style w:type="paragraph" w:styleId="ImageCaptionBelowCenter" w:customStyle="1">
    <w:name w:val="Image Caption Below Center"/>
    <w:basedOn w:val="ImageCaptionBelowLeft"/>
    <w:next w:val="Block1"/>
    <w:pPr>
      <w:pBdr/>
      <w:spacing/>
      <w:jc w:val="center"/>
    </w:pPr>
    <w:rPr/>
  </w:style>
  <w:style w:type="paragraph" w:styleId="ImageLeft" w:customStyle="1">
    <w:name w:val="Image Left"/>
    <w:next w:val="Block1"/>
    <w:qFormat/>
    <w:pPr>
      <w:pBdr/>
      <w:spacing/>
      <w:jc w:val="left"/>
    </w:pPr>
    <w:rPr>
      <w:rFonts w:ascii="Calibri" w:hAnsi="Calibri"/>
    </w:rPr>
  </w:style>
  <w:style w:type="paragraph" w:styleId="ImageCenter" w:customStyle="1">
    <w:name w:val="Image Center"/>
    <w:basedOn w:val="ImageLeft"/>
    <w:next w:val="Block1"/>
    <w:qFormat/>
    <w:pPr>
      <w:pBdr/>
      <w:spacing/>
      <w:jc w:val="center"/>
    </w:pPr>
    <w:rPr/>
  </w:style>
  <w:style w:type="paragraph" w:styleId="ImageCaptionAboveLeft" w:customStyle="1">
    <w:name w:val="Image Caption Above Left"/>
    <w:basedOn w:val="Block1"/>
    <w:next w:val="Block1"/>
    <w:qFormat/>
    <w:pPr>
      <w:keepNext/>
      <w:pBdr/>
      <w:spacing/>
    </w:pPr>
    <w:rPr>
      <w:b/>
    </w:rPr>
  </w:style>
  <w:style w:type="paragraph" w:styleId="ImageCaptionBelowRight" w:customStyle="1">
    <w:name w:val="Image Caption Below Right"/>
    <w:basedOn w:val="ImageCaptionBelowLeft"/>
    <w:next w:val="Block1"/>
    <w:qFormat/>
    <w:pPr>
      <w:pBdr/>
      <w:spacing/>
      <w:jc w:val="right"/>
    </w:pPr>
    <w:rPr/>
  </w:style>
  <w:style w:type="paragraph" w:styleId="ImageRight" w:customStyle="1">
    <w:name w:val="Image Right"/>
    <w:basedOn w:val="ImageLeft"/>
    <w:next w:val="Block1"/>
    <w:qFormat/>
    <w:pPr>
      <w:pBdr/>
      <w:spacing/>
      <w:jc w:val="right"/>
    </w:pPr>
    <w:rPr/>
  </w:style>
  <w:style w:type="character" w:styleId="Hyperlink">
    <w:name w:val="Hyperlink"/>
    <w:basedOn w:val="DefaultParagraphFont"/>
    <w:uiPriority w:val="99"/>
    <w:unhideWhenUsed/>
    <w:rPr>
      <w:color w:val="4472C4"/>
      <w:u w:val="none"/>
    </w:rPr>
  </w:style>
  <w:style w:type="paragraph" w:styleId="BlockCenter" w:customStyle="1">
    <w:name w:val="Block Center"/>
    <w:basedOn w:val="Block1"/>
    <w:qFormat/>
    <w:pPr>
      <w:pBdr/>
      <w:spacing/>
      <w:jc w:val="center"/>
    </w:pPr>
    <w:rPr/>
  </w:style>
  <w:style w:type="paragraph" w:styleId="BodyText">
    <w:name w:val="Body Text"/>
    <w:basedOn w:val="Normal"/>
    <w:link w:val="BodyTextChar"/>
    <w:uiPriority w:val="99"/>
    <w:semiHidden/>
    <w:pPr>
      <w:pBdr/>
      <w:spacing/>
    </w:pPr>
    <w:rPr/>
  </w:style>
  <w:style w:type="character" w:styleId="BodyTextChar" w:customStyle="1">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pBdr/>
      <w:spacing/>
      <w:ind w:left="360" w:hanging="360"/>
      <w:contextualSpacing/>
    </w:pPr>
    <w:rPr/>
  </w:style>
  <w:style w:type="paragraph" w:styleId="ListBullet">
    <w:name w:val="List Bullet"/>
    <w:basedOn w:val="Normal"/>
    <w:uiPriority w:val="99"/>
    <w:semiHidden/>
    <w:unhideWhenUsed/>
    <w:qFormat/>
    <w:numPr>
      <w:numId w:val="1"/>
    </w:numPr>
    <w:pPr>
      <w:numPr>
        <w:numId w:val="1"/>
      </w:numPr>
      <w:pBdr/>
      <w:spacing/>
      <w:contextualSpacing/>
    </w:pPr>
    <w:rPr/>
  </w:style>
  <w:style w:type="paragraph" w:styleId="ListContinue">
    <w:name w:val="List Continue"/>
    <w:basedOn w:val="Normal"/>
    <w:uiPriority w:val="99"/>
    <w:semiHidden/>
    <w:unhideWhenUsed/>
    <w:pPr>
      <w:pBdr/>
      <w:spacing/>
      <w:ind w:left="360"/>
      <w:contextualSpacing/>
    </w:pPr>
    <w:rPr/>
  </w:style>
  <w:style w:type="paragraph" w:styleId="Block1Center" w:customStyle="1">
    <w:name w:val="Block 1 Center"/>
    <w:basedOn w:val="Block1"/>
    <w:qFormat/>
    <w:pPr>
      <w:pBdr/>
      <w:spacing/>
      <w:jc w:val="center"/>
    </w:pPr>
    <w:rPr/>
  </w:style>
  <w:style w:type="paragraph" w:styleId="Block2Center" w:customStyle="1">
    <w:name w:val="Block 2 Center"/>
    <w:basedOn w:val="Block2"/>
    <w:qFormat/>
    <w:pPr>
      <w:pBdr/>
      <w:spacing/>
      <w:jc w:val="center"/>
    </w:pPr>
    <w:rPr/>
  </w:style>
  <w:style w:type="paragraph" w:styleId="Block3Center" w:customStyle="1">
    <w:name w:val="Block 3 Center"/>
    <w:basedOn w:val="Block3"/>
    <w:qFormat/>
    <w:pPr>
      <w:pBdr/>
      <w:spacing/>
      <w:jc w:val="center"/>
    </w:pPr>
    <w:rPr/>
  </w:style>
  <w:style w:type="paragraph" w:styleId="Block4Center" w:customStyle="1">
    <w:name w:val="Block 4 Center"/>
    <w:basedOn w:val="Block4"/>
    <w:qFormat/>
    <w:pPr>
      <w:pBdr/>
      <w:spacing/>
      <w:jc w:val="center"/>
    </w:pPr>
    <w:rPr/>
  </w:style>
  <w:style w:type="paragraph" w:styleId="Block5Center" w:customStyle="1">
    <w:name w:val="Block 5 Center"/>
    <w:basedOn w:val="Block5"/>
    <w:qFormat/>
    <w:pPr>
      <w:pBdr/>
      <w:spacing/>
      <w:jc w:val="center"/>
    </w:pPr>
    <w:rPr/>
  </w:style>
  <w:style w:type="paragraph" w:styleId="Block6Center" w:customStyle="1">
    <w:name w:val="Block 6 Center"/>
    <w:basedOn w:val="Block6"/>
    <w:qFormat/>
    <w:pPr>
      <w:pBdr/>
      <w:spacing/>
      <w:jc w:val="center"/>
    </w:pPr>
    <w:rPr/>
  </w:style>
  <w:style w:type="paragraph" w:styleId="Block7Center" w:customStyle="1">
    <w:name w:val="Block 7 Center"/>
    <w:basedOn w:val="Block7"/>
    <w:qFormat/>
    <w:pPr>
      <w:pBdr/>
      <w:spacing/>
      <w:jc w:val="center"/>
    </w:pPr>
    <w:rPr/>
  </w:style>
  <w:style w:type="paragraph" w:styleId="Block8Center" w:customStyle="1">
    <w:name w:val="Block 8 Center"/>
    <w:basedOn w:val="Block8"/>
    <w:qFormat/>
    <w:pPr>
      <w:pBdr/>
      <w:spacing/>
      <w:jc w:val="center"/>
    </w:pPr>
    <w:rPr/>
  </w:style>
  <w:style w:type="paragraph" w:styleId="Block9Center" w:customStyle="1">
    <w:name w:val="Block 9 Center"/>
    <w:basedOn w:val="Block9"/>
    <w:qFormat/>
    <w:pPr>
      <w:pBdr/>
      <w:spacing/>
      <w:jc w:val="center"/>
    </w:pPr>
    <w:rPr/>
  </w:style>
  <w:style w:type="paragraph" w:styleId="ListNumber">
    <w:name w:val="List Number"/>
    <w:basedOn w:val="Normal"/>
    <w:uiPriority w:val="99"/>
    <w:semiHidden/>
    <w:unhideWhenUsed/>
    <w:numPr>
      <w:numId w:val="2"/>
    </w:numPr>
    <w:pPr>
      <w:numPr>
        <w:numId w:val="2"/>
      </w:numPr>
      <w:pBdr/>
      <w:spacing/>
      <w:contextualSpacing/>
    </w:pPr>
    <w:rPr/>
  </w:style>
  <w:style w:type="paragraph" w:styleId="TableofFigures">
    <w:name w:val="Table of Figures"/>
    <w:basedOn w:val="Normal"/>
    <w:next w:val="Normal"/>
    <w:uiPriority w:val="99"/>
    <w:semiHidden/>
    <w:unhideWhenUsed/>
    <w:pPr>
      <w:pBdr/>
      <w:spacing w:after="0"/>
    </w:pPr>
    <w:rPr/>
  </w:style>
  <w:style w:type="paragraph" w:styleId="Subtitle">
    <w:name w:val="Subtitle"/>
    <w:basedOn w:val="Normal"/>
    <w:next w:val="Normal"/>
    <w:link w:val="SubtitleChar"/>
    <w:uiPriority w:val="87"/>
    <w:semiHidden/>
    <w:unhideWhenUsed/>
    <w:qFormat/>
    <w:numPr>
      <w:ilvl w:val="1"/>
    </w:numPr>
    <w:pPr>
      <w:numPr>
        <w:ilvl w:val="1"/>
      </w:numPr>
      <w:pBdr/>
      <w:spacing w:after="160"/>
    </w:pPr>
    <w:rPr>
      <w:rFonts w:eastAsiaTheme="minorEastAsia"/>
      <w:color w:val="5A5A5A"/>
      <w:spacing w:val="15"/>
      <w:sz w:val="22"/>
      <w:szCs w:val="22"/>
    </w:rPr>
  </w:style>
  <w:style w:type="character" w:styleId="SubtitleChar" w:customStyle="1">
    <w:name w:val="Subtitle Char"/>
    <w:basedOn w:val="DefaultParagraphFont"/>
    <w:link w:val="Subtitle"/>
    <w:uiPriority w:val="87"/>
    <w:semiHidden/>
    <w:rPr>
      <w:rFonts w:ascii="Calibri" w:hAnsi="Calibri" w:eastAsiaTheme="minorEastAsia"/>
      <w:color w:val="5A5A5A"/>
      <w:spacing w:val="15"/>
      <w:sz w:val="22"/>
      <w:szCs w:val="22"/>
    </w:rPr>
  </w:style>
  <w:style w:type="paragraph" w:styleId="Footer">
    <w:name w:val="Footer"/>
    <w:basedOn w:val="Normal"/>
    <w:link w:val="FooterChar"/>
    <w:uiPriority w:val="99"/>
    <w:semiHidden/>
    <w:unhideWhenUsed/>
    <w:pPr>
      <w:pBdr/>
      <w:tabs>
        <w:tab w:val="center" w:pos="4680"/>
        <w:tab w:val="right" w:pos="9360"/>
      </w:tabs>
      <w:spacing w:before="0" w:after="0"/>
    </w:pPr>
    <w:rPr/>
  </w:style>
  <w:style w:type="character" w:styleId="FooterChar" w:customStyle="1">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color="4472C4" w:sz="2" w:space="10"/>
        <w:left w:val="single" w:color="4472C4" w:sz="2" w:space="10"/>
        <w:bottom w:val="single" w:color="4472C4" w:sz="2" w:space="10"/>
        <w:right w:val="single" w:color="4472C4" w:sz="2" w:space="10"/>
      </w:pBdr>
      <w:spacing/>
      <w:ind w:left="1152" w:right="1152"/>
    </w:pPr>
    <w:rPr>
      <w:rFonts w:eastAsiaTheme="minorEastAsia"/>
      <w:i/>
      <w:iCs/>
      <w:color w:val="4472C4"/>
    </w:rPr>
  </w:style>
  <w:style w:type="paragraph" w:styleId="BodyText2">
    <w:name w:val="Body Text 2"/>
    <w:basedOn w:val="Normal"/>
    <w:link w:val="BodyText2Char"/>
    <w:uiPriority w:val="99"/>
    <w:semiHidden/>
    <w:pPr>
      <w:pBdr/>
      <w:spacing w:line="480" w:lineRule="auto"/>
    </w:pPr>
    <w:rPr/>
  </w:style>
  <w:style w:type="character" w:styleId="BodyText2Char" w:customStyle="1">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pPr>
      <w:pBdr/>
      <w:spacing/>
    </w:pPr>
    <w:rPr>
      <w:sz w:val="16"/>
      <w:szCs w:val="16"/>
    </w:rPr>
  </w:style>
  <w:style w:type="character" w:styleId="BodyText3Char" w:customStyle="1">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pBdr/>
      <w:spacing/>
      <w:ind w:firstLine="360"/>
    </w:pPr>
    <w:rPr/>
  </w:style>
  <w:style w:type="character" w:styleId="BodyTextFirstIndentChar" w:customStyle="1">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pBdr/>
      <w:spacing/>
      <w:ind w:left="360"/>
    </w:pPr>
    <w:rPr/>
  </w:style>
  <w:style w:type="character" w:styleId="BodyTextIndentChar" w:customStyle="1">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pBdr/>
      <w:spacing/>
      <w:ind w:firstLine="360"/>
    </w:pPr>
    <w:rPr/>
  </w:style>
  <w:style w:type="character" w:styleId="BodyTextFirstIndent2Char" w:customStyle="1">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pBdr/>
      <w:spacing w:line="480" w:lineRule="auto"/>
      <w:ind w:left="360"/>
    </w:pPr>
    <w:rPr/>
  </w:style>
  <w:style w:type="character" w:styleId="BodyTextIndent2Char" w:customStyle="1">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pBdr/>
      <w:spacing/>
      <w:ind w:left="360"/>
    </w:pPr>
    <w:rPr>
      <w:sz w:val="16"/>
      <w:szCs w:val="16"/>
    </w:rPr>
  </w:style>
  <w:style w:type="character" w:styleId="BodyTextIndent3Char" w:customStyle="1">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pBdr/>
      <w:spacing w:before="0" w:after="200"/>
    </w:pPr>
    <w:rPr>
      <w:i/>
      <w:iCs/>
      <w:color w:val="44546A"/>
      <w:sz w:val="18"/>
      <w:szCs w:val="18"/>
    </w:rPr>
  </w:style>
  <w:style w:type="paragraph" w:styleId="Closing">
    <w:name w:val="Closing"/>
    <w:basedOn w:val="Normal"/>
    <w:link w:val="ClosingChar"/>
    <w:uiPriority w:val="99"/>
    <w:semiHidden/>
    <w:pPr>
      <w:pBdr/>
      <w:spacing w:before="0" w:after="0"/>
      <w:ind w:left="4320"/>
    </w:pPr>
    <w:rPr/>
  </w:style>
  <w:style w:type="character" w:styleId="ClosingChar" w:customStyle="1">
    <w:name w:val="Closing Char"/>
    <w:basedOn w:val="DefaultParagraphFont"/>
    <w:link w:val="Closing"/>
    <w:uiPriority w:val="99"/>
    <w:semiHidden/>
    <w:rPr>
      <w:rFonts w:ascii="Calibri" w:hAnsi="Calibri"/>
      <w:sz w:val="20"/>
    </w:rPr>
  </w:style>
  <w:style w:type="paragraph" w:styleId="CommentText" w:customStyle="1">
    <w:name w:val="annotation text"/>
    <w:basedOn w:val="Normal"/>
    <w:link w:val="CommentTextChar"/>
    <w:uiPriority w:val="99"/>
    <w:semiHidden/>
    <w:unhideWhenUsed/>
    <w:pPr>
      <w:pBdr/>
      <w:spacing/>
    </w:pPr>
    <w:rPr>
      <w:szCs w:val="20"/>
    </w:rPr>
  </w:style>
  <w:style w:type="character" w:styleId="CommentTextChar" w:customStyle="1">
    <w:name w:val="Comment Text Char"/>
    <w:basedOn w:val="DefaultParagraphFont"/>
    <w:link w:val="annotationtext"/>
    <w:uiPriority w:val="99"/>
    <w:semiHidden/>
    <w:rPr>
      <w:rFonts w:ascii="Calibri" w:hAnsi="Calibri"/>
      <w:sz w:val="20"/>
      <w:szCs w:val="20"/>
    </w:rPr>
  </w:style>
  <w:style w:type="paragraph" w:styleId="CommentSubject" w:customStyle="1">
    <w:name w:val="annotation subject"/>
    <w:basedOn w:val="CommentText"/>
    <w:next w:val="CommentText"/>
    <w:link w:val="CommentSubjectChar"/>
    <w:uiPriority w:val="99"/>
    <w:semiHidden/>
    <w:unhideWhenUsed/>
    <w:pPr>
      <w:pBdr/>
      <w:spacing/>
    </w:pPr>
    <w:rPr>
      <w:b/>
      <w:bCs/>
    </w:rPr>
  </w:style>
  <w:style w:type="character" w:styleId="CommentSubjectChar" w:customStyle="1">
    <w:name w:val="Comment Subject Char"/>
    <w:basedOn w:val="CommentTextChar"/>
    <w:link w:val="annotationsubject"/>
    <w:uiPriority w:val="99"/>
    <w:semiHidden/>
    <w:rPr>
      <w:rFonts w:ascii="Calibri" w:hAnsi="Calibri"/>
      <w:b/>
      <w:bCs/>
      <w:sz w:val="20"/>
      <w:szCs w:val="20"/>
    </w:rPr>
  </w:style>
  <w:style w:type="paragraph" w:styleId="Date">
    <w:name w:val="Date"/>
    <w:basedOn w:val="Normal"/>
    <w:next w:val="Normal"/>
    <w:link w:val="DateChar"/>
    <w:uiPriority w:val="99"/>
    <w:semiHidden/>
    <w:unhideWhenUsed/>
    <w:pPr>
      <w:pBdr/>
      <w:spacing/>
    </w:pPr>
    <w:rPr/>
  </w:style>
  <w:style w:type="character" w:styleId="DateChar" w:customStyle="1">
    <w:name w:val="Date Char"/>
    <w:basedOn w:val="DefaultParagraphFont"/>
    <w:link w:val="Date"/>
    <w:uiPriority w:val="99"/>
    <w:semiHidden/>
    <w:rPr>
      <w:rFonts w:ascii="Calibri" w:hAnsi="Calibri"/>
      <w:sz w:val="20"/>
    </w:rPr>
  </w:style>
  <w:style w:type="character" w:styleId="BookTitle" w:customStyle="1">
    <w:name w:val="Book Title"/>
    <w:basedOn w:val="DefaultParagraphFont"/>
    <w:uiPriority w:val="84"/>
    <w:semiHidden/>
    <w:unhideWhenUsed/>
    <w:qFormat/>
    <w:rPr>
      <w:b/>
      <w:bCs/>
      <w:i/>
      <w:iCs/>
      <w:spacing w:val="5"/>
    </w:rPr>
  </w:style>
  <w:style w:type="character" w:styleId="CommentReference" w:customStyle="1">
    <w:name w:val="annotation reference"/>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pBdr/>
      <w:spacing w:before="0" w:after="0"/>
    </w:pPr>
    <w:rPr>
      <w:rFonts w:cs="Calibri"/>
      <w:sz w:val="16"/>
      <w:szCs w:val="16"/>
    </w:rPr>
  </w:style>
  <w:style w:type="character" w:styleId="DocumentMapChar" w:customStyle="1">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pBdr/>
      <w:spacing w:before="0" w:after="0"/>
    </w:pPr>
    <w:rPr/>
  </w:style>
  <w:style w:type="character" w:styleId="E-mailSignatureChar" w:customStyle="1">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pBdr/>
      <w:spacing w:before="0" w:after="0"/>
    </w:pPr>
    <w:rPr>
      <w:szCs w:val="20"/>
    </w:rPr>
  </w:style>
  <w:style w:type="character" w:styleId="EndnoteTextChar" w:customStyle="1">
    <w:name w:val="Endnote Text Char"/>
    <w:basedOn w:val="DefaultParagraphFont"/>
    <w:link w:val="EndnoteText"/>
    <w:uiPriority w:val="99"/>
    <w:semiHidden/>
    <w:rPr>
      <w:rFonts w:ascii="Calibri" w:hAnsi="Calibri"/>
      <w:sz w:val="20"/>
      <w:szCs w:val="20"/>
    </w:rPr>
  </w:style>
  <w:style w:type="paragraph" w:styleId="EnvelopeAddress" w:customStyle="1">
    <w:name w:val="envelope address"/>
    <w:basedOn w:val="Normal"/>
    <w:uiPriority w:val="99"/>
    <w:semiHidden/>
    <w:unhideWhenUsed/>
    <w:pPr>
      <w:framePr w:w="7920" w:h="1980" w:hSpace="180" w:wrap="auto" w:hAnchor="page" w:xAlign="center" w:yAlign="bottom" w:hRule="exact" w:lines="1"/>
      <w:pBdr/>
      <w:spacing w:before="0" w:after="0"/>
      <w:ind w:left="2880"/>
    </w:pPr>
    <w:rPr>
      <w:rFonts w:asciiTheme="majorHAnsi" w:hAnsiTheme="majorHAnsi" w:eastAsiaTheme="majorEastAsia" w:cstheme="majorBidi"/>
      <w:sz w:val="24"/>
    </w:rPr>
  </w:style>
  <w:style w:type="paragraph" w:styleId="EnvelopeReturn" w:customStyle="1">
    <w:name w:val="envelope return"/>
    <w:basedOn w:val="Normal"/>
    <w:uiPriority w:val="99"/>
    <w:semiHidden/>
    <w:unhideWhenUsed/>
    <w:pPr>
      <w:pBdr/>
      <w:spacing w:before="0"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pBdr/>
      <w:tabs>
        <w:tab w:val="center" w:pos="4680"/>
        <w:tab w:val="right" w:pos="9360"/>
      </w:tabs>
      <w:spacing w:before="0" w:after="0"/>
    </w:pPr>
    <w:rPr/>
  </w:style>
  <w:style w:type="character" w:styleId="HeaderChar" w:customStyle="1">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pBdr/>
      <w:spacing w:before="0" w:after="0"/>
    </w:pPr>
    <w:rPr/>
  </w:style>
  <w:style w:type="character" w:styleId="NoteHeadingChar" w:customStyle="1">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numPr>
      <w:numId w:val="3"/>
    </w:numPr>
    <w:pPr>
      <w:numPr>
        <w:numId w:val="3"/>
      </w:numPr>
      <w:pBdr/>
      <w:spacing/>
      <w:contextualSpacing/>
    </w:pPr>
    <w:rPr/>
  </w:style>
  <w:style w:type="paragraph" w:styleId="ListBullet3">
    <w:name w:val="List Bullet 3"/>
    <w:basedOn w:val="Normal"/>
    <w:uiPriority w:val="99"/>
    <w:semiHidden/>
    <w:unhideWhenUsed/>
    <w:numPr>
      <w:numId w:val="4"/>
    </w:numPr>
    <w:pPr>
      <w:numPr>
        <w:numId w:val="4"/>
      </w:numPr>
      <w:pBdr/>
      <w:spacing/>
      <w:contextualSpacing/>
    </w:pPr>
    <w:rPr/>
  </w:style>
  <w:style w:type="paragraph" w:styleId="ListBullet4">
    <w:name w:val="List Bullet 4"/>
    <w:basedOn w:val="Normal"/>
    <w:uiPriority w:val="99"/>
    <w:semiHidden/>
    <w:unhideWhenUsed/>
    <w:numPr>
      <w:numId w:val="5"/>
    </w:numPr>
    <w:pPr>
      <w:numPr>
        <w:numId w:val="5"/>
      </w:numPr>
      <w:pBdr/>
      <w:spacing/>
      <w:contextualSpacing/>
    </w:pPr>
    <w:rPr/>
  </w:style>
  <w:style w:type="paragraph" w:styleId="ListBullet5">
    <w:name w:val="List Bullet 5"/>
    <w:basedOn w:val="Normal"/>
    <w:uiPriority w:val="99"/>
    <w:semiHidden/>
    <w:unhideWhenUsed/>
    <w:numPr>
      <w:numId w:val="6"/>
    </w:numPr>
    <w:pPr>
      <w:numPr>
        <w:numId w:val="6"/>
      </w:numPr>
      <w:pBdr/>
      <w:spacing/>
      <w:contextualSpacing/>
    </w:pPr>
    <w:rPr/>
  </w:style>
  <w:style w:type="paragraph" w:styleId="ListContinue2">
    <w:name w:val="List Continue 2"/>
    <w:basedOn w:val="Normal"/>
    <w:uiPriority w:val="99"/>
    <w:semiHidden/>
    <w:unhideWhenUsed/>
    <w:pPr>
      <w:pBdr/>
      <w:spacing/>
      <w:ind w:left="720"/>
      <w:contextualSpacing/>
    </w:pPr>
    <w:rPr/>
  </w:style>
  <w:style w:type="paragraph" w:styleId="ListContinue3">
    <w:name w:val="List Continue 3"/>
    <w:basedOn w:val="Normal"/>
    <w:uiPriority w:val="99"/>
    <w:semiHidden/>
    <w:unhideWhenUsed/>
    <w:qFormat/>
    <w:pPr>
      <w:pBdr/>
      <w:spacing/>
      <w:ind w:left="1080"/>
      <w:contextualSpacing/>
    </w:pPr>
    <w:rPr/>
  </w:style>
  <w:style w:type="paragraph" w:styleId="ListContinue4">
    <w:name w:val="List Continue 4"/>
    <w:basedOn w:val="Normal"/>
    <w:uiPriority w:val="99"/>
    <w:semiHidden/>
    <w:unhideWhenUsed/>
    <w:qFormat/>
    <w:pPr>
      <w:pBdr/>
      <w:spacing/>
      <w:ind w:left="1440"/>
      <w:contextualSpacing/>
    </w:pPr>
    <w:rPr/>
  </w:style>
  <w:style w:type="paragraph" w:styleId="ListContinue5">
    <w:name w:val="List Continue 5"/>
    <w:basedOn w:val="Normal"/>
    <w:uiPriority w:val="99"/>
    <w:semiHidden/>
    <w:unhideWhenUsed/>
    <w:qFormat/>
    <w:pPr>
      <w:pBdr/>
      <w:spacing/>
      <w:ind w:left="1800"/>
      <w:contextualSpacing/>
    </w:pPr>
    <w:rPr/>
  </w:style>
  <w:style w:type="paragraph" w:styleId="ListNumber2">
    <w:name w:val="List Number 2"/>
    <w:basedOn w:val="Normal"/>
    <w:uiPriority w:val="99"/>
    <w:semiHidden/>
    <w:unhideWhenUsed/>
    <w:qFormat/>
    <w:numPr>
      <w:numId w:val="7"/>
    </w:numPr>
    <w:pPr>
      <w:numPr>
        <w:numId w:val="7"/>
      </w:numPr>
      <w:pBdr/>
      <w:spacing/>
      <w:contextualSpacing/>
    </w:pPr>
    <w:rPr/>
  </w:style>
  <w:style w:type="paragraph" w:styleId="ListNumber3">
    <w:name w:val="List Number 3"/>
    <w:basedOn w:val="Normal"/>
    <w:uiPriority w:val="99"/>
    <w:semiHidden/>
    <w:unhideWhenUsed/>
    <w:qFormat/>
    <w:numPr>
      <w:numId w:val="8"/>
    </w:numPr>
    <w:pPr>
      <w:numPr>
        <w:numId w:val="8"/>
      </w:numPr>
      <w:pBdr/>
      <w:spacing/>
      <w:contextualSpacing/>
    </w:pPr>
    <w:rPr/>
  </w:style>
  <w:style w:type="paragraph" w:styleId="ListNumber4">
    <w:name w:val="List Number 4"/>
    <w:basedOn w:val="Normal"/>
    <w:uiPriority w:val="99"/>
    <w:semiHidden/>
    <w:unhideWhenUsed/>
    <w:qFormat/>
    <w:numPr>
      <w:numId w:val="9"/>
    </w:numPr>
    <w:pPr>
      <w:numPr>
        <w:numId w:val="9"/>
      </w:numPr>
      <w:pBdr/>
      <w:spacing/>
      <w:contextualSpacing/>
    </w:pPr>
    <w:rPr/>
  </w:style>
  <w:style w:type="paragraph" w:styleId="ListNumber5">
    <w:name w:val="List Number 5"/>
    <w:basedOn w:val="Normal"/>
    <w:uiPriority w:val="99"/>
    <w:semiHidden/>
    <w:unhideWhenUsed/>
    <w:qFormat/>
    <w:numPr>
      <w:numId w:val="10"/>
    </w:numPr>
    <w:pPr>
      <w:numPr>
        <w:numId w:val="10"/>
      </w:numPr>
      <w:pBdr/>
      <w:spacing/>
      <w:contextualSpacing/>
    </w:pPr>
    <w:rPr/>
  </w:style>
  <w:style w:type="paragraph" w:styleId="TOCHeading" w:customStyle="1">
    <w:name w:val="TOC Heading"/>
    <w:basedOn w:val="Heading1"/>
    <w:next w:val="Normal"/>
    <w:uiPriority w:val="69"/>
    <w:semiHidden/>
    <w:unhideWhenUsed/>
    <w:qFormat/>
    <w:pPr>
      <w:pBd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pBdr/>
      <w:spacing w:before="120"/>
    </w:pPr>
    <w:rPr>
      <w:rFonts w:eastAsiaTheme="majorEastAsia" w:cstheme="majorBidi"/>
      <w:b/>
      <w:bCs/>
      <w:sz w:val="24"/>
    </w:rPr>
  </w:style>
  <w:style w:type="paragraph" w:styleId="IndexHeading">
    <w:name w:val="Index Heading"/>
    <w:basedOn w:val="Normal"/>
    <w:next w:val="Index1"/>
    <w:uiPriority w:val="99"/>
    <w:semiHidden/>
    <w:unhideWhenUsed/>
    <w:qFormat/>
    <w:pPr>
      <w:pBdr/>
      <w:spacing/>
    </w:pPr>
    <w:rPr>
      <w:rFonts w:eastAsiaTheme="majorEastAsia" w:cstheme="majorBidi"/>
      <w:b/>
      <w:bCs/>
    </w:rPr>
  </w:style>
  <w:style w:type="paragraph" w:styleId="TableofAuthorities">
    <w:name w:val="Table of Authorities"/>
    <w:basedOn w:val="Normal"/>
    <w:next w:val="Normal"/>
    <w:uiPriority w:val="99"/>
    <w:semiHidden/>
    <w:unhideWhenUsed/>
    <w:pPr>
      <w:pBdr/>
      <w:spacing w:after="0"/>
      <w:ind w:left="200" w:hanging="200"/>
    </w:pPr>
    <w:rPr/>
  </w:style>
  <w:style w:type="table" w:styleId="NormalTable_84d1e3a2-8006-471b-94cc-c859e6fd4f69" w:customStyle="1">
    <w:name w:val="Normal Table_84d1e3a2-8006-471b-94cc-c859e6fd4f6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 w:customStyle="1">
    <w:name w:val="Table 1"/>
    <w:basedOn w:val="NormalTable_84d1e3a2-8006-471b-94cc-c859e6fd4f69"/>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9e7aa530-7c9c-4bf7-ab1a-cc9ca188bd80" w:customStyle="1">
    <w:name w:val="Normal Table_9e7aa530-7c9c-4bf7-ab1a-cc9ca188bd8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59ad81ba-1197-4cd7-bcc8-91bb0caef1c3" w:customStyle="1">
    <w:name w:val="Table 1_59ad81ba-1197-4cd7-bcc8-91bb0caef1c3"/>
    <w:basedOn w:val="NormalTable_9e7aa530-7c9c-4bf7-ab1a-cc9ca188bd8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 w:customStyle="1">
    <w:name w:val="Table 2"/>
    <w:basedOn w:val="Table1_59ad81ba-1197-4cd7-bcc8-91bb0caef1c3"/>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f543be5-599c-4e9c-beaa-823e9fede0d9" w:customStyle="1">
    <w:name w:val="Normal Table_5f543be5-599c-4e9c-beaa-823e9fede0d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3c2d922-7360-4d05-99e3-5836788c8982" w:customStyle="1">
    <w:name w:val="Table 1_43c2d922-7360-4d05-99e3-5836788c8982"/>
    <w:basedOn w:val="NormalTable_5f543be5-599c-4e9c-beaa-823e9fede0d9"/>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9ef8d9c6-de27-4e49-a823-f39d53699e6a" w:customStyle="1">
    <w:name w:val="Table 2_9ef8d9c6-de27-4e49-a823-f39d53699e6a"/>
    <w:basedOn w:val="Table1_43c2d922-7360-4d05-99e3-5836788c8982"/>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 w:customStyle="1">
    <w:name w:val="Table 3"/>
    <w:basedOn w:val="Table2_9ef8d9c6-de27-4e49-a823-f39d53699e6a"/>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935afcac-33cc-4816-87fd-31152275822c" w:customStyle="1">
    <w:name w:val="Normal Table_935afcac-33cc-4816-87fd-31152275822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7a4dd151-0e76-44bc-85eb-a8d116f173a1" w:customStyle="1">
    <w:name w:val="Table 1_7a4dd151-0e76-44bc-85eb-a8d116f173a1"/>
    <w:basedOn w:val="NormalTable_935afcac-33cc-4816-87fd-31152275822c"/>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cb913d8e-297a-449b-a023-4fa98ec65e15" w:customStyle="1">
    <w:name w:val="Table 2_cb913d8e-297a-449b-a023-4fa98ec65e15"/>
    <w:basedOn w:val="Table1_7a4dd151-0e76-44bc-85eb-a8d116f173a1"/>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0f662069-cf34-4883-b2c2-9779cf76781e" w:customStyle="1">
    <w:name w:val="Table 3_0f662069-cf34-4883-b2c2-9779cf76781e"/>
    <w:basedOn w:val="Table2_cb913d8e-297a-449b-a023-4fa98ec65e15"/>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 w:customStyle="1">
    <w:name w:val="Table 4"/>
    <w:basedOn w:val="Table3_0f662069-cf34-4883-b2c2-9779cf76781e"/>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dcef4cb2-32f2-4728-9210-232007d20e79" w:customStyle="1">
    <w:name w:val="Normal Table_dcef4cb2-32f2-4728-9210-232007d20e7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546a6e5-1dad-4619-9f78-e11b582c4f97" w:customStyle="1">
    <w:name w:val="Table 1_4546a6e5-1dad-4619-9f78-e11b582c4f97"/>
    <w:basedOn w:val="NormalTable_dcef4cb2-32f2-4728-9210-232007d20e79"/>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612bb89e-cb73-4fdf-a0aa-f22ded7b8d9f" w:customStyle="1">
    <w:name w:val="Table 2_612bb89e-cb73-4fdf-a0aa-f22ded7b8d9f"/>
    <w:basedOn w:val="Table1_4546a6e5-1dad-4619-9f78-e11b582c4f97"/>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dc1fb3be-5c85-47df-916b-9b60ae3c6aac" w:customStyle="1">
    <w:name w:val="Table 3_dc1fb3be-5c85-47df-916b-9b60ae3c6aac"/>
    <w:basedOn w:val="Table2_612bb89e-cb73-4fdf-a0aa-f22ded7b8d9f"/>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f0f3c407-125f-4456-b37f-c7073fa43f34" w:customStyle="1">
    <w:name w:val="Table 4_f0f3c407-125f-4456-b37f-c7073fa43f34"/>
    <w:basedOn w:val="Table3_dc1fb3be-5c85-47df-916b-9b60ae3c6aac"/>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 w:customStyle="1">
    <w:name w:val="Table 5"/>
    <w:basedOn w:val="Table4_f0f3c407-125f-4456-b37f-c7073fa43f34"/>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d26986d7-96bc-49bd-b25d-4cb36fdaaf3d" w:customStyle="1">
    <w:name w:val="Normal Table_d26986d7-96bc-49bd-b25d-4cb36fdaaf3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00515ca2-574c-4cd5-9742-085ecfee2e32" w:customStyle="1">
    <w:name w:val="Table 1_00515ca2-574c-4cd5-9742-085ecfee2e32"/>
    <w:basedOn w:val="NormalTable_d26986d7-96bc-49bd-b25d-4cb36fdaaf3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6fe83a77-3120-4874-9265-1d4bbec678b8" w:customStyle="1">
    <w:name w:val="Table 2_6fe83a77-3120-4874-9265-1d4bbec678b8"/>
    <w:basedOn w:val="Table1_00515ca2-574c-4cd5-9742-085ecfee2e32"/>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f32b1e7d-cc40-4286-83ad-1497e88cea9a" w:customStyle="1">
    <w:name w:val="Table 3_f32b1e7d-cc40-4286-83ad-1497e88cea9a"/>
    <w:basedOn w:val="Table2_6fe83a77-3120-4874-9265-1d4bbec678b8"/>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b62d2dbc-8077-4e8c-be7d-576578802fc4" w:customStyle="1">
    <w:name w:val="Table 4_b62d2dbc-8077-4e8c-be7d-576578802fc4"/>
    <w:basedOn w:val="Table3_f32b1e7d-cc40-4286-83ad-1497e88cea9a"/>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aa43801a-e6f8-41cf-a9ca-71d70d6a8bb6" w:customStyle="1">
    <w:name w:val="Table 5_aa43801a-e6f8-41cf-a9ca-71d70d6a8bb6"/>
    <w:basedOn w:val="Table4_b62d2dbc-8077-4e8c-be7d-576578802fc4"/>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 w:customStyle="1">
    <w:name w:val="Table 6"/>
    <w:basedOn w:val="Table5_aa43801a-e6f8-41cf-a9ca-71d70d6a8bb6"/>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NormalTable_c082ff1e-376b-4bb1-935b-089339decd68" w:customStyle="1">
    <w:name w:val="Normal Table_c082ff1e-376b-4bb1-935b-089339decd6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d694b8a-f9d5-4b2f-a336-40ef4b39592b" w:customStyle="1">
    <w:name w:val="Table 1_9d694b8a-f9d5-4b2f-a336-40ef4b39592b"/>
    <w:basedOn w:val="NormalTable_c082ff1e-376b-4bb1-935b-089339decd68"/>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e0c3aec9-0d99-4203-b458-376045bdd9f3" w:customStyle="1">
    <w:name w:val="Table 2_e0c3aec9-0d99-4203-b458-376045bdd9f3"/>
    <w:basedOn w:val="Table1_9d694b8a-f9d5-4b2f-a336-40ef4b39592b"/>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236e86ea-f130-48c1-99e6-e114f8275247" w:customStyle="1">
    <w:name w:val="Table 3_236e86ea-f130-48c1-99e6-e114f8275247"/>
    <w:basedOn w:val="Table2_e0c3aec9-0d99-4203-b458-376045bdd9f3"/>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c34d9b6b-0c15-4d00-949d-c6037e02ed2f" w:customStyle="1">
    <w:name w:val="Table 4_c34d9b6b-0c15-4d00-949d-c6037e02ed2f"/>
    <w:basedOn w:val="Table3_236e86ea-f130-48c1-99e6-e114f8275247"/>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43f59c7e-5897-43c8-9efe-1015db2842dc" w:customStyle="1">
    <w:name w:val="Table 5_43f59c7e-5897-43c8-9efe-1015db2842dc"/>
    <w:basedOn w:val="Table4_c34d9b6b-0c15-4d00-949d-c6037e02ed2f"/>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d9e8dded-53f8-4822-b6ce-20a23b3ec3e7" w:customStyle="1">
    <w:name w:val="Table 6_d9e8dded-53f8-4822-b6ce-20a23b3ec3e7"/>
    <w:basedOn w:val="Table5_43f59c7e-5897-43c8-9efe-1015db2842dc"/>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 w:customStyle="1">
    <w:name w:val="Table 7"/>
    <w:basedOn w:val="Table6_d9e8dded-53f8-4822-b6ce-20a23b3ec3e7"/>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ad165c90-5f2c-4963-9327-1d7af5c859e3" w:customStyle="1">
    <w:name w:val="Normal Table_ad165c90-5f2c-4963-9327-1d7af5c859e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65362e4-c5ec-4d73-8dc5-4f48f413050e" w:customStyle="1">
    <w:name w:val="Table 1_965362e4-c5ec-4d73-8dc5-4f48f413050e"/>
    <w:basedOn w:val="NormalTable_ad165c90-5f2c-4963-9327-1d7af5c859e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aed4aacb-62dc-4e39-ac9e-8bbbd775f6fa" w:customStyle="1">
    <w:name w:val="Table 2_aed4aacb-62dc-4e39-ac9e-8bbbd775f6fa"/>
    <w:basedOn w:val="Table1_965362e4-c5ec-4d73-8dc5-4f48f413050e"/>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d78b3932-2b8f-4a44-8307-53351fb7a02b" w:customStyle="1">
    <w:name w:val="Table 3_d78b3932-2b8f-4a44-8307-53351fb7a02b"/>
    <w:basedOn w:val="Table2_aed4aacb-62dc-4e39-ac9e-8bbbd775f6fa"/>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6cd0524f-0683-4363-ac1c-22a299aabed3" w:customStyle="1">
    <w:name w:val="Table 4_6cd0524f-0683-4363-ac1c-22a299aabed3"/>
    <w:basedOn w:val="Table3_d78b3932-2b8f-4a44-8307-53351fb7a02b"/>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9a3860f2-55f5-4fa6-acf8-c967ab1540d3" w:customStyle="1">
    <w:name w:val="Table 5_9a3860f2-55f5-4fa6-acf8-c967ab1540d3"/>
    <w:basedOn w:val="Table4_6cd0524f-0683-4363-ac1c-22a299aabed3"/>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37be9c53-a2a2-4874-b020-1fb0129899c1" w:customStyle="1">
    <w:name w:val="Table 6_37be9c53-a2a2-4874-b020-1fb0129899c1"/>
    <w:basedOn w:val="Table5_9a3860f2-55f5-4fa6-acf8-c967ab1540d3"/>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b449d2fa-83f2-4fc2-9662-6987d1d18b61" w:customStyle="1">
    <w:name w:val="Table 7_b449d2fa-83f2-4fc2-9662-6987d1d18b61"/>
    <w:basedOn w:val="Table6_37be9c53-a2a2-4874-b020-1fb0129899c1"/>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 w:customStyle="1">
    <w:name w:val="Table 8"/>
    <w:basedOn w:val="Table7_b449d2fa-83f2-4fc2-9662-6987d1d18b61"/>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455d7cdc-a08e-415a-a6b0-b6d667b349c5" w:customStyle="1">
    <w:name w:val="Normal Table_455d7cdc-a08e-415a-a6b0-b6d667b349c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ecc9b3a7-a993-4cc3-a524-6906137818c5" w:customStyle="1">
    <w:name w:val="Table 1_ecc9b3a7-a993-4cc3-a524-6906137818c5"/>
    <w:basedOn w:val="NormalTable_455d7cdc-a08e-415a-a6b0-b6d667b349c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de6fee9e-d539-4b2c-b9fd-7d50d4eaea3c" w:customStyle="1">
    <w:name w:val="Table 2_de6fee9e-d539-4b2c-b9fd-7d50d4eaea3c"/>
    <w:basedOn w:val="Table1_ecc9b3a7-a993-4cc3-a524-6906137818c5"/>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a585e019-4e26-495c-b58a-780f4dcb37ce" w:customStyle="1">
    <w:name w:val="Table 3_a585e019-4e26-495c-b58a-780f4dcb37ce"/>
    <w:basedOn w:val="Table2_de6fee9e-d539-4b2c-b9fd-7d50d4eaea3c"/>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6ec33407-58da-49d5-948f-ea2fef0b4a99" w:customStyle="1">
    <w:name w:val="Table 4_6ec33407-58da-49d5-948f-ea2fef0b4a99"/>
    <w:basedOn w:val="Table3_a585e019-4e26-495c-b58a-780f4dcb37ce"/>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fa60e59b-9e8f-48d8-879a-1549f7c57558" w:customStyle="1">
    <w:name w:val="Table 5_fa60e59b-9e8f-48d8-879a-1549f7c57558"/>
    <w:basedOn w:val="Table4_6ec33407-58da-49d5-948f-ea2fef0b4a99"/>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1c003737-5b7e-43d7-93a7-b55777a3fdfe" w:customStyle="1">
    <w:name w:val="Table 6_1c003737-5b7e-43d7-93a7-b55777a3fdfe"/>
    <w:basedOn w:val="Table5_fa60e59b-9e8f-48d8-879a-1549f7c57558"/>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4b2e14c3-04a3-4cc7-be86-d29ee606294a" w:customStyle="1">
    <w:name w:val="Table 7_4b2e14c3-04a3-4cc7-be86-d29ee606294a"/>
    <w:basedOn w:val="Table6_1c003737-5b7e-43d7-93a7-b55777a3fdfe"/>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_b0ef62cb-bede-4ad4-8547-e298bca0f980" w:customStyle="1">
    <w:name w:val="Table 8_b0ef62cb-bede-4ad4-8547-e298bca0f980"/>
    <w:basedOn w:val="Table7_4b2e14c3-04a3-4cc7-be86-d29ee606294a"/>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9" w:customStyle="1">
    <w:name w:val="Table 9"/>
    <w:basedOn w:val="Table8_b0ef62cb-bede-4ad4-8547-e298bca0f980"/>
    <w:uiPriority w:val="99"/>
    <w:pPr>
      <w:pBdr/>
      <w:spacing/>
    </w:pPr>
    <w:rPr/>
    <w:tblPr>
      <w:tblInd w:w="39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2d41e59-d36b-444e-90dd-ce49f7b6e6a6" w:customStyle="1">
    <w:name w:val="Normal Table_72d41e59-d36b-444e-90dd-ce49f7b6e6a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 w:customStyle="1">
    <w:name w:val="Table NoRule 1"/>
    <w:basedOn w:val="NormalTable_72d41e59-d36b-444e-90dd-ce49f7b6e6a6"/>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NormalTable_10f1288a-3509-4c39-a39c-347505c511cb" w:customStyle="1">
    <w:name w:val="Normal Table_10f1288a-3509-4c39-a39c-347505c511c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4419cbc9-c310-4d3c-8a3c-4ed0313faf5c" w:customStyle="1">
    <w:name w:val="Table NoRule 1_4419cbc9-c310-4d3c-8a3c-4ed0313faf5c"/>
    <w:basedOn w:val="NormalTable_10f1288a-3509-4c39-a39c-347505c511cb"/>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 w:customStyle="1">
    <w:name w:val="Table NoRule 2"/>
    <w:basedOn w:val="TableNoRule1_4419cbc9-c310-4d3c-8a3c-4ed0313faf5c"/>
    <w:uiPriority w:val="99"/>
    <w:pPr>
      <w:pBdr/>
      <w:spacing/>
    </w:pPr>
    <w:rPr/>
    <w:tblPr>
      <w:tblInd w:w="475" w:type="dxa"/>
      <w:tblBorders/>
      <w:tblCellMar/>
    </w:tblPr>
    <w:trPr/>
    <w:tcPr>
      <w:tcBorders/>
      <w:shd w:val="clear" w:color="auto" w:fill="auto"/>
      <w:tcMar/>
      <w:vAlign w:val="top"/>
    </w:tcPr>
  </w:style>
  <w:style w:type="table" w:styleId="NormalTable_f51a3411-0d8b-4120-8a57-2c65fffdd472" w:customStyle="1">
    <w:name w:val="Normal Table_f51a3411-0d8b-4120-8a57-2c65fffdd47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a0c49c59-01a9-413d-913b-1d0c7bcef92b" w:customStyle="1">
    <w:name w:val="Table NoRule 1_a0c49c59-01a9-413d-913b-1d0c7bcef92b"/>
    <w:basedOn w:val="NormalTable_f51a3411-0d8b-4120-8a57-2c65fffdd472"/>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7e2f4499-6584-46ac-921c-9d32778823ae" w:customStyle="1">
    <w:name w:val="Table NoRule 2_7e2f4499-6584-46ac-921c-9d32778823ae"/>
    <w:basedOn w:val="TableNoRule1_a0c49c59-01a9-413d-913b-1d0c7bcef92b"/>
    <w:uiPriority w:val="99"/>
    <w:pPr>
      <w:pBdr/>
      <w:spacing/>
    </w:pPr>
    <w:rPr/>
    <w:tblPr>
      <w:tblInd w:w="475" w:type="dxa"/>
      <w:tblBorders/>
      <w:tblCellMar/>
    </w:tblPr>
    <w:trPr/>
    <w:tcPr>
      <w:tcBorders/>
      <w:shd w:val="clear" w:color="auto" w:fill="auto"/>
      <w:tcMar/>
      <w:vAlign w:val="top"/>
    </w:tcPr>
  </w:style>
  <w:style w:type="table" w:styleId="TableNoRule3" w:customStyle="1">
    <w:name w:val="Table NoRule 3"/>
    <w:basedOn w:val="TableNoRule2_7e2f4499-6584-46ac-921c-9d32778823ae"/>
    <w:uiPriority w:val="99"/>
    <w:pPr>
      <w:pBdr/>
      <w:spacing/>
    </w:pPr>
    <w:rPr/>
    <w:tblPr>
      <w:tblInd w:w="950" w:type="dxa"/>
      <w:tblBorders/>
      <w:tblCellMar/>
    </w:tblPr>
    <w:trPr/>
    <w:tcPr>
      <w:tcBorders/>
      <w:shd w:val="clear" w:color="auto" w:fill="auto"/>
      <w:tcMar/>
      <w:vAlign w:val="top"/>
    </w:tcPr>
  </w:style>
  <w:style w:type="table" w:styleId="NormalTable_b17df9be-92e8-4d54-af92-f8c2c9699088" w:customStyle="1">
    <w:name w:val="Normal Table_b17df9be-92e8-4d54-af92-f8c2c969908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891560f0-79a5-4a27-a43e-9bfe698ec53d" w:customStyle="1">
    <w:name w:val="Table NoRule 1_891560f0-79a5-4a27-a43e-9bfe698ec53d"/>
    <w:basedOn w:val="NormalTable_b17df9be-92e8-4d54-af92-f8c2c9699088"/>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9b32a5da-e9b0-4ed4-862d-d7dff5132486" w:customStyle="1">
    <w:name w:val="Table NoRule 2_9b32a5da-e9b0-4ed4-862d-d7dff5132486"/>
    <w:basedOn w:val="TableNoRule1_891560f0-79a5-4a27-a43e-9bfe698ec53d"/>
    <w:uiPriority w:val="99"/>
    <w:pPr>
      <w:pBdr/>
      <w:spacing/>
    </w:pPr>
    <w:rPr/>
    <w:tblPr>
      <w:tblInd w:w="475" w:type="dxa"/>
      <w:tblBorders/>
      <w:tblCellMar/>
    </w:tblPr>
    <w:trPr/>
    <w:tcPr>
      <w:tcBorders/>
      <w:shd w:val="clear" w:color="auto" w:fill="auto"/>
      <w:tcMar/>
      <w:vAlign w:val="top"/>
    </w:tcPr>
  </w:style>
  <w:style w:type="table" w:styleId="TableNoRule3_8cc87809-ddd7-4cb0-adbb-f3cdcebab80e" w:customStyle="1">
    <w:name w:val="Table NoRule 3_8cc87809-ddd7-4cb0-adbb-f3cdcebab80e"/>
    <w:basedOn w:val="TableNoRule2_9b32a5da-e9b0-4ed4-862d-d7dff5132486"/>
    <w:uiPriority w:val="99"/>
    <w:pPr>
      <w:pBdr/>
      <w:spacing/>
    </w:pPr>
    <w:rPr/>
    <w:tblPr>
      <w:tblInd w:w="950" w:type="dxa"/>
      <w:tblBorders/>
      <w:tblCellMar/>
    </w:tblPr>
    <w:trPr/>
    <w:tcPr>
      <w:tcBorders/>
      <w:shd w:val="clear" w:color="auto" w:fill="auto"/>
      <w:tcMar/>
      <w:vAlign w:val="top"/>
    </w:tcPr>
  </w:style>
  <w:style w:type="table" w:styleId="TableNoRule4" w:customStyle="1">
    <w:name w:val="Table NoRule 4"/>
    <w:basedOn w:val="TableNoRule3_8cc87809-ddd7-4cb0-adbb-f3cdcebab80e"/>
    <w:uiPriority w:val="99"/>
    <w:pPr>
      <w:pBdr/>
      <w:spacing/>
    </w:pPr>
    <w:rPr/>
    <w:tblPr>
      <w:tblInd w:w="1440" w:type="dxa"/>
      <w:tblBorders/>
      <w:tblCellMar/>
    </w:tblPr>
    <w:trPr/>
    <w:tcPr>
      <w:tcBorders/>
      <w:shd w:val="clear" w:color="auto" w:fill="auto"/>
      <w:tcMar/>
      <w:vAlign w:val="top"/>
    </w:tcPr>
  </w:style>
  <w:style w:type="table" w:styleId="NormalTable_9dc8ba0d-93e5-4660-b37b-4afb75f1c413" w:customStyle="1">
    <w:name w:val="Normal Table_9dc8ba0d-93e5-4660-b37b-4afb75f1c41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2ec67531-af52-49fc-a26e-86524723c648" w:customStyle="1">
    <w:name w:val="Table NoRule 1_2ec67531-af52-49fc-a26e-86524723c648"/>
    <w:basedOn w:val="NormalTable_9dc8ba0d-93e5-4660-b37b-4afb75f1c413"/>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5aba9046-d24f-4d03-9bc4-511d7f2070ff" w:customStyle="1">
    <w:name w:val="Table NoRule 2_5aba9046-d24f-4d03-9bc4-511d7f2070ff"/>
    <w:basedOn w:val="TableNoRule1_2ec67531-af52-49fc-a26e-86524723c648"/>
    <w:uiPriority w:val="99"/>
    <w:pPr>
      <w:pBdr/>
      <w:spacing/>
    </w:pPr>
    <w:rPr/>
    <w:tblPr>
      <w:tblInd w:w="475" w:type="dxa"/>
      <w:tblBorders/>
      <w:tblCellMar/>
    </w:tblPr>
    <w:trPr/>
    <w:tcPr>
      <w:tcBorders/>
      <w:shd w:val="clear" w:color="auto" w:fill="auto"/>
      <w:tcMar/>
      <w:vAlign w:val="top"/>
    </w:tcPr>
  </w:style>
  <w:style w:type="table" w:styleId="TableNoRule3_37fcbcf7-6349-488c-9c3b-6bf2170a00d5" w:customStyle="1">
    <w:name w:val="Table NoRule 3_37fcbcf7-6349-488c-9c3b-6bf2170a00d5"/>
    <w:basedOn w:val="TableNoRule2_5aba9046-d24f-4d03-9bc4-511d7f2070ff"/>
    <w:uiPriority w:val="99"/>
    <w:pPr>
      <w:pBdr/>
      <w:spacing/>
    </w:pPr>
    <w:rPr/>
    <w:tblPr>
      <w:tblInd w:w="950" w:type="dxa"/>
      <w:tblBorders/>
      <w:tblCellMar/>
    </w:tblPr>
    <w:trPr/>
    <w:tcPr>
      <w:tcBorders/>
      <w:shd w:val="clear" w:color="auto" w:fill="auto"/>
      <w:tcMar/>
      <w:vAlign w:val="top"/>
    </w:tcPr>
  </w:style>
  <w:style w:type="table" w:styleId="TableNoRule4_0de389cf-ff30-433e-b4a8-7cb7d91d4162" w:customStyle="1">
    <w:name w:val="Table NoRule 4_0de389cf-ff30-433e-b4a8-7cb7d91d4162"/>
    <w:basedOn w:val="TableNoRule3_37fcbcf7-6349-488c-9c3b-6bf2170a00d5"/>
    <w:uiPriority w:val="99"/>
    <w:pPr>
      <w:pBdr/>
      <w:spacing/>
    </w:pPr>
    <w:rPr/>
    <w:tblPr>
      <w:tblInd w:w="1440" w:type="dxa"/>
      <w:tblBorders/>
      <w:tblCellMar/>
    </w:tblPr>
    <w:trPr/>
    <w:tcPr>
      <w:tcBorders/>
      <w:shd w:val="clear" w:color="auto" w:fill="auto"/>
      <w:tcMar/>
      <w:vAlign w:val="top"/>
    </w:tcPr>
  </w:style>
  <w:style w:type="table" w:styleId="TableNoRule5" w:customStyle="1">
    <w:name w:val="Table NoRule 5"/>
    <w:basedOn w:val="TableNoRule4_0de389cf-ff30-433e-b4a8-7cb7d91d4162"/>
    <w:uiPriority w:val="99"/>
    <w:pPr>
      <w:pBdr/>
      <w:spacing/>
    </w:pPr>
    <w:rPr/>
    <w:tblPr>
      <w:tblInd w:w="1915" w:type="dxa"/>
      <w:tblBorders/>
      <w:tblCellMar/>
    </w:tblPr>
    <w:trPr/>
    <w:tcPr>
      <w:tcBorders/>
      <w:shd w:val="clear" w:color="auto" w:fill="auto"/>
      <w:tcMar/>
      <w:vAlign w:val="top"/>
    </w:tcPr>
  </w:style>
  <w:style w:type="table" w:styleId="NormalTable_51c2c92c-d72d-41a5-b1da-e7e2db243c76" w:customStyle="1">
    <w:name w:val="Normal Table_51c2c92c-d72d-41a5-b1da-e7e2db243c7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3c8cbf8f-13ff-441a-a22f-193117ceca24" w:customStyle="1">
    <w:name w:val="Table NoRule 1_3c8cbf8f-13ff-441a-a22f-193117ceca24"/>
    <w:basedOn w:val="NormalTable_51c2c92c-d72d-41a5-b1da-e7e2db243c76"/>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e5c21ef9-5433-40d4-9c0c-ab6fff9c1e22" w:customStyle="1">
    <w:name w:val="Table NoRule 2_e5c21ef9-5433-40d4-9c0c-ab6fff9c1e22"/>
    <w:basedOn w:val="TableNoRule1_3c8cbf8f-13ff-441a-a22f-193117ceca24"/>
    <w:uiPriority w:val="99"/>
    <w:pPr>
      <w:pBdr/>
      <w:spacing/>
    </w:pPr>
    <w:rPr/>
    <w:tblPr>
      <w:tblInd w:w="475" w:type="dxa"/>
      <w:tblBorders/>
      <w:tblCellMar/>
    </w:tblPr>
    <w:trPr/>
    <w:tcPr>
      <w:tcBorders/>
      <w:shd w:val="clear" w:color="auto" w:fill="auto"/>
      <w:tcMar/>
      <w:vAlign w:val="top"/>
    </w:tcPr>
  </w:style>
  <w:style w:type="table" w:styleId="TableNoRule3_23daf4f2-607a-4025-b02e-5bb08f747755" w:customStyle="1">
    <w:name w:val="Table NoRule 3_23daf4f2-607a-4025-b02e-5bb08f747755"/>
    <w:basedOn w:val="TableNoRule2_e5c21ef9-5433-40d4-9c0c-ab6fff9c1e22"/>
    <w:uiPriority w:val="99"/>
    <w:pPr>
      <w:pBdr/>
      <w:spacing/>
    </w:pPr>
    <w:rPr/>
    <w:tblPr>
      <w:tblInd w:w="950" w:type="dxa"/>
      <w:tblBorders/>
      <w:tblCellMar/>
    </w:tblPr>
    <w:trPr/>
    <w:tcPr>
      <w:tcBorders/>
      <w:shd w:val="clear" w:color="auto" w:fill="auto"/>
      <w:tcMar/>
      <w:vAlign w:val="top"/>
    </w:tcPr>
  </w:style>
  <w:style w:type="table" w:styleId="TableNoRule4_6d9d8a66-2728-4c43-a37e-16c7083b7517" w:customStyle="1">
    <w:name w:val="Table NoRule 4_6d9d8a66-2728-4c43-a37e-16c7083b7517"/>
    <w:basedOn w:val="TableNoRule3_23daf4f2-607a-4025-b02e-5bb08f747755"/>
    <w:uiPriority w:val="99"/>
    <w:pPr>
      <w:pBdr/>
      <w:spacing/>
    </w:pPr>
    <w:rPr/>
    <w:tblPr>
      <w:tblInd w:w="1440" w:type="dxa"/>
      <w:tblBorders/>
      <w:tblCellMar/>
    </w:tblPr>
    <w:trPr/>
    <w:tcPr>
      <w:tcBorders/>
      <w:shd w:val="clear" w:color="auto" w:fill="auto"/>
      <w:tcMar/>
      <w:vAlign w:val="top"/>
    </w:tcPr>
  </w:style>
  <w:style w:type="table" w:styleId="TableNoRule5_a35f8d8b-0edf-4e60-83ba-9aa5129740e4" w:customStyle="1">
    <w:name w:val="Table NoRule 5_a35f8d8b-0edf-4e60-83ba-9aa5129740e4"/>
    <w:basedOn w:val="TableNoRule4_6d9d8a66-2728-4c43-a37e-16c7083b7517"/>
    <w:uiPriority w:val="99"/>
    <w:pPr>
      <w:pBdr/>
      <w:spacing/>
    </w:pPr>
    <w:rPr/>
    <w:tblPr>
      <w:tblInd w:w="1915" w:type="dxa"/>
      <w:tblBorders/>
      <w:tblCellMar/>
    </w:tblPr>
    <w:trPr/>
    <w:tcPr>
      <w:tcBorders/>
      <w:shd w:val="clear" w:color="auto" w:fill="auto"/>
      <w:tcMar/>
      <w:vAlign w:val="top"/>
    </w:tcPr>
  </w:style>
  <w:style w:type="table" w:styleId="TableNoRule6" w:customStyle="1">
    <w:name w:val="Table NoRule 6"/>
    <w:basedOn w:val="TableNoRule5_a35f8d8b-0edf-4e60-83ba-9aa5129740e4"/>
    <w:uiPriority w:val="99"/>
    <w:pPr>
      <w:pBdr/>
      <w:spacing/>
    </w:pPr>
    <w:rPr/>
    <w:tblPr>
      <w:tblInd w:w="2390" w:type="dxa"/>
      <w:tblBorders/>
      <w:tblCellMar/>
    </w:tblPr>
    <w:trPr/>
    <w:tcPr>
      <w:tcBorders/>
      <w:shd w:val="clear" w:color="auto" w:fill="auto"/>
      <w:tcMar/>
      <w:vAlign w:val="top"/>
    </w:tcPr>
  </w:style>
  <w:style w:type="table" w:styleId="NormalTable_8e4983b5-a8c9-449e-9779-95fc9e567f55" w:customStyle="1">
    <w:name w:val="Normal Table_8e4983b5-a8c9-449e-9779-95fc9e567f5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1e1512e1-1ea6-43a0-bb60-da8114341f7f" w:customStyle="1">
    <w:name w:val="Table NoRule 1_1e1512e1-1ea6-43a0-bb60-da8114341f7f"/>
    <w:basedOn w:val="NormalTable_8e4983b5-a8c9-449e-9779-95fc9e567f55"/>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17c97f10-654a-4628-8209-76fbbd5b1f1e" w:customStyle="1">
    <w:name w:val="Table NoRule 2_17c97f10-654a-4628-8209-76fbbd5b1f1e"/>
    <w:basedOn w:val="TableNoRule1_1e1512e1-1ea6-43a0-bb60-da8114341f7f"/>
    <w:uiPriority w:val="99"/>
    <w:pPr>
      <w:pBdr/>
      <w:spacing/>
    </w:pPr>
    <w:rPr/>
    <w:tblPr>
      <w:tblInd w:w="475" w:type="dxa"/>
      <w:tblBorders/>
      <w:tblCellMar/>
    </w:tblPr>
    <w:trPr/>
    <w:tcPr>
      <w:tcBorders/>
      <w:shd w:val="clear" w:color="auto" w:fill="auto"/>
      <w:tcMar/>
      <w:vAlign w:val="top"/>
    </w:tcPr>
  </w:style>
  <w:style w:type="table" w:styleId="TableNoRule3_828c12dc-3410-4926-beec-d70ef685dc66" w:customStyle="1">
    <w:name w:val="Table NoRule 3_828c12dc-3410-4926-beec-d70ef685dc66"/>
    <w:basedOn w:val="TableNoRule2_17c97f10-654a-4628-8209-76fbbd5b1f1e"/>
    <w:uiPriority w:val="99"/>
    <w:pPr>
      <w:pBdr/>
      <w:spacing/>
    </w:pPr>
    <w:rPr/>
    <w:tblPr>
      <w:tblInd w:w="950" w:type="dxa"/>
      <w:tblBorders/>
      <w:tblCellMar/>
    </w:tblPr>
    <w:trPr/>
    <w:tcPr>
      <w:tcBorders/>
      <w:shd w:val="clear" w:color="auto" w:fill="auto"/>
      <w:tcMar/>
      <w:vAlign w:val="top"/>
    </w:tcPr>
  </w:style>
  <w:style w:type="table" w:styleId="TableNoRule4_32846faf-3152-42ec-b869-3b30c344d2aa" w:customStyle="1">
    <w:name w:val="Table NoRule 4_32846faf-3152-42ec-b869-3b30c344d2aa"/>
    <w:basedOn w:val="TableNoRule3_828c12dc-3410-4926-beec-d70ef685dc66"/>
    <w:uiPriority w:val="99"/>
    <w:pPr>
      <w:pBdr/>
      <w:spacing/>
    </w:pPr>
    <w:rPr/>
    <w:tblPr>
      <w:tblInd w:w="1440" w:type="dxa"/>
      <w:tblBorders/>
      <w:tblCellMar/>
    </w:tblPr>
    <w:trPr/>
    <w:tcPr>
      <w:tcBorders/>
      <w:shd w:val="clear" w:color="auto" w:fill="auto"/>
      <w:tcMar/>
      <w:vAlign w:val="top"/>
    </w:tcPr>
  </w:style>
  <w:style w:type="table" w:styleId="TableNoRule5_a5b116cd-71d6-4048-a501-23e021701596" w:customStyle="1">
    <w:name w:val="Table NoRule 5_a5b116cd-71d6-4048-a501-23e021701596"/>
    <w:basedOn w:val="TableNoRule4_32846faf-3152-42ec-b869-3b30c344d2aa"/>
    <w:uiPriority w:val="99"/>
    <w:pPr>
      <w:pBdr/>
      <w:spacing/>
    </w:pPr>
    <w:rPr/>
    <w:tblPr>
      <w:tblInd w:w="1915" w:type="dxa"/>
      <w:tblBorders/>
      <w:tblCellMar/>
    </w:tblPr>
    <w:trPr/>
    <w:tcPr>
      <w:tcBorders/>
      <w:shd w:val="clear" w:color="auto" w:fill="auto"/>
      <w:tcMar/>
      <w:vAlign w:val="top"/>
    </w:tcPr>
  </w:style>
  <w:style w:type="table" w:styleId="TableNoRule6_01ae0241-ffe3-4782-b476-02854cfd989f" w:customStyle="1">
    <w:name w:val="Table NoRule 6_01ae0241-ffe3-4782-b476-02854cfd989f"/>
    <w:basedOn w:val="TableNoRule5_a5b116cd-71d6-4048-a501-23e021701596"/>
    <w:uiPriority w:val="99"/>
    <w:pPr>
      <w:pBdr/>
      <w:spacing/>
    </w:pPr>
    <w:rPr/>
    <w:tblPr>
      <w:tblInd w:w="2390" w:type="dxa"/>
      <w:tblBorders/>
      <w:tblCellMar/>
    </w:tblPr>
    <w:trPr/>
    <w:tcPr>
      <w:tcBorders/>
      <w:shd w:val="clear" w:color="auto" w:fill="auto"/>
      <w:tcMar/>
      <w:vAlign w:val="top"/>
    </w:tcPr>
  </w:style>
  <w:style w:type="table" w:styleId="TableNoRule7" w:customStyle="1">
    <w:name w:val="Table NoRule 7"/>
    <w:basedOn w:val="TableNoRule6_01ae0241-ffe3-4782-b476-02854cfd989f"/>
    <w:uiPriority w:val="99"/>
    <w:pPr>
      <w:pBdr/>
      <w:spacing/>
    </w:pPr>
    <w:rPr/>
    <w:tblPr>
      <w:tblInd w:w="2880" w:type="dxa"/>
      <w:tblBorders/>
      <w:tblCellMar/>
    </w:tblPr>
    <w:trPr/>
    <w:tcPr>
      <w:tcBorders/>
      <w:shd w:val="clear" w:color="auto" w:fill="auto"/>
      <w:tcMar/>
      <w:vAlign w:val="top"/>
    </w:tcPr>
  </w:style>
  <w:style w:type="table" w:styleId="NormalTable_0d0ca607-7864-49d6-b609-bc265d50d53d" w:customStyle="1">
    <w:name w:val="Normal Table_0d0ca607-7864-49d6-b609-bc265d50d53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0bd5c816-4038-4957-a1e3-1e20c54811ae" w:customStyle="1">
    <w:name w:val="Table NoRule 1_0bd5c816-4038-4957-a1e3-1e20c54811ae"/>
    <w:basedOn w:val="NormalTable_0d0ca607-7864-49d6-b609-bc265d50d53d"/>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3a1d945b-45d8-43b1-bc00-b15db19bdcd4" w:customStyle="1">
    <w:name w:val="Table NoRule 2_3a1d945b-45d8-43b1-bc00-b15db19bdcd4"/>
    <w:basedOn w:val="TableNoRule1_0bd5c816-4038-4957-a1e3-1e20c54811ae"/>
    <w:uiPriority w:val="99"/>
    <w:pPr>
      <w:pBdr/>
      <w:spacing/>
    </w:pPr>
    <w:rPr/>
    <w:tblPr>
      <w:tblInd w:w="475" w:type="dxa"/>
      <w:tblBorders/>
      <w:tblCellMar/>
    </w:tblPr>
    <w:trPr/>
    <w:tcPr>
      <w:tcBorders/>
      <w:shd w:val="clear" w:color="auto" w:fill="auto"/>
      <w:tcMar/>
      <w:vAlign w:val="top"/>
    </w:tcPr>
  </w:style>
  <w:style w:type="table" w:styleId="TableNoRule3_9b4bbbe8-d81c-48b6-ac32-0c2a9b868c3a" w:customStyle="1">
    <w:name w:val="Table NoRule 3_9b4bbbe8-d81c-48b6-ac32-0c2a9b868c3a"/>
    <w:basedOn w:val="TableNoRule2_3a1d945b-45d8-43b1-bc00-b15db19bdcd4"/>
    <w:uiPriority w:val="99"/>
    <w:pPr>
      <w:pBdr/>
      <w:spacing/>
    </w:pPr>
    <w:rPr/>
    <w:tblPr>
      <w:tblInd w:w="950" w:type="dxa"/>
      <w:tblBorders/>
      <w:tblCellMar/>
    </w:tblPr>
    <w:trPr/>
    <w:tcPr>
      <w:tcBorders/>
      <w:shd w:val="clear" w:color="auto" w:fill="auto"/>
      <w:tcMar/>
      <w:vAlign w:val="top"/>
    </w:tcPr>
  </w:style>
  <w:style w:type="table" w:styleId="TableNoRule4_590f610d-b3d2-42f7-8d17-06bd863de8a1" w:customStyle="1">
    <w:name w:val="Table NoRule 4_590f610d-b3d2-42f7-8d17-06bd863de8a1"/>
    <w:basedOn w:val="TableNoRule3_9b4bbbe8-d81c-48b6-ac32-0c2a9b868c3a"/>
    <w:uiPriority w:val="99"/>
    <w:pPr>
      <w:pBdr/>
      <w:spacing/>
    </w:pPr>
    <w:rPr/>
    <w:tblPr>
      <w:tblInd w:w="1440" w:type="dxa"/>
      <w:tblBorders/>
      <w:tblCellMar/>
    </w:tblPr>
    <w:trPr/>
    <w:tcPr>
      <w:tcBorders/>
      <w:shd w:val="clear" w:color="auto" w:fill="auto"/>
      <w:tcMar/>
      <w:vAlign w:val="top"/>
    </w:tcPr>
  </w:style>
  <w:style w:type="table" w:styleId="TableNoRule5_8d68e60b-57ae-469e-9181-54868e53cddf" w:customStyle="1">
    <w:name w:val="Table NoRule 5_8d68e60b-57ae-469e-9181-54868e53cddf"/>
    <w:basedOn w:val="TableNoRule4_590f610d-b3d2-42f7-8d17-06bd863de8a1"/>
    <w:uiPriority w:val="99"/>
    <w:pPr>
      <w:pBdr/>
      <w:spacing/>
    </w:pPr>
    <w:rPr/>
    <w:tblPr>
      <w:tblInd w:w="1915" w:type="dxa"/>
      <w:tblBorders/>
      <w:tblCellMar/>
    </w:tblPr>
    <w:trPr/>
    <w:tcPr>
      <w:tcBorders/>
      <w:shd w:val="clear" w:color="auto" w:fill="auto"/>
      <w:tcMar/>
      <w:vAlign w:val="top"/>
    </w:tcPr>
  </w:style>
  <w:style w:type="table" w:styleId="TableNoRule6_0b1920fa-5af1-4bbf-a961-c644684c934b" w:customStyle="1">
    <w:name w:val="Table NoRule 6_0b1920fa-5af1-4bbf-a961-c644684c934b"/>
    <w:basedOn w:val="TableNoRule5_8d68e60b-57ae-469e-9181-54868e53cddf"/>
    <w:uiPriority w:val="99"/>
    <w:pPr>
      <w:pBdr/>
      <w:spacing/>
    </w:pPr>
    <w:rPr/>
    <w:tblPr>
      <w:tblInd w:w="2390" w:type="dxa"/>
      <w:tblBorders/>
      <w:tblCellMar/>
    </w:tblPr>
    <w:trPr/>
    <w:tcPr>
      <w:tcBorders/>
      <w:shd w:val="clear" w:color="auto" w:fill="auto"/>
      <w:tcMar/>
      <w:vAlign w:val="top"/>
    </w:tcPr>
  </w:style>
  <w:style w:type="table" w:styleId="TableNoRule7_f5f7eb28-497a-44ae-857f-fca32b1ff148" w:customStyle="1">
    <w:name w:val="Table NoRule 7_f5f7eb28-497a-44ae-857f-fca32b1ff148"/>
    <w:basedOn w:val="TableNoRule6_0b1920fa-5af1-4bbf-a961-c644684c934b"/>
    <w:uiPriority w:val="99"/>
    <w:pPr>
      <w:pBdr/>
      <w:spacing/>
    </w:pPr>
    <w:rPr/>
    <w:tblPr>
      <w:tblInd w:w="2880" w:type="dxa"/>
      <w:tblBorders/>
      <w:tblCellMar/>
    </w:tblPr>
    <w:trPr/>
    <w:tcPr>
      <w:tcBorders/>
      <w:shd w:val="clear" w:color="auto" w:fill="auto"/>
      <w:tcMar/>
      <w:vAlign w:val="top"/>
    </w:tcPr>
  </w:style>
  <w:style w:type="table" w:styleId="TableNoRule8" w:customStyle="1">
    <w:name w:val="Table NoRule 8"/>
    <w:basedOn w:val="TableNoRule7_f5f7eb28-497a-44ae-857f-fca32b1ff148"/>
    <w:uiPriority w:val="99"/>
    <w:pPr>
      <w:pBdr/>
      <w:spacing/>
    </w:pPr>
    <w:rPr/>
    <w:tblPr>
      <w:tblInd w:w="3355" w:type="dxa"/>
      <w:tblBorders/>
      <w:tblCellMar/>
    </w:tblPr>
    <w:trPr/>
    <w:tcPr>
      <w:tcBorders/>
      <w:shd w:val="clear" w:color="auto" w:fill="auto"/>
      <w:tcMar/>
      <w:vAlign w:val="top"/>
    </w:tcPr>
  </w:style>
  <w:style w:type="table" w:styleId="NormalTable_8cbd4ccb-88e9-460a-9cc9-91776a3b2895" w:customStyle="1">
    <w:name w:val="Normal Table_8cbd4ccb-88e9-460a-9cc9-91776a3b289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c28c53d5-9171-475a-a6b0-ff4403ff0dba" w:customStyle="1">
    <w:name w:val="Table NoRule 1_c28c53d5-9171-475a-a6b0-ff4403ff0dba"/>
    <w:basedOn w:val="NormalTable_8cbd4ccb-88e9-460a-9cc9-91776a3b2895"/>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b0fecdb4-7251-4d1e-ae81-f5675cb8daf6" w:customStyle="1">
    <w:name w:val="Table NoRule 2_b0fecdb4-7251-4d1e-ae81-f5675cb8daf6"/>
    <w:basedOn w:val="TableNoRule1_c28c53d5-9171-475a-a6b0-ff4403ff0dba"/>
    <w:uiPriority w:val="99"/>
    <w:pPr>
      <w:pBdr/>
      <w:spacing/>
    </w:pPr>
    <w:rPr/>
    <w:tblPr>
      <w:tblInd w:w="475" w:type="dxa"/>
      <w:tblBorders/>
      <w:tblCellMar/>
    </w:tblPr>
    <w:trPr/>
    <w:tcPr>
      <w:tcBorders/>
      <w:shd w:val="clear" w:color="auto" w:fill="auto"/>
      <w:tcMar/>
      <w:vAlign w:val="top"/>
    </w:tcPr>
  </w:style>
  <w:style w:type="table" w:styleId="TableNoRule3_158b916c-0891-450d-990b-1c8c5eda591c" w:customStyle="1">
    <w:name w:val="Table NoRule 3_158b916c-0891-450d-990b-1c8c5eda591c"/>
    <w:basedOn w:val="TableNoRule2_b0fecdb4-7251-4d1e-ae81-f5675cb8daf6"/>
    <w:uiPriority w:val="99"/>
    <w:pPr>
      <w:pBdr/>
      <w:spacing/>
    </w:pPr>
    <w:rPr/>
    <w:tblPr>
      <w:tblInd w:w="950" w:type="dxa"/>
      <w:tblBorders/>
      <w:tblCellMar/>
    </w:tblPr>
    <w:trPr/>
    <w:tcPr>
      <w:tcBorders/>
      <w:shd w:val="clear" w:color="auto" w:fill="auto"/>
      <w:tcMar/>
      <w:vAlign w:val="top"/>
    </w:tcPr>
  </w:style>
  <w:style w:type="table" w:styleId="TableNoRule4_3a2b822a-1df2-4a2d-9d5d-d10fbe27ea40" w:customStyle="1">
    <w:name w:val="Table NoRule 4_3a2b822a-1df2-4a2d-9d5d-d10fbe27ea40"/>
    <w:basedOn w:val="TableNoRule3_158b916c-0891-450d-990b-1c8c5eda591c"/>
    <w:uiPriority w:val="99"/>
    <w:pPr>
      <w:pBdr/>
      <w:spacing/>
    </w:pPr>
    <w:rPr/>
    <w:tblPr>
      <w:tblInd w:w="1440" w:type="dxa"/>
      <w:tblBorders/>
      <w:tblCellMar/>
    </w:tblPr>
    <w:trPr/>
    <w:tcPr>
      <w:tcBorders/>
      <w:shd w:val="clear" w:color="auto" w:fill="auto"/>
      <w:tcMar/>
      <w:vAlign w:val="top"/>
    </w:tcPr>
  </w:style>
  <w:style w:type="table" w:styleId="TableNoRule5_19996df0-8054-4177-b5f9-ed8df5cd2892" w:customStyle="1">
    <w:name w:val="Table NoRule 5_19996df0-8054-4177-b5f9-ed8df5cd2892"/>
    <w:basedOn w:val="TableNoRule4_3a2b822a-1df2-4a2d-9d5d-d10fbe27ea40"/>
    <w:uiPriority w:val="99"/>
    <w:pPr>
      <w:pBdr/>
      <w:spacing/>
    </w:pPr>
    <w:rPr/>
    <w:tblPr>
      <w:tblInd w:w="1915" w:type="dxa"/>
      <w:tblBorders/>
      <w:tblCellMar/>
    </w:tblPr>
    <w:trPr/>
    <w:tcPr>
      <w:tcBorders/>
      <w:shd w:val="clear" w:color="auto" w:fill="auto"/>
      <w:tcMar/>
      <w:vAlign w:val="top"/>
    </w:tcPr>
  </w:style>
  <w:style w:type="table" w:styleId="TableNoRule6_7851fc1d-703f-42ad-ac48-8b88ea9eb4e3" w:customStyle="1">
    <w:name w:val="Table NoRule 6_7851fc1d-703f-42ad-ac48-8b88ea9eb4e3"/>
    <w:basedOn w:val="TableNoRule5_19996df0-8054-4177-b5f9-ed8df5cd2892"/>
    <w:uiPriority w:val="99"/>
    <w:pPr>
      <w:pBdr/>
      <w:spacing/>
    </w:pPr>
    <w:rPr/>
    <w:tblPr>
      <w:tblInd w:w="2390" w:type="dxa"/>
      <w:tblBorders/>
      <w:tblCellMar/>
    </w:tblPr>
    <w:trPr/>
    <w:tcPr>
      <w:tcBorders/>
      <w:shd w:val="clear" w:color="auto" w:fill="auto"/>
      <w:tcMar/>
      <w:vAlign w:val="top"/>
    </w:tcPr>
  </w:style>
  <w:style w:type="table" w:styleId="TableNoRule7_c5d120d5-5d3f-470e-9e2a-c4c7f2663784" w:customStyle="1">
    <w:name w:val="Table NoRule 7_c5d120d5-5d3f-470e-9e2a-c4c7f2663784"/>
    <w:basedOn w:val="TableNoRule6_7851fc1d-703f-42ad-ac48-8b88ea9eb4e3"/>
    <w:uiPriority w:val="99"/>
    <w:pPr>
      <w:pBdr/>
      <w:spacing/>
    </w:pPr>
    <w:rPr/>
    <w:tblPr>
      <w:tblInd w:w="2880" w:type="dxa"/>
      <w:tblBorders/>
      <w:tblCellMar/>
    </w:tblPr>
    <w:trPr/>
    <w:tcPr>
      <w:tcBorders/>
      <w:shd w:val="clear" w:color="auto" w:fill="auto"/>
      <w:tcMar/>
      <w:vAlign w:val="top"/>
    </w:tcPr>
  </w:style>
  <w:style w:type="table" w:styleId="TableNoRule8_e1db158d-8a12-4cee-8b21-b3ddcfbbbb1a" w:customStyle="1">
    <w:name w:val="Table NoRule 8_e1db158d-8a12-4cee-8b21-b3ddcfbbbb1a"/>
    <w:basedOn w:val="TableNoRule7_c5d120d5-5d3f-470e-9e2a-c4c7f2663784"/>
    <w:uiPriority w:val="99"/>
    <w:pPr>
      <w:pBdr/>
      <w:spacing/>
    </w:pPr>
    <w:rPr/>
    <w:tblPr>
      <w:tblInd w:w="3355" w:type="dxa"/>
      <w:tblBorders/>
      <w:tblCellMar/>
    </w:tblPr>
    <w:trPr/>
    <w:tcPr>
      <w:tcBorders/>
      <w:shd w:val="clear" w:color="auto" w:fill="auto"/>
      <w:tcMar/>
      <w:vAlign w:val="top"/>
    </w:tcPr>
  </w:style>
  <w:style w:type="table" w:styleId="TableNoRule9" w:customStyle="1">
    <w:name w:val="Table NoRule 9"/>
    <w:basedOn w:val="TableNoRule8_e1db158d-8a12-4cee-8b21-b3ddcfbbbb1a"/>
    <w:uiPriority w:val="99"/>
    <w:pPr>
      <w:pBdr/>
      <w:spacing/>
    </w:pPr>
    <w:rPr/>
    <w:tblPr>
      <w:tblInd w:w="3830" w:type="dxa"/>
      <w:tblBorders/>
      <w:tblCellMar/>
    </w:tblPr>
    <w:trPr/>
    <w:tcPr>
      <w:tcBorders/>
      <w:shd w:val="clear" w:color="auto" w:fill="auto"/>
      <w:tcMar/>
      <w:vAlign w:val="top"/>
    </w:tcPr>
  </w:style>
  <w:style w:type="paragraph" w:styleId="PageBreakB4Table" w:customStyle="1">
    <w:name w:val="PageBreakB4Table"/>
    <w:basedOn w:val="Normal"/>
    <w:qFormat/>
    <w:pPr>
      <w:pBdr/>
      <w:spacing w:before="0" w:after="0"/>
    </w:pPr>
    <w:rPr>
      <w:rFonts w:ascii="Cambria Math" w:hAnsi="Cambria Math"/>
      <w:sz w:val="6"/>
    </w:rPr>
  </w:style>
  <w:style w:type="paragraph" w:styleId="ImageAboveCaptionLeft" w:customStyle="1">
    <w:name w:val="Image Above Caption Left"/>
    <w:next w:val="Block1"/>
    <w:qFormat/>
    <w:pPr>
      <w:keepNext/>
      <w:pBdr/>
      <w:spacing/>
      <w:jc w:val="left"/>
    </w:pPr>
    <w:rPr>
      <w:rFonts w:ascii="Calibri" w:hAnsi="Calibri"/>
      <w:noProof/>
    </w:rPr>
  </w:style>
  <w:style w:type="paragraph" w:styleId="ImageAboveCaptionCenter" w:customStyle="1">
    <w:name w:val="Image Above Caption Center"/>
    <w:basedOn w:val="ImageAboveCaptionLeft"/>
    <w:next w:val="Block1"/>
    <w:qFormat/>
    <w:pPr>
      <w:pBdr/>
      <w:spacing/>
      <w:jc w:val="center"/>
    </w:pPr>
    <w:rPr/>
  </w:style>
  <w:style w:type="paragraph" w:styleId="ImageCaptionAboveCenter" w:customStyle="1">
    <w:name w:val="Image Caption Above Center"/>
    <w:basedOn w:val="ImageCaptionAboveLeft"/>
    <w:next w:val="Block1"/>
    <w:qFormat/>
    <w:pPr>
      <w:pBdr/>
      <w:spacing/>
      <w:jc w:val="center"/>
    </w:pPr>
    <w:rPr/>
  </w:style>
  <w:style w:type="paragraph" w:styleId="ImageCaptionAboveRight" w:customStyle="1">
    <w:name w:val="Image Caption Above Right"/>
    <w:basedOn w:val="ImageCaptionAboveLeft"/>
    <w:next w:val="Block1"/>
    <w:qFormat/>
    <w:pPr>
      <w:pBdr/>
      <w:spacing/>
      <w:jc w:val="right"/>
    </w:pPr>
    <w:rPr/>
  </w:style>
  <w:style w:type="paragraph" w:styleId="ImageAboveCaptionRight" w:customStyle="1">
    <w:name w:val="Image Above Caption Right"/>
    <w:basedOn w:val="ImageAboveCaptionLeft"/>
    <w:qFormat/>
    <w:pPr>
      <w:pBdr/>
      <w:spacing/>
      <w:jc w:val="right"/>
    </w:pPr>
    <w:rPr/>
  </w:style>
  <w:style w:type="table" w:styleId="NormalTable_b91aa12c-da53-4420-a70b-7bc87359f4e7" w:customStyle="1">
    <w:name w:val="Normal Table_b91aa12c-da53-4420-a70b-7bc87359f4e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c489d6ce-65d4-4577-9851-b846c5530a32" w:customStyle="1">
    <w:name w:val="Table 1_c489d6ce-65d4-4577-9851-b846c5530a32"/>
    <w:basedOn w:val="NormalTable_b91aa12c-da53-4420-a70b-7bc87359f4e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6240af76-bb17-4deb-8ddf-062689eed4e7" w:customStyle="1">
    <w:name w:val="Normal Table_6240af76-bb17-4deb-8ddf-062689eed4e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1867222-2bf2-4112-bead-e5ffc5e658d6" w:customStyle="1">
    <w:name w:val="Table 1_31867222-2bf2-4112-bead-e5ffc5e658d6"/>
    <w:basedOn w:val="NormalTable_6240af76-bb17-4deb-8ddf-062689eed4e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c9c185e-8587-4f68-a5bd-8784ccd0dd90" w:customStyle="1">
    <w:name w:val="Normal Table_5c9c185e-8587-4f68-a5bd-8784ccd0dd9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5e909e67-ec88-4f7a-b536-87f849bf2848" w:customStyle="1">
    <w:name w:val="Table 1_5e909e67-ec88-4f7a-b536-87f849bf2848"/>
    <w:basedOn w:val="NormalTable_5c9c185e-8587-4f68-a5bd-8784ccd0dd9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4ae408e7-b89a-4699-ae93-5e3e31f01fb4" w:customStyle="1">
    <w:name w:val="Normal Table_4ae408e7-b89a-4699-ae93-5e3e31f01fb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27ac3a8e-117b-4dbb-8a39-9f10a966051e" w:customStyle="1">
    <w:name w:val="Table 1_27ac3a8e-117b-4dbb-8a39-9f10a966051e"/>
    <w:basedOn w:val="NormalTable_4ae408e7-b89a-4699-ae93-5e3e31f01fb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f35ab7a-b1cb-48cf-a716-5e8f890fcdba" w:customStyle="1">
    <w:name w:val="Normal Table_7f35ab7a-b1cb-48cf-a716-5e8f890fcdb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5f55ba8-8506-4c3e-a4ce-95943a18e10c" w:customStyle="1">
    <w:name w:val="Table 1_85f55ba8-8506-4c3e-a4ce-95943a18e10c"/>
    <w:basedOn w:val="NormalTable_7f35ab7a-b1cb-48cf-a716-5e8f890fcdba"/>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s>
</file>

<file path=word/_rels/document.xml.rels>&#65279;<?xml version="1.0" encoding="utf-8" standalone="yes"?><Relationships xmlns="http://schemas.openxmlformats.org/package/2006/relationships"><Relationship Id="rId104" Type="http://schemas.openxmlformats.org/officeDocument/2006/relationships/styles" Target="styles.xml" /><Relationship Id="rId105" Type="http://schemas.openxmlformats.org/officeDocument/2006/relationships/settings" Target="settings.xml" /><Relationship Id="rId106" Type="http://schemas.openxmlformats.org/officeDocument/2006/relationships/theme" Target="theme/theme1.xml" /><Relationship Id="rId107" Type="http://schemas.openxmlformats.org/officeDocument/2006/relationships/numbering" Target="numbering.xml" /><Relationship Id="rId108" Type="http://schemas.openxmlformats.org/officeDocument/2006/relationships/footnotes" Target="footnotes.xml" /><Relationship Id="rId2" Type="http://schemas.openxmlformats.org/officeDocument/2006/relationships/footer" Target="footer2.xml" /><Relationship Id="rId4" Type="http://schemas.openxmlformats.org/officeDocument/2006/relationships/footer" Target="footer4.xml" /><Relationship Id="rId6" Type="http://schemas.openxmlformats.org/officeDocument/2006/relationships/footer" Target="footer6.xml" /><Relationship Id="rId8" Type="http://schemas.openxmlformats.org/officeDocument/2006/relationships/footer" Target="footer8.xml" /><Relationship Id="rId10" Type="http://schemas.openxmlformats.org/officeDocument/2006/relationships/footer" Target="footer10.xml" /><Relationship Id="rId12" Type="http://schemas.openxmlformats.org/officeDocument/2006/relationships/footer" Target="footer12.xml" /><Relationship Id="rId14" Type="http://schemas.openxmlformats.org/officeDocument/2006/relationships/footer" Target="footer14.xml" /><Relationship Id="rId16" Type="http://schemas.openxmlformats.org/officeDocument/2006/relationships/footer" Target="footer16.xml" /><Relationship Id="rId18" Type="http://schemas.openxmlformats.org/officeDocument/2006/relationships/footer" Target="footer18.xml" /><Relationship Id="rId20" Type="http://schemas.openxmlformats.org/officeDocument/2006/relationships/footer" Target="footer20.xml" /><Relationship Id="rId22" Type="http://schemas.openxmlformats.org/officeDocument/2006/relationships/footer" Target="footer22.xml" /><Relationship Id="rId24" Type="http://schemas.openxmlformats.org/officeDocument/2006/relationships/footer" Target="footer24.xml" /><Relationship Id="rId26" Type="http://schemas.openxmlformats.org/officeDocument/2006/relationships/footer" Target="footer26.xml" /><Relationship Id="rId28" Type="http://schemas.openxmlformats.org/officeDocument/2006/relationships/footer" Target="footer28.xml" /><Relationship Id="rId30" Type="http://schemas.openxmlformats.org/officeDocument/2006/relationships/footer" Target="footer30.xml" /><Relationship Id="rId32" Type="http://schemas.openxmlformats.org/officeDocument/2006/relationships/footer" Target="footer32.xml" /><Relationship Id="rId34" Type="http://schemas.openxmlformats.org/officeDocument/2006/relationships/footer" Target="footer34.xml" /><Relationship Id="rId36" Type="http://schemas.openxmlformats.org/officeDocument/2006/relationships/footer" Target="footer36.xml" /><Relationship Id="rId38" Type="http://schemas.openxmlformats.org/officeDocument/2006/relationships/footer" Target="footer38.xml" /><Relationship Id="rId40" Type="http://schemas.openxmlformats.org/officeDocument/2006/relationships/footer" Target="footer40.xml" /><Relationship Id="rId42" Type="http://schemas.openxmlformats.org/officeDocument/2006/relationships/footer" Target="footer42.xml" /><Relationship Id="rId44" Type="http://schemas.openxmlformats.org/officeDocument/2006/relationships/footer" Target="footer44.xml" /><Relationship Id="rId46" Type="http://schemas.openxmlformats.org/officeDocument/2006/relationships/footer" Target="footer46.xml" /><Relationship Id="rId48" Type="http://schemas.openxmlformats.org/officeDocument/2006/relationships/footer" Target="footer48.xml" /><Relationship Id="rId50" Type="http://schemas.openxmlformats.org/officeDocument/2006/relationships/footer" Target="footer50.xml" /><Relationship Id="rId52" Type="http://schemas.openxmlformats.org/officeDocument/2006/relationships/footer" Target="footer52.xml" /><Relationship Id="rId54" Type="http://schemas.openxmlformats.org/officeDocument/2006/relationships/footer" Target="footer54.xml" /><Relationship Id="rId56" Type="http://schemas.openxmlformats.org/officeDocument/2006/relationships/footer" Target="footer56.xml" /><Relationship Id="rId58" Type="http://schemas.openxmlformats.org/officeDocument/2006/relationships/footer" Target="footer58.xml" /><Relationship Id="rId60" Type="http://schemas.openxmlformats.org/officeDocument/2006/relationships/footer" Target="footer60.xml" /><Relationship Id="rId62" Type="http://schemas.openxmlformats.org/officeDocument/2006/relationships/footer" Target="footer62.xml" /><Relationship Id="rId64" Type="http://schemas.openxmlformats.org/officeDocument/2006/relationships/footer" Target="footer64.xml" /><Relationship Id="rId66" Type="http://schemas.openxmlformats.org/officeDocument/2006/relationships/footer" Target="footer66.xml" /><Relationship Id="rId68" Type="http://schemas.openxmlformats.org/officeDocument/2006/relationships/footer" Target="footer68.xml" /><Relationship Id="rId70" Type="http://schemas.openxmlformats.org/officeDocument/2006/relationships/footer" Target="footer70.xml" /><Relationship Id="rId72" Type="http://schemas.openxmlformats.org/officeDocument/2006/relationships/footer" Target="footer72.xml" /><Relationship Id="rId74" Type="http://schemas.openxmlformats.org/officeDocument/2006/relationships/footer" Target="footer74.xml" /><Relationship Id="rId76" Type="http://schemas.openxmlformats.org/officeDocument/2006/relationships/footer" Target="footer76.xml" /><Relationship Id="rId78" Type="http://schemas.openxmlformats.org/officeDocument/2006/relationships/footer" Target="footer78.xml" /><Relationship Id="rId80" Type="http://schemas.openxmlformats.org/officeDocument/2006/relationships/footer" Target="footer80.xml" /><Relationship Id="rId85" Type="http://schemas.openxmlformats.org/officeDocument/2006/relationships/footer" Target="footer85.xml" /><Relationship Id="rId87" Type="http://schemas.openxmlformats.org/officeDocument/2006/relationships/footer" Target="footer87.xml" /><Relationship Id="rId89" Type="http://schemas.openxmlformats.org/officeDocument/2006/relationships/footer" Target="footer89.xml" /><Relationship Id="rId91" Type="http://schemas.openxmlformats.org/officeDocument/2006/relationships/footer" Target="footer91.xml" /><Relationship Id="rId93" Type="http://schemas.openxmlformats.org/officeDocument/2006/relationships/footer" Target="footer93.xml" /><Relationship Id="rId95" Type="http://schemas.openxmlformats.org/officeDocument/2006/relationships/footer" Target="footer95.xml" /><Relationship Id="rId97" Type="http://schemas.openxmlformats.org/officeDocument/2006/relationships/footer" Target="footer97.xml" /><Relationship Id="rId99" Type="http://schemas.openxmlformats.org/officeDocument/2006/relationships/footer" Target="footer99.xml" /><Relationship Id="rId101" Type="http://schemas.openxmlformats.org/officeDocument/2006/relationships/footer" Target="footer101.xml" /><Relationship Id="rId103" Type="http://schemas.openxmlformats.org/officeDocument/2006/relationships/footer" Target="footer103.xml" /><Relationship Id="rId1" Type="http://schemas.openxmlformats.org/officeDocument/2006/relationships/header" Target="header1.xml" /><Relationship Id="rId3" Type="http://schemas.openxmlformats.org/officeDocument/2006/relationships/header" Target="header3.xml" /><Relationship Id="rId5" Type="http://schemas.openxmlformats.org/officeDocument/2006/relationships/header" Target="header5.xml" /><Relationship Id="rId7" Type="http://schemas.openxmlformats.org/officeDocument/2006/relationships/header" Target="header7.xml" /><Relationship Id="rId9" Type="http://schemas.openxmlformats.org/officeDocument/2006/relationships/header" Target="header9.xml" /><Relationship Id="rId11" Type="http://schemas.openxmlformats.org/officeDocument/2006/relationships/header" Target="header11.xml" /><Relationship Id="rId13" Type="http://schemas.openxmlformats.org/officeDocument/2006/relationships/header" Target="header13.xml" /><Relationship Id="rId15" Type="http://schemas.openxmlformats.org/officeDocument/2006/relationships/header" Target="header15.xml" /><Relationship Id="rId17" Type="http://schemas.openxmlformats.org/officeDocument/2006/relationships/header" Target="header17.xml" /><Relationship Id="rId19" Type="http://schemas.openxmlformats.org/officeDocument/2006/relationships/header" Target="header19.xml" /><Relationship Id="rId21" Type="http://schemas.openxmlformats.org/officeDocument/2006/relationships/header" Target="header21.xml" /><Relationship Id="rId23" Type="http://schemas.openxmlformats.org/officeDocument/2006/relationships/header" Target="header23.xml" /><Relationship Id="rId25" Type="http://schemas.openxmlformats.org/officeDocument/2006/relationships/header" Target="header25.xml" /><Relationship Id="rId27" Type="http://schemas.openxmlformats.org/officeDocument/2006/relationships/header" Target="header27.xml" /><Relationship Id="rId29" Type="http://schemas.openxmlformats.org/officeDocument/2006/relationships/header" Target="header29.xml" /><Relationship Id="rId31" Type="http://schemas.openxmlformats.org/officeDocument/2006/relationships/header" Target="header31.xml" /><Relationship Id="rId33" Type="http://schemas.openxmlformats.org/officeDocument/2006/relationships/header" Target="header33.xml" /><Relationship Id="rId35" Type="http://schemas.openxmlformats.org/officeDocument/2006/relationships/header" Target="header35.xml" /><Relationship Id="rId37" Type="http://schemas.openxmlformats.org/officeDocument/2006/relationships/header" Target="header37.xml" /><Relationship Id="rId39" Type="http://schemas.openxmlformats.org/officeDocument/2006/relationships/header" Target="header39.xml" /><Relationship Id="rId41" Type="http://schemas.openxmlformats.org/officeDocument/2006/relationships/header" Target="header41.xml" /><Relationship Id="rId43" Type="http://schemas.openxmlformats.org/officeDocument/2006/relationships/header" Target="header43.xml" /><Relationship Id="rId45" Type="http://schemas.openxmlformats.org/officeDocument/2006/relationships/header" Target="header45.xml" /><Relationship Id="rId47" Type="http://schemas.openxmlformats.org/officeDocument/2006/relationships/header" Target="header47.xml" /><Relationship Id="rId49" Type="http://schemas.openxmlformats.org/officeDocument/2006/relationships/header" Target="header49.xml" /><Relationship Id="rId51" Type="http://schemas.openxmlformats.org/officeDocument/2006/relationships/header" Target="header51.xml" /><Relationship Id="rId53" Type="http://schemas.openxmlformats.org/officeDocument/2006/relationships/header" Target="header53.xml" /><Relationship Id="rId55" Type="http://schemas.openxmlformats.org/officeDocument/2006/relationships/header" Target="header55.xml" /><Relationship Id="rId57" Type="http://schemas.openxmlformats.org/officeDocument/2006/relationships/header" Target="header57.xml" /><Relationship Id="rId59" Type="http://schemas.openxmlformats.org/officeDocument/2006/relationships/header" Target="header59.xml" /><Relationship Id="rId61" Type="http://schemas.openxmlformats.org/officeDocument/2006/relationships/header" Target="header61.xml" /><Relationship Id="rId63" Type="http://schemas.openxmlformats.org/officeDocument/2006/relationships/header" Target="header63.xml" /><Relationship Id="rId65" Type="http://schemas.openxmlformats.org/officeDocument/2006/relationships/header" Target="header65.xml" /><Relationship Id="rId67" Type="http://schemas.openxmlformats.org/officeDocument/2006/relationships/header" Target="header67.xml" /><Relationship Id="rId69" Type="http://schemas.openxmlformats.org/officeDocument/2006/relationships/header" Target="header69.xml" /><Relationship Id="rId71" Type="http://schemas.openxmlformats.org/officeDocument/2006/relationships/header" Target="header71.xml" /><Relationship Id="rId73" Type="http://schemas.openxmlformats.org/officeDocument/2006/relationships/header" Target="header73.xml" /><Relationship Id="rId75" Type="http://schemas.openxmlformats.org/officeDocument/2006/relationships/header" Target="header75.xml" /><Relationship Id="rId77" Type="http://schemas.openxmlformats.org/officeDocument/2006/relationships/header" Target="header77.xml" /><Relationship Id="rId79" Type="http://schemas.openxmlformats.org/officeDocument/2006/relationships/header" Target="header79.xml" /><Relationship Id="rId84" Type="http://schemas.openxmlformats.org/officeDocument/2006/relationships/header" Target="header84.xml" /><Relationship Id="rId86" Type="http://schemas.openxmlformats.org/officeDocument/2006/relationships/header" Target="header86.xml" /><Relationship Id="rId88" Type="http://schemas.openxmlformats.org/officeDocument/2006/relationships/header" Target="header88.xml" /><Relationship Id="rId90" Type="http://schemas.openxmlformats.org/officeDocument/2006/relationships/header" Target="header90.xml" /><Relationship Id="rId92" Type="http://schemas.openxmlformats.org/officeDocument/2006/relationships/header" Target="header92.xml" /><Relationship Id="rId94" Type="http://schemas.openxmlformats.org/officeDocument/2006/relationships/header" Target="header94.xml" /><Relationship Id="rId96" Type="http://schemas.openxmlformats.org/officeDocument/2006/relationships/header" Target="header96.xml" /><Relationship Id="rId98" Type="http://schemas.openxmlformats.org/officeDocument/2006/relationships/header" Target="header98.xml" /><Relationship Id="rId100" Type="http://schemas.openxmlformats.org/officeDocument/2006/relationships/header" Target="header100.xml" /><Relationship Id="rId102" Type="http://schemas.openxmlformats.org/officeDocument/2006/relationships/header" Target="header102.xml" /><Relationship Id="rId81" Type="http://schemas.openxmlformats.org/officeDocument/2006/relationships/image" Target="media/image1.png" /><Relationship Id="rId82" Type="http://schemas.openxmlformats.org/officeDocument/2006/relationships/image" Target="media/image2.png" /><Relationship Id="rId83"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2026-02-09T19:24:08Z</dcterms:created>
  <dcterms:modified xsi:type="dcterms:W3CDTF">2026-02-09T19:24:08Z</dcterms:modified>
</cp:coreProperties>
</file>