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Acme Technologies - Annual Financial Performance &amp; Projections (FY 2024)</w:t>
      </w:r>
    </w:p>
    <w:p>
      <w:r>
        <w:t>Executive Summary: During the fiscal year 2024, Acme Technologies achieved record top-line revenue of $14.2 million, representing a 42% year-over-year expansion. Operating margins improved steadily across all quarters, yielding a positive EBITDA of $3.8 million.</w:t>
      </w:r>
    </w:p>
    <w:p>
      <w:r>
        <w:t>Venture Capital &amp; Runway: Following our Series B financing round of $18 million, our current cash burn rate is $180,000 monthly, providing 28 months of active runway. Customer acquisition cost (CAC) dropped by 24% due to organic enterprise referrals, while net revenue retention reached 118%.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