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Customer Support &amp; Service Level Agreement (SLA) Playbook</w:t>
      </w:r>
    </w:p>
    <w:p>
      <w:r>
        <w:t>Platform Availability Commitment: Acme Corporation contractually guarantees 99.99% monthly system uptime. Scheduled maintenance windows must be communicated to enterprise stakeholders at least 14 days in advance.</w:t>
      </w:r>
    </w:p>
    <w:p>
      <w:r>
        <w:t>Incident Severity Classifications &amp; Response Milestones:</w:t>
        <w:br/>
        <w:t>- Severity 0 (Critical Outage): Initial engineer engagement within 15 minutes; executive status updates every 30 minutes.</w:t>
        <w:br/>
        <w:t>- Severity 1 (Major Degradation): Initial response within 1 hour; hotfix deployment target within 4 hours.</w:t>
        <w:br/>
        <w:t>- Severity 2 (Minor Inconvenience): Response within 1 business day with scheduled sprint patch.</w:t>
      </w:r>
    </w:p>
    <w:p>
      <w:r>
        <w:t>Customer Satisfaction Benchmarks: The Customer Success division maintains a minimum Net Promoter Score (NPS) benchmark of 72, alongside quarterly business review (QBR) cadence with key tier-1 accounts.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