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Benefits, Wellness Perks, and Leave Policies</w:t>
      </w:r>
    </w:p>
    <w:p>
      <w:r>
        <w:t>Healthcare Coverage: Acme Corporation offers comprehensive medical, dental, and vision health insurance covering 100% of employee premiums and 75% for dependents, starting from day one of employment.</w:t>
      </w:r>
    </w:p>
    <w:p>
      <w:r>
        <w:t>Retirement 401(k) Plan: We provide a 401(k) retirement savings plan with a 5% dollar-for-dollar employer match, with immediate 100% vesting upon plan enrollment.</w:t>
      </w:r>
    </w:p>
    <w:p>
      <w:r>
        <w:t>Paid Time Off (PTO) &amp; Leave: Full-time staff receive 25 annual vacation days, 10 sick days, plus all federal holidays. New parents are entitled to 16 weeks of fully paid parental leave for birth or adoption.</w:t>
      </w:r>
    </w:p>
    <w:p>
      <w:r>
        <w:t>Remote Work Stipend: Employees receive a one-time $1,500 home office equipment stipend for ergonomic chairs, desks, and monitors, alongside an $80 monthly internet and gym fitness allowance.</w:t>
      </w:r>
    </w:p>
    <w:p>
      <w:r>
        <w:t>Retirement 401k plan savings account with employer matching.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